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4B" w:rsidRPr="0088749D" w:rsidRDefault="00F3104B" w:rsidP="004873FC">
      <w:pPr>
        <w:pStyle w:val="3"/>
        <w:spacing w:line="240" w:lineRule="auto"/>
        <w:rPr>
          <w:szCs w:val="28"/>
        </w:rPr>
      </w:pPr>
      <w:bookmarkStart w:id="0" w:name="_Toc358327458"/>
      <w:r w:rsidRPr="0088749D">
        <w:rPr>
          <w:szCs w:val="28"/>
        </w:rPr>
        <w:t xml:space="preserve">УДК </w:t>
      </w:r>
      <w:r w:rsidR="004453D7" w:rsidRPr="0088749D">
        <w:rPr>
          <w:szCs w:val="28"/>
        </w:rPr>
        <w:t>330.131</w:t>
      </w:r>
    </w:p>
    <w:p w:rsidR="00935CDF" w:rsidRPr="00BB04F3" w:rsidRDefault="00935CDF" w:rsidP="00935CDF">
      <w:pPr>
        <w:pStyle w:val="a8"/>
        <w:spacing w:after="0"/>
        <w:jc w:val="center"/>
        <w:rPr>
          <w:i/>
          <w:sz w:val="28"/>
          <w:szCs w:val="28"/>
        </w:rPr>
      </w:pPr>
      <w:r w:rsidRPr="00BB04F3">
        <w:rPr>
          <w:i/>
          <w:sz w:val="28"/>
          <w:szCs w:val="28"/>
        </w:rPr>
        <w:t>Гончар Г.П.</w:t>
      </w:r>
    </w:p>
    <w:p w:rsidR="00935CDF" w:rsidRPr="00BB04F3" w:rsidRDefault="00935CDF" w:rsidP="00935CDF">
      <w:pPr>
        <w:pStyle w:val="a8"/>
        <w:spacing w:after="0"/>
        <w:jc w:val="center"/>
        <w:rPr>
          <w:i/>
          <w:sz w:val="28"/>
          <w:szCs w:val="28"/>
        </w:rPr>
      </w:pPr>
      <w:proofErr w:type="spellStart"/>
      <w:r w:rsidRPr="00BB04F3">
        <w:rPr>
          <w:i/>
          <w:sz w:val="28"/>
          <w:szCs w:val="28"/>
        </w:rPr>
        <w:t>к.е.н</w:t>
      </w:r>
      <w:proofErr w:type="spellEnd"/>
      <w:r w:rsidRPr="00BB04F3">
        <w:rPr>
          <w:i/>
          <w:sz w:val="28"/>
          <w:szCs w:val="28"/>
        </w:rPr>
        <w:t>., доцент кафедри фінансів та банківської справи</w:t>
      </w:r>
    </w:p>
    <w:p w:rsidR="00935CDF" w:rsidRPr="00BB04F3" w:rsidRDefault="00935CDF" w:rsidP="00935CDF">
      <w:pPr>
        <w:pStyle w:val="a8"/>
        <w:spacing w:after="0"/>
        <w:jc w:val="center"/>
        <w:rPr>
          <w:i/>
          <w:sz w:val="28"/>
          <w:szCs w:val="28"/>
        </w:rPr>
      </w:pPr>
      <w:proofErr w:type="spellStart"/>
      <w:r w:rsidRPr="00BB04F3">
        <w:rPr>
          <w:i/>
          <w:sz w:val="28"/>
          <w:szCs w:val="28"/>
        </w:rPr>
        <w:t>Чортківський</w:t>
      </w:r>
      <w:proofErr w:type="spellEnd"/>
      <w:r w:rsidRPr="00BB04F3">
        <w:rPr>
          <w:i/>
          <w:sz w:val="28"/>
          <w:szCs w:val="28"/>
        </w:rPr>
        <w:t xml:space="preserve"> </w:t>
      </w:r>
      <w:r w:rsidR="00E35EB7">
        <w:rPr>
          <w:i/>
          <w:sz w:val="28"/>
          <w:szCs w:val="28"/>
        </w:rPr>
        <w:t xml:space="preserve">навчально-науковий </w:t>
      </w:r>
      <w:r w:rsidRPr="00BB04F3">
        <w:rPr>
          <w:i/>
          <w:sz w:val="28"/>
          <w:szCs w:val="28"/>
        </w:rPr>
        <w:t>інститут підприємництва і бізнесу,</w:t>
      </w:r>
    </w:p>
    <w:p w:rsidR="00935CDF" w:rsidRPr="00BB04F3" w:rsidRDefault="00935CDF" w:rsidP="00935CDF">
      <w:pPr>
        <w:pStyle w:val="a8"/>
        <w:spacing w:after="0"/>
        <w:jc w:val="center"/>
        <w:rPr>
          <w:i/>
          <w:sz w:val="28"/>
          <w:szCs w:val="28"/>
        </w:rPr>
      </w:pPr>
      <w:r w:rsidRPr="00BB04F3">
        <w:rPr>
          <w:i/>
          <w:sz w:val="28"/>
          <w:szCs w:val="28"/>
        </w:rPr>
        <w:t>Тернопільський національний економічний університет</w:t>
      </w:r>
    </w:p>
    <w:p w:rsidR="00F3104B" w:rsidRPr="0088749D" w:rsidRDefault="00F3104B" w:rsidP="004873FC">
      <w:pPr>
        <w:pStyle w:val="3"/>
        <w:spacing w:line="240" w:lineRule="auto"/>
        <w:rPr>
          <w:szCs w:val="28"/>
        </w:rPr>
      </w:pPr>
    </w:p>
    <w:p w:rsidR="00A3628E" w:rsidRPr="0088749D" w:rsidRDefault="00F3104B" w:rsidP="00B64470">
      <w:pPr>
        <w:pStyle w:val="3"/>
        <w:spacing w:line="240" w:lineRule="auto"/>
        <w:jc w:val="center"/>
        <w:rPr>
          <w:szCs w:val="28"/>
        </w:rPr>
      </w:pPr>
      <w:r w:rsidRPr="0088749D">
        <w:rPr>
          <w:szCs w:val="28"/>
        </w:rPr>
        <w:t>АДАПТАЦІЯ СВІТОВИХ СТАНДАРТІВ РИЗИК-МЕНЕДЖМЕНТУ ДО ДІЯЛЬНОСТІ ВІТЧИЗНЯНИХ КОМПАНІЙ</w:t>
      </w:r>
      <w:bookmarkEnd w:id="0"/>
    </w:p>
    <w:p w:rsidR="00935CDF" w:rsidRDefault="00935CDF" w:rsidP="004873FC">
      <w:pPr>
        <w:spacing w:line="240" w:lineRule="auto"/>
        <w:rPr>
          <w:i/>
          <w:sz w:val="24"/>
        </w:rPr>
      </w:pPr>
    </w:p>
    <w:p w:rsidR="00935CDF" w:rsidRPr="00935CDF" w:rsidRDefault="00935CDF" w:rsidP="00E35EB7">
      <w:pPr>
        <w:spacing w:line="240" w:lineRule="auto"/>
        <w:ind w:firstLine="0"/>
        <w:jc w:val="center"/>
        <w:rPr>
          <w:i/>
          <w:szCs w:val="28"/>
          <w:lang w:val="en-US"/>
        </w:rPr>
      </w:pPr>
      <w:r w:rsidRPr="00935CDF">
        <w:rPr>
          <w:i/>
          <w:szCs w:val="28"/>
          <w:lang w:val="en-US"/>
        </w:rPr>
        <w:t xml:space="preserve">H.P. </w:t>
      </w:r>
      <w:proofErr w:type="spellStart"/>
      <w:r w:rsidRPr="00935CDF">
        <w:rPr>
          <w:i/>
          <w:szCs w:val="28"/>
          <w:lang w:val="en-US"/>
        </w:rPr>
        <w:t>Honchar</w:t>
      </w:r>
      <w:proofErr w:type="spellEnd"/>
    </w:p>
    <w:p w:rsidR="00E35EB7" w:rsidRDefault="00935CDF" w:rsidP="00935CDF">
      <w:pPr>
        <w:pStyle w:val="aa"/>
        <w:spacing w:after="0" w:line="240" w:lineRule="auto"/>
        <w:ind w:firstLine="0"/>
        <w:jc w:val="center"/>
        <w:rPr>
          <w:i/>
        </w:rPr>
      </w:pPr>
      <w:proofErr w:type="spellStart"/>
      <w:r w:rsidRPr="00935CDF">
        <w:rPr>
          <w:rStyle w:val="hps"/>
          <w:rFonts w:eastAsiaTheme="majorEastAsia"/>
          <w:i/>
        </w:rPr>
        <w:t>Ph.D</w:t>
      </w:r>
      <w:proofErr w:type="spellEnd"/>
      <w:r w:rsidRPr="00935CDF">
        <w:rPr>
          <w:rStyle w:val="spec1"/>
          <w:rFonts w:eastAsiaTheme="majorEastAsia"/>
          <w:i/>
        </w:rPr>
        <w:t xml:space="preserve"> </w:t>
      </w:r>
      <w:proofErr w:type="spellStart"/>
      <w:r w:rsidRPr="00935CDF">
        <w:rPr>
          <w:rStyle w:val="spec1"/>
          <w:rFonts w:eastAsiaTheme="majorEastAsia"/>
          <w:i/>
        </w:rPr>
        <w:t>in</w:t>
      </w:r>
      <w:proofErr w:type="spellEnd"/>
      <w:r w:rsidRPr="00935CDF">
        <w:rPr>
          <w:rStyle w:val="spec1"/>
          <w:rFonts w:eastAsiaTheme="majorEastAsia"/>
          <w:i/>
        </w:rPr>
        <w:t xml:space="preserve"> </w:t>
      </w:r>
      <w:proofErr w:type="spellStart"/>
      <w:r w:rsidRPr="00935CDF">
        <w:rPr>
          <w:rStyle w:val="spec1"/>
          <w:rFonts w:eastAsiaTheme="majorEastAsia"/>
          <w:i/>
        </w:rPr>
        <w:t>Economics</w:t>
      </w:r>
      <w:proofErr w:type="spellEnd"/>
      <w:r w:rsidRPr="00935CDF">
        <w:rPr>
          <w:rStyle w:val="hps"/>
          <w:rFonts w:eastAsiaTheme="majorEastAsia"/>
          <w:i/>
        </w:rPr>
        <w:t>,</w:t>
      </w:r>
      <w:r w:rsidRPr="00935CDF">
        <w:rPr>
          <w:i/>
        </w:rPr>
        <w:t xml:space="preserve"> </w:t>
      </w:r>
      <w:proofErr w:type="spellStart"/>
      <w:r w:rsidRPr="00935CDF">
        <w:rPr>
          <w:rStyle w:val="hps"/>
          <w:rFonts w:eastAsiaTheme="majorEastAsia"/>
          <w:i/>
        </w:rPr>
        <w:t>Associate</w:t>
      </w:r>
      <w:proofErr w:type="spellEnd"/>
      <w:r w:rsidRPr="00935CDF">
        <w:rPr>
          <w:rStyle w:val="hps"/>
          <w:rFonts w:eastAsiaTheme="majorEastAsia"/>
          <w:i/>
        </w:rPr>
        <w:t xml:space="preserve"> </w:t>
      </w:r>
      <w:proofErr w:type="spellStart"/>
      <w:r w:rsidRPr="00935CDF">
        <w:rPr>
          <w:rStyle w:val="hps"/>
          <w:rFonts w:eastAsiaTheme="majorEastAsia"/>
          <w:i/>
        </w:rPr>
        <w:t>Professor</w:t>
      </w:r>
      <w:proofErr w:type="spellEnd"/>
      <w:r w:rsidRPr="00935CDF">
        <w:rPr>
          <w:rStyle w:val="hps"/>
          <w:rFonts w:eastAsiaTheme="majorEastAsia"/>
          <w:i/>
        </w:rPr>
        <w:t xml:space="preserve"> </w:t>
      </w:r>
      <w:proofErr w:type="spellStart"/>
      <w:r w:rsidRPr="00935CDF">
        <w:rPr>
          <w:rStyle w:val="spec1"/>
          <w:rFonts w:eastAsiaTheme="majorEastAsia"/>
          <w:i/>
        </w:rPr>
        <w:t>of</w:t>
      </w:r>
      <w:proofErr w:type="spellEnd"/>
      <w:r w:rsidRPr="00935CDF">
        <w:rPr>
          <w:rStyle w:val="spec1"/>
          <w:rFonts w:eastAsiaTheme="majorEastAsia"/>
          <w:i/>
        </w:rPr>
        <w:t xml:space="preserve"> </w:t>
      </w:r>
      <w:proofErr w:type="spellStart"/>
      <w:r w:rsidRPr="00935CDF">
        <w:rPr>
          <w:rStyle w:val="spec1"/>
          <w:rFonts w:eastAsiaTheme="majorEastAsia"/>
          <w:i/>
        </w:rPr>
        <w:t>Department</w:t>
      </w:r>
      <w:proofErr w:type="spellEnd"/>
      <w:r w:rsidRPr="00935CDF">
        <w:rPr>
          <w:rStyle w:val="hps"/>
          <w:rFonts w:eastAsiaTheme="majorEastAsia"/>
          <w:i/>
        </w:rPr>
        <w:t xml:space="preserve"> </w:t>
      </w:r>
      <w:proofErr w:type="spellStart"/>
      <w:r w:rsidRPr="00935CDF">
        <w:rPr>
          <w:rStyle w:val="hps"/>
          <w:rFonts w:eastAsiaTheme="majorEastAsia"/>
          <w:i/>
        </w:rPr>
        <w:t>of</w:t>
      </w:r>
      <w:proofErr w:type="spellEnd"/>
      <w:r w:rsidRPr="00935CDF">
        <w:rPr>
          <w:i/>
        </w:rPr>
        <w:t xml:space="preserve"> </w:t>
      </w:r>
      <w:proofErr w:type="spellStart"/>
      <w:r w:rsidRPr="00935CDF">
        <w:rPr>
          <w:rStyle w:val="hps"/>
          <w:rFonts w:eastAsiaTheme="majorEastAsia"/>
          <w:i/>
        </w:rPr>
        <w:t>Finance</w:t>
      </w:r>
      <w:proofErr w:type="spellEnd"/>
      <w:r w:rsidRPr="00935CDF">
        <w:rPr>
          <w:rStyle w:val="hps"/>
          <w:rFonts w:eastAsiaTheme="majorEastAsia"/>
          <w:i/>
        </w:rPr>
        <w:t xml:space="preserve"> </w:t>
      </w:r>
      <w:proofErr w:type="spellStart"/>
      <w:r w:rsidRPr="00935CDF">
        <w:rPr>
          <w:rStyle w:val="hps"/>
          <w:rFonts w:eastAsiaTheme="majorEastAsia"/>
          <w:i/>
        </w:rPr>
        <w:t>and</w:t>
      </w:r>
      <w:proofErr w:type="spellEnd"/>
      <w:r w:rsidRPr="00935CDF">
        <w:rPr>
          <w:rStyle w:val="hps"/>
          <w:rFonts w:eastAsiaTheme="majorEastAsia"/>
          <w:i/>
        </w:rPr>
        <w:t xml:space="preserve"> </w:t>
      </w:r>
      <w:proofErr w:type="spellStart"/>
      <w:r w:rsidRPr="00935CDF">
        <w:rPr>
          <w:rStyle w:val="hps"/>
          <w:rFonts w:eastAsiaTheme="majorEastAsia"/>
          <w:i/>
        </w:rPr>
        <w:t>Banking</w:t>
      </w:r>
      <w:proofErr w:type="spellEnd"/>
      <w:r w:rsidRPr="00935CDF">
        <w:rPr>
          <w:i/>
        </w:rPr>
        <w:t xml:space="preserve"> </w:t>
      </w:r>
      <w:r w:rsidRPr="00935CDF">
        <w:rPr>
          <w:i/>
        </w:rPr>
        <w:br/>
      </w:r>
      <w:proofErr w:type="spellStart"/>
      <w:r w:rsidRPr="00935CDF">
        <w:rPr>
          <w:rStyle w:val="hps"/>
          <w:rFonts w:eastAsiaTheme="majorEastAsia"/>
          <w:i/>
        </w:rPr>
        <w:t>Chortkivskiy</w:t>
      </w:r>
      <w:proofErr w:type="spellEnd"/>
      <w:r w:rsidRPr="00935CDF">
        <w:rPr>
          <w:i/>
        </w:rPr>
        <w:t xml:space="preserve"> </w:t>
      </w:r>
      <w:proofErr w:type="spellStart"/>
      <w:r w:rsidR="00E35EB7" w:rsidRPr="00E35EB7">
        <w:rPr>
          <w:rStyle w:val="hps"/>
          <w:i/>
        </w:rPr>
        <w:t>Educational</w:t>
      </w:r>
      <w:proofErr w:type="spellEnd"/>
      <w:r w:rsidR="00E35EB7" w:rsidRPr="00E35EB7">
        <w:rPr>
          <w:rStyle w:val="hps"/>
          <w:i/>
        </w:rPr>
        <w:t xml:space="preserve"> </w:t>
      </w:r>
      <w:proofErr w:type="spellStart"/>
      <w:r w:rsidR="00E35EB7" w:rsidRPr="00E35EB7">
        <w:rPr>
          <w:rStyle w:val="hps"/>
          <w:i/>
        </w:rPr>
        <w:t>and</w:t>
      </w:r>
      <w:proofErr w:type="spellEnd"/>
      <w:r w:rsidR="00E35EB7" w:rsidRPr="00E35EB7">
        <w:rPr>
          <w:rStyle w:val="hps"/>
          <w:i/>
        </w:rPr>
        <w:t xml:space="preserve"> </w:t>
      </w:r>
      <w:proofErr w:type="spellStart"/>
      <w:r w:rsidR="00E35EB7" w:rsidRPr="00E35EB7">
        <w:rPr>
          <w:rStyle w:val="hps"/>
          <w:i/>
        </w:rPr>
        <w:t>Research</w:t>
      </w:r>
      <w:proofErr w:type="spellEnd"/>
      <w:r w:rsidR="00E35EB7" w:rsidRPr="00E35EB7">
        <w:rPr>
          <w:rStyle w:val="hps"/>
          <w:i/>
        </w:rPr>
        <w:t xml:space="preserve"> Institute</w:t>
      </w:r>
      <w:r w:rsidR="00E35EB7" w:rsidRPr="00935CDF">
        <w:rPr>
          <w:rStyle w:val="hps"/>
          <w:rFonts w:eastAsiaTheme="majorEastAsia"/>
          <w:i/>
        </w:rPr>
        <w:t xml:space="preserve"> </w:t>
      </w:r>
      <w:r w:rsidRPr="00935CDF">
        <w:rPr>
          <w:rStyle w:val="hps"/>
          <w:rFonts w:eastAsiaTheme="majorEastAsia"/>
          <w:i/>
        </w:rPr>
        <w:t>for</w:t>
      </w:r>
      <w:r w:rsidRPr="00935CDF">
        <w:rPr>
          <w:i/>
        </w:rPr>
        <w:t xml:space="preserve"> </w:t>
      </w:r>
    </w:p>
    <w:p w:rsidR="00935CDF" w:rsidRPr="00935CDF" w:rsidRDefault="00935CDF" w:rsidP="00935CDF">
      <w:pPr>
        <w:pStyle w:val="aa"/>
        <w:spacing w:after="0" w:line="240" w:lineRule="auto"/>
        <w:ind w:firstLine="0"/>
        <w:jc w:val="center"/>
        <w:rPr>
          <w:i/>
          <w:iCs/>
        </w:rPr>
      </w:pPr>
      <w:proofErr w:type="spellStart"/>
      <w:r w:rsidRPr="00935CDF">
        <w:rPr>
          <w:rStyle w:val="hps"/>
          <w:rFonts w:eastAsiaTheme="majorEastAsia"/>
          <w:i/>
        </w:rPr>
        <w:t>Entrepreneurship</w:t>
      </w:r>
      <w:proofErr w:type="spellEnd"/>
      <w:r w:rsidRPr="00935CDF">
        <w:rPr>
          <w:rStyle w:val="hps"/>
          <w:rFonts w:eastAsiaTheme="majorEastAsia"/>
          <w:i/>
        </w:rPr>
        <w:t xml:space="preserve"> </w:t>
      </w:r>
      <w:proofErr w:type="spellStart"/>
      <w:r w:rsidRPr="00935CDF">
        <w:rPr>
          <w:rStyle w:val="hps"/>
          <w:rFonts w:eastAsiaTheme="majorEastAsia"/>
          <w:i/>
        </w:rPr>
        <w:t>and</w:t>
      </w:r>
      <w:proofErr w:type="spellEnd"/>
      <w:r w:rsidRPr="00935CDF">
        <w:rPr>
          <w:i/>
        </w:rPr>
        <w:t xml:space="preserve"> </w:t>
      </w:r>
      <w:proofErr w:type="spellStart"/>
      <w:r w:rsidRPr="00935CDF">
        <w:rPr>
          <w:rStyle w:val="hps"/>
          <w:rFonts w:eastAsiaTheme="majorEastAsia"/>
          <w:i/>
        </w:rPr>
        <w:t>Business</w:t>
      </w:r>
      <w:proofErr w:type="spellEnd"/>
      <w:r w:rsidRPr="00935CDF">
        <w:rPr>
          <w:i/>
        </w:rPr>
        <w:t xml:space="preserve"> </w:t>
      </w:r>
      <w:r w:rsidRPr="00935CDF">
        <w:rPr>
          <w:i/>
        </w:rPr>
        <w:br/>
      </w:r>
      <w:proofErr w:type="spellStart"/>
      <w:r w:rsidRPr="00935CDF">
        <w:rPr>
          <w:rStyle w:val="hps"/>
          <w:rFonts w:eastAsiaTheme="majorEastAsia"/>
          <w:i/>
        </w:rPr>
        <w:t>Ternopil</w:t>
      </w:r>
      <w:proofErr w:type="spellEnd"/>
      <w:r w:rsidRPr="00935CDF">
        <w:rPr>
          <w:rStyle w:val="hps"/>
          <w:rFonts w:eastAsiaTheme="majorEastAsia"/>
          <w:i/>
        </w:rPr>
        <w:t xml:space="preserve"> </w:t>
      </w:r>
      <w:proofErr w:type="spellStart"/>
      <w:r w:rsidRPr="00935CDF">
        <w:rPr>
          <w:rStyle w:val="hps"/>
          <w:rFonts w:eastAsiaTheme="majorEastAsia"/>
          <w:i/>
        </w:rPr>
        <w:t>National</w:t>
      </w:r>
      <w:proofErr w:type="spellEnd"/>
      <w:r w:rsidRPr="00935CDF">
        <w:rPr>
          <w:i/>
        </w:rPr>
        <w:t xml:space="preserve"> </w:t>
      </w:r>
      <w:proofErr w:type="spellStart"/>
      <w:r w:rsidRPr="00935CDF">
        <w:rPr>
          <w:rStyle w:val="hps"/>
          <w:rFonts w:eastAsiaTheme="majorEastAsia"/>
          <w:i/>
        </w:rPr>
        <w:t>Economic</w:t>
      </w:r>
      <w:proofErr w:type="spellEnd"/>
      <w:r w:rsidRPr="00935CDF">
        <w:rPr>
          <w:rStyle w:val="hps"/>
          <w:rFonts w:eastAsiaTheme="majorEastAsia"/>
          <w:i/>
        </w:rPr>
        <w:t xml:space="preserve"> </w:t>
      </w:r>
      <w:proofErr w:type="spellStart"/>
      <w:r w:rsidRPr="00935CDF">
        <w:rPr>
          <w:rStyle w:val="hps"/>
          <w:rFonts w:eastAsiaTheme="majorEastAsia"/>
          <w:i/>
        </w:rPr>
        <w:t>University</w:t>
      </w:r>
      <w:proofErr w:type="spellEnd"/>
    </w:p>
    <w:p w:rsidR="00935CDF" w:rsidRDefault="00935CDF" w:rsidP="004873FC">
      <w:pPr>
        <w:spacing w:line="240" w:lineRule="auto"/>
        <w:rPr>
          <w:i/>
          <w:sz w:val="24"/>
        </w:rPr>
      </w:pPr>
    </w:p>
    <w:p w:rsidR="00935CDF" w:rsidRPr="00935CDF" w:rsidRDefault="00935CDF" w:rsidP="00935CDF">
      <w:pPr>
        <w:spacing w:line="240" w:lineRule="auto"/>
        <w:jc w:val="center"/>
        <w:rPr>
          <w:b/>
          <w:i/>
          <w:sz w:val="24"/>
        </w:rPr>
      </w:pPr>
      <w:r w:rsidRPr="00935CDF">
        <w:rPr>
          <w:rStyle w:val="hps"/>
          <w:rFonts w:eastAsiaTheme="majorEastAsia"/>
          <w:b/>
        </w:rPr>
        <w:t>ADAPTATION</w:t>
      </w:r>
      <w:r w:rsidRPr="00935CDF">
        <w:rPr>
          <w:b/>
        </w:rPr>
        <w:t xml:space="preserve"> </w:t>
      </w:r>
      <w:r w:rsidRPr="00935CDF">
        <w:rPr>
          <w:rStyle w:val="hps"/>
          <w:rFonts w:eastAsiaTheme="majorEastAsia"/>
          <w:b/>
        </w:rPr>
        <w:t>WORLD STANDARDS</w:t>
      </w:r>
      <w:r w:rsidRPr="00935CDF">
        <w:rPr>
          <w:b/>
        </w:rPr>
        <w:t xml:space="preserve"> </w:t>
      </w:r>
      <w:r w:rsidRPr="00935CDF">
        <w:rPr>
          <w:rStyle w:val="hps"/>
          <w:rFonts w:eastAsiaTheme="majorEastAsia"/>
          <w:b/>
        </w:rPr>
        <w:t>OF RISK MANAGEMENT</w:t>
      </w:r>
      <w:r w:rsidRPr="00935CDF">
        <w:rPr>
          <w:b/>
        </w:rPr>
        <w:t xml:space="preserve"> </w:t>
      </w:r>
      <w:r w:rsidRPr="00935CDF">
        <w:rPr>
          <w:rStyle w:val="hps"/>
          <w:rFonts w:eastAsiaTheme="majorEastAsia"/>
          <w:b/>
        </w:rPr>
        <w:t>TO THE ACTIVITIES</w:t>
      </w:r>
      <w:r w:rsidRPr="00935CDF">
        <w:rPr>
          <w:b/>
        </w:rPr>
        <w:t xml:space="preserve"> </w:t>
      </w:r>
      <w:r w:rsidRPr="00935CDF">
        <w:rPr>
          <w:rStyle w:val="hps"/>
          <w:rFonts w:eastAsiaTheme="majorEastAsia"/>
          <w:b/>
        </w:rPr>
        <w:t>OF DOMESTIC COMPANIES</w:t>
      </w:r>
    </w:p>
    <w:p w:rsidR="00935CDF" w:rsidRDefault="00935CDF" w:rsidP="004873FC">
      <w:pPr>
        <w:spacing w:line="240" w:lineRule="auto"/>
        <w:rPr>
          <w:i/>
          <w:sz w:val="24"/>
        </w:rPr>
      </w:pPr>
    </w:p>
    <w:p w:rsidR="00A3628E" w:rsidRPr="0088749D" w:rsidRDefault="00DE3D9D" w:rsidP="004873FC">
      <w:pPr>
        <w:spacing w:line="240" w:lineRule="auto"/>
        <w:rPr>
          <w:i/>
          <w:sz w:val="24"/>
        </w:rPr>
      </w:pPr>
      <w:r w:rsidRPr="0088749D">
        <w:rPr>
          <w:i/>
          <w:sz w:val="24"/>
        </w:rPr>
        <w:t>В статті розглядаються світові стандарти ризик-менеджменту</w:t>
      </w:r>
      <w:r w:rsidR="00A3675A" w:rsidRPr="0088749D">
        <w:rPr>
          <w:i/>
          <w:sz w:val="24"/>
        </w:rPr>
        <w:t xml:space="preserve">, </w:t>
      </w:r>
      <w:r w:rsidR="00F3104B" w:rsidRPr="0088749D">
        <w:rPr>
          <w:i/>
          <w:sz w:val="24"/>
        </w:rPr>
        <w:t>використання стандартів ризику BASEL щодо банківської системи та визначено їх роль в процесі управління фінансовим ризиком забезпечує підвищення конкурентоспроможності та інвестиційної привабливості підприємств.</w:t>
      </w:r>
    </w:p>
    <w:p w:rsidR="00F3104B" w:rsidRPr="0088749D" w:rsidRDefault="00F3104B" w:rsidP="004873FC">
      <w:pPr>
        <w:spacing w:line="240" w:lineRule="auto"/>
        <w:rPr>
          <w:sz w:val="24"/>
        </w:rPr>
      </w:pPr>
    </w:p>
    <w:p w:rsidR="0088749D" w:rsidRPr="0088749D" w:rsidRDefault="0088749D" w:rsidP="004873FC">
      <w:pPr>
        <w:spacing w:line="240" w:lineRule="auto"/>
        <w:rPr>
          <w:i/>
          <w:sz w:val="24"/>
        </w:rPr>
      </w:pPr>
      <w:proofErr w:type="spellStart"/>
      <w:r w:rsidRPr="0088749D">
        <w:rPr>
          <w:rStyle w:val="hps"/>
          <w:rFonts w:eastAsiaTheme="majorEastAsia"/>
          <w:i/>
          <w:sz w:val="24"/>
        </w:rPr>
        <w:t>The</w:t>
      </w:r>
      <w:proofErr w:type="spellEnd"/>
      <w:r w:rsidRPr="0088749D">
        <w:rPr>
          <w:rStyle w:val="hps"/>
          <w:rFonts w:eastAsiaTheme="majorEastAsia"/>
          <w:i/>
          <w:sz w:val="24"/>
        </w:rPr>
        <w:t xml:space="preserve"> </w:t>
      </w:r>
      <w:proofErr w:type="spellStart"/>
      <w:r w:rsidRPr="0088749D">
        <w:rPr>
          <w:rStyle w:val="hps"/>
          <w:rFonts w:eastAsiaTheme="majorEastAsia"/>
          <w:i/>
          <w:sz w:val="24"/>
        </w:rPr>
        <w:t>article</w:t>
      </w:r>
      <w:proofErr w:type="spellEnd"/>
      <w:r w:rsidRPr="0088749D">
        <w:rPr>
          <w:rStyle w:val="hps"/>
          <w:rFonts w:eastAsiaTheme="majorEastAsia"/>
          <w:i/>
          <w:sz w:val="24"/>
        </w:rPr>
        <w:t xml:space="preserve"> </w:t>
      </w:r>
      <w:proofErr w:type="spellStart"/>
      <w:r w:rsidRPr="0088749D">
        <w:rPr>
          <w:rStyle w:val="hps"/>
          <w:rFonts w:eastAsiaTheme="majorEastAsia"/>
          <w:i/>
          <w:sz w:val="24"/>
        </w:rPr>
        <w:t>deals</w:t>
      </w:r>
      <w:proofErr w:type="spellEnd"/>
      <w:r w:rsidRPr="0088749D">
        <w:rPr>
          <w:rStyle w:val="hps"/>
          <w:rFonts w:eastAsiaTheme="majorEastAsia"/>
          <w:i/>
          <w:sz w:val="24"/>
        </w:rPr>
        <w:t xml:space="preserve"> </w:t>
      </w:r>
      <w:proofErr w:type="spellStart"/>
      <w:r w:rsidRPr="0088749D">
        <w:rPr>
          <w:rStyle w:val="hps"/>
          <w:rFonts w:eastAsiaTheme="majorEastAsia"/>
          <w:i/>
          <w:sz w:val="24"/>
        </w:rPr>
        <w:t>with</w:t>
      </w:r>
      <w:proofErr w:type="spellEnd"/>
      <w:r w:rsidRPr="0088749D">
        <w:rPr>
          <w:i/>
          <w:sz w:val="24"/>
        </w:rPr>
        <w:t xml:space="preserve"> </w:t>
      </w:r>
      <w:r w:rsidRPr="0088749D">
        <w:rPr>
          <w:rStyle w:val="hps"/>
          <w:rFonts w:eastAsiaTheme="majorEastAsia"/>
          <w:i/>
          <w:sz w:val="24"/>
        </w:rPr>
        <w:t>international standards of</w:t>
      </w:r>
      <w:r w:rsidRPr="0088749D">
        <w:rPr>
          <w:i/>
          <w:sz w:val="24"/>
        </w:rPr>
        <w:t xml:space="preserve"> </w:t>
      </w:r>
      <w:r w:rsidRPr="0088749D">
        <w:rPr>
          <w:rStyle w:val="hps"/>
          <w:rFonts w:eastAsiaTheme="majorEastAsia"/>
          <w:i/>
          <w:sz w:val="24"/>
        </w:rPr>
        <w:t>risk management</w:t>
      </w:r>
      <w:r w:rsidRPr="0088749D">
        <w:rPr>
          <w:i/>
          <w:sz w:val="24"/>
        </w:rPr>
        <w:t xml:space="preserve">, the use of </w:t>
      </w:r>
      <w:r w:rsidRPr="0088749D">
        <w:rPr>
          <w:rStyle w:val="hps"/>
          <w:rFonts w:eastAsiaTheme="majorEastAsia"/>
          <w:i/>
          <w:sz w:val="24"/>
        </w:rPr>
        <w:t>risk</w:t>
      </w:r>
      <w:r w:rsidRPr="0088749D">
        <w:rPr>
          <w:i/>
          <w:sz w:val="24"/>
        </w:rPr>
        <w:t xml:space="preserve"> </w:t>
      </w:r>
      <w:r w:rsidRPr="0088749D">
        <w:rPr>
          <w:rStyle w:val="hps"/>
          <w:rFonts w:eastAsiaTheme="majorEastAsia"/>
          <w:i/>
          <w:sz w:val="24"/>
        </w:rPr>
        <w:t>BASEL</w:t>
      </w:r>
      <w:r w:rsidRPr="0088749D">
        <w:rPr>
          <w:i/>
          <w:sz w:val="24"/>
        </w:rPr>
        <w:t xml:space="preserve"> </w:t>
      </w:r>
      <w:r w:rsidRPr="0088749D">
        <w:rPr>
          <w:rStyle w:val="hps"/>
          <w:rFonts w:eastAsiaTheme="majorEastAsia"/>
          <w:i/>
          <w:sz w:val="24"/>
        </w:rPr>
        <w:t>standards</w:t>
      </w:r>
      <w:r w:rsidRPr="0088749D">
        <w:rPr>
          <w:i/>
          <w:sz w:val="24"/>
        </w:rPr>
        <w:t xml:space="preserve"> </w:t>
      </w:r>
      <w:r w:rsidRPr="0088749D">
        <w:rPr>
          <w:rStyle w:val="hps"/>
          <w:rFonts w:eastAsiaTheme="majorEastAsia"/>
          <w:i/>
          <w:sz w:val="24"/>
        </w:rPr>
        <w:t>on</w:t>
      </w:r>
      <w:r w:rsidRPr="0088749D">
        <w:rPr>
          <w:i/>
          <w:sz w:val="24"/>
        </w:rPr>
        <w:t xml:space="preserve"> </w:t>
      </w:r>
      <w:r w:rsidRPr="0088749D">
        <w:rPr>
          <w:rStyle w:val="hps"/>
          <w:rFonts w:eastAsiaTheme="majorEastAsia"/>
          <w:i/>
          <w:sz w:val="24"/>
        </w:rPr>
        <w:t>the banking system and</w:t>
      </w:r>
      <w:r w:rsidRPr="0088749D">
        <w:rPr>
          <w:i/>
          <w:sz w:val="24"/>
        </w:rPr>
        <w:t xml:space="preserve"> </w:t>
      </w:r>
      <w:r w:rsidRPr="0088749D">
        <w:rPr>
          <w:rStyle w:val="hps"/>
          <w:rFonts w:eastAsiaTheme="majorEastAsia"/>
          <w:i/>
          <w:sz w:val="24"/>
        </w:rPr>
        <w:t>define their</w:t>
      </w:r>
      <w:r w:rsidRPr="0088749D">
        <w:rPr>
          <w:i/>
          <w:sz w:val="24"/>
        </w:rPr>
        <w:t xml:space="preserve"> </w:t>
      </w:r>
      <w:r w:rsidRPr="0088749D">
        <w:rPr>
          <w:rStyle w:val="hps"/>
          <w:rFonts w:eastAsiaTheme="majorEastAsia"/>
          <w:i/>
          <w:sz w:val="24"/>
        </w:rPr>
        <w:t>role</w:t>
      </w:r>
      <w:r w:rsidRPr="0088749D">
        <w:rPr>
          <w:i/>
          <w:sz w:val="24"/>
        </w:rPr>
        <w:t xml:space="preserve"> </w:t>
      </w:r>
      <w:r w:rsidRPr="0088749D">
        <w:rPr>
          <w:rStyle w:val="hps"/>
          <w:rFonts w:eastAsiaTheme="majorEastAsia"/>
          <w:i/>
          <w:sz w:val="24"/>
        </w:rPr>
        <w:t>in the management of</w:t>
      </w:r>
      <w:r w:rsidRPr="0088749D">
        <w:rPr>
          <w:i/>
          <w:sz w:val="24"/>
        </w:rPr>
        <w:t xml:space="preserve"> </w:t>
      </w:r>
      <w:r w:rsidRPr="0088749D">
        <w:rPr>
          <w:rStyle w:val="hps"/>
          <w:rFonts w:eastAsiaTheme="majorEastAsia"/>
          <w:i/>
          <w:sz w:val="24"/>
        </w:rPr>
        <w:t>financial risk</w:t>
      </w:r>
      <w:r w:rsidRPr="0088749D">
        <w:rPr>
          <w:i/>
          <w:sz w:val="24"/>
        </w:rPr>
        <w:t xml:space="preserve"> </w:t>
      </w:r>
      <w:r w:rsidRPr="0088749D">
        <w:rPr>
          <w:rStyle w:val="hps"/>
          <w:rFonts w:eastAsiaTheme="majorEastAsia"/>
          <w:i/>
          <w:sz w:val="24"/>
        </w:rPr>
        <w:t>enhances</w:t>
      </w:r>
      <w:r w:rsidRPr="0088749D">
        <w:rPr>
          <w:i/>
          <w:sz w:val="24"/>
        </w:rPr>
        <w:t xml:space="preserve"> </w:t>
      </w:r>
      <w:r w:rsidRPr="0088749D">
        <w:rPr>
          <w:rStyle w:val="hps"/>
          <w:rFonts w:eastAsiaTheme="majorEastAsia"/>
          <w:i/>
          <w:sz w:val="24"/>
        </w:rPr>
        <w:t>competitiveness and investment</w:t>
      </w:r>
      <w:r w:rsidRPr="0088749D">
        <w:rPr>
          <w:i/>
          <w:sz w:val="24"/>
        </w:rPr>
        <w:t xml:space="preserve"> </w:t>
      </w:r>
      <w:r w:rsidRPr="0088749D">
        <w:rPr>
          <w:rStyle w:val="hps"/>
          <w:rFonts w:eastAsiaTheme="majorEastAsia"/>
          <w:i/>
          <w:sz w:val="24"/>
        </w:rPr>
        <w:t>attractiveness of the</w:t>
      </w:r>
      <w:r w:rsidRPr="0088749D">
        <w:rPr>
          <w:i/>
          <w:sz w:val="24"/>
        </w:rPr>
        <w:t xml:space="preserve"> </w:t>
      </w:r>
      <w:r w:rsidRPr="0088749D">
        <w:rPr>
          <w:rStyle w:val="hps"/>
          <w:rFonts w:eastAsiaTheme="majorEastAsia"/>
          <w:i/>
          <w:sz w:val="24"/>
        </w:rPr>
        <w:t>project-</w:t>
      </w:r>
      <w:r w:rsidRPr="0088749D">
        <w:rPr>
          <w:i/>
          <w:sz w:val="24"/>
        </w:rPr>
        <w:t xml:space="preserve">oriented </w:t>
      </w:r>
      <w:r w:rsidRPr="0088749D">
        <w:rPr>
          <w:rStyle w:val="hps"/>
          <w:rFonts w:eastAsiaTheme="majorEastAsia"/>
          <w:i/>
          <w:sz w:val="24"/>
        </w:rPr>
        <w:t>businesses.</w:t>
      </w:r>
      <w:r w:rsidRPr="0088749D">
        <w:rPr>
          <w:i/>
          <w:sz w:val="24"/>
        </w:rPr>
        <w:t xml:space="preserve"> </w:t>
      </w:r>
    </w:p>
    <w:p w:rsidR="0088749D" w:rsidRPr="0088749D" w:rsidRDefault="0088749D" w:rsidP="004873FC">
      <w:pPr>
        <w:spacing w:line="240" w:lineRule="auto"/>
        <w:rPr>
          <w:rStyle w:val="hps"/>
          <w:rFonts w:eastAsiaTheme="majorEastAsia"/>
          <w:i/>
          <w:sz w:val="24"/>
        </w:rPr>
      </w:pPr>
    </w:p>
    <w:p w:rsidR="0035371B" w:rsidRPr="0088749D" w:rsidRDefault="0035371B" w:rsidP="0035371B">
      <w:pPr>
        <w:spacing w:line="240" w:lineRule="auto"/>
        <w:rPr>
          <w:i/>
          <w:sz w:val="24"/>
        </w:rPr>
      </w:pPr>
      <w:r w:rsidRPr="0088749D">
        <w:rPr>
          <w:i/>
          <w:sz w:val="24"/>
        </w:rPr>
        <w:t>Ключові слова: ризик-менеджмент, стандарт, ризик, процес управління ризиком.</w:t>
      </w:r>
    </w:p>
    <w:p w:rsidR="0035371B" w:rsidRDefault="0035371B" w:rsidP="004873FC">
      <w:pPr>
        <w:spacing w:line="240" w:lineRule="auto"/>
        <w:rPr>
          <w:rStyle w:val="hps"/>
          <w:rFonts w:eastAsiaTheme="majorEastAsia"/>
          <w:i/>
          <w:sz w:val="24"/>
        </w:rPr>
      </w:pPr>
    </w:p>
    <w:p w:rsidR="00DE3D9D" w:rsidRPr="0088749D" w:rsidRDefault="0088749D" w:rsidP="004873FC">
      <w:pPr>
        <w:spacing w:line="240" w:lineRule="auto"/>
        <w:rPr>
          <w:i/>
          <w:sz w:val="24"/>
        </w:rPr>
      </w:pPr>
      <w:proofErr w:type="spellStart"/>
      <w:r w:rsidRPr="0088749D">
        <w:rPr>
          <w:rStyle w:val="hps"/>
          <w:rFonts w:eastAsiaTheme="majorEastAsia"/>
          <w:i/>
          <w:sz w:val="24"/>
        </w:rPr>
        <w:t>Keywords</w:t>
      </w:r>
      <w:proofErr w:type="spellEnd"/>
      <w:r w:rsidRPr="0088749D">
        <w:rPr>
          <w:i/>
          <w:sz w:val="24"/>
        </w:rPr>
        <w:t xml:space="preserve">: </w:t>
      </w:r>
      <w:proofErr w:type="spellStart"/>
      <w:r w:rsidRPr="0088749D">
        <w:rPr>
          <w:i/>
          <w:sz w:val="24"/>
        </w:rPr>
        <w:t>risk</w:t>
      </w:r>
      <w:proofErr w:type="spellEnd"/>
      <w:r w:rsidRPr="0088749D">
        <w:rPr>
          <w:i/>
          <w:sz w:val="24"/>
        </w:rPr>
        <w:t xml:space="preserve"> </w:t>
      </w:r>
      <w:proofErr w:type="spellStart"/>
      <w:r w:rsidRPr="0088749D">
        <w:rPr>
          <w:i/>
          <w:sz w:val="24"/>
        </w:rPr>
        <w:t>management</w:t>
      </w:r>
      <w:proofErr w:type="spellEnd"/>
      <w:r w:rsidRPr="0088749D">
        <w:rPr>
          <w:i/>
          <w:sz w:val="24"/>
        </w:rPr>
        <w:t xml:space="preserve">, a standard </w:t>
      </w:r>
      <w:r w:rsidRPr="0088749D">
        <w:rPr>
          <w:rStyle w:val="hps"/>
          <w:rFonts w:eastAsiaTheme="majorEastAsia"/>
          <w:i/>
          <w:sz w:val="24"/>
        </w:rPr>
        <w:t>risk,</w:t>
      </w:r>
      <w:r w:rsidRPr="0088749D">
        <w:rPr>
          <w:i/>
          <w:sz w:val="24"/>
        </w:rPr>
        <w:t xml:space="preserve"> </w:t>
      </w:r>
      <w:r w:rsidRPr="0088749D">
        <w:rPr>
          <w:rStyle w:val="hps"/>
          <w:rFonts w:eastAsiaTheme="majorEastAsia"/>
          <w:i/>
          <w:sz w:val="24"/>
        </w:rPr>
        <w:t>risk management process</w:t>
      </w:r>
      <w:r w:rsidRPr="0088749D">
        <w:rPr>
          <w:i/>
          <w:sz w:val="24"/>
        </w:rPr>
        <w:t>.</w:t>
      </w:r>
    </w:p>
    <w:p w:rsidR="0088749D" w:rsidRPr="0088749D" w:rsidRDefault="0088749D" w:rsidP="004873FC">
      <w:pPr>
        <w:spacing w:line="240" w:lineRule="auto"/>
        <w:rPr>
          <w:sz w:val="24"/>
        </w:rPr>
      </w:pPr>
    </w:p>
    <w:p w:rsidR="0088749D" w:rsidRPr="0088749D" w:rsidRDefault="0088749D" w:rsidP="004873FC">
      <w:pPr>
        <w:spacing w:line="240" w:lineRule="auto"/>
        <w:rPr>
          <w:szCs w:val="28"/>
        </w:rPr>
      </w:pPr>
    </w:p>
    <w:p w:rsidR="00F3104B" w:rsidRPr="0088749D" w:rsidRDefault="00F3104B" w:rsidP="00AE5FEE">
      <w:pPr>
        <w:rPr>
          <w:szCs w:val="28"/>
        </w:rPr>
      </w:pPr>
      <w:r w:rsidRPr="0088749D">
        <w:rPr>
          <w:b/>
          <w:szCs w:val="28"/>
        </w:rPr>
        <w:t xml:space="preserve">Постановка проблеми. </w:t>
      </w:r>
      <w:r w:rsidRPr="0088749D">
        <w:rPr>
          <w:szCs w:val="28"/>
        </w:rPr>
        <w:t>Нестабільність світової економіки і банкрутство відомих банків та компаній стимулюють розроблення й впровадження міжнародних, національних та корпоративних стандартів управління ризиками. Провідними розробниками стандартів із ризик-менеджменту є Канадська та Японська асоціації</w:t>
      </w:r>
      <w:r w:rsidR="00CB258E" w:rsidRPr="00CB258E">
        <w:rPr>
          <w:szCs w:val="28"/>
        </w:rPr>
        <w:t xml:space="preserve"> </w:t>
      </w:r>
      <w:r w:rsidRPr="0088749D">
        <w:rPr>
          <w:szCs w:val="28"/>
        </w:rPr>
        <w:t>стандартів, Організація по стандартах Австралії, Міжнародна організація зі стандартизації(МОС) та Міжнародна електротехнічна комісія (МЕК), Австрійський інститут стандартів, тощо.</w:t>
      </w:r>
    </w:p>
    <w:p w:rsidR="00C472D3" w:rsidRDefault="00850A24" w:rsidP="00AE5FEE">
      <w:pPr>
        <w:rPr>
          <w:szCs w:val="28"/>
        </w:rPr>
      </w:pPr>
      <w:r w:rsidRPr="00850A24">
        <w:rPr>
          <w:b/>
          <w:szCs w:val="28"/>
        </w:rPr>
        <w:t>Аналіз останніх досліджень і публікацій.</w:t>
      </w:r>
      <w:r>
        <w:rPr>
          <w:szCs w:val="28"/>
        </w:rPr>
        <w:t xml:space="preserve"> </w:t>
      </w:r>
      <w:r w:rsidRPr="00785BC4">
        <w:rPr>
          <w:szCs w:val="28"/>
          <w:lang w:eastAsia="uk-UA"/>
        </w:rPr>
        <w:t xml:space="preserve">Вирішення проблем існування фінансових ризиків стає можливим завдяки працям ведучих зарубіжних  і вітчизняних вчених по базовим аспектам менеджменту, економіки  </w:t>
      </w:r>
      <w:r w:rsidRPr="00785BC4">
        <w:rPr>
          <w:szCs w:val="28"/>
          <w:lang w:eastAsia="uk-UA"/>
        </w:rPr>
        <w:lastRenderedPageBreak/>
        <w:t>підприємств,  фінансового аналізу, фондового ринку, банківської справи. Серед вітчизняних та зарубіжних вчених необхідно виділити таких як:</w:t>
      </w:r>
      <w:r w:rsidRPr="00785BC4">
        <w:rPr>
          <w:szCs w:val="28"/>
        </w:rPr>
        <w:t xml:space="preserve"> </w:t>
      </w:r>
      <w:r w:rsidRPr="00785BC4">
        <w:rPr>
          <w:color w:val="231F20"/>
          <w:szCs w:val="28"/>
        </w:rPr>
        <w:t xml:space="preserve">В. В. </w:t>
      </w:r>
      <w:proofErr w:type="spellStart"/>
      <w:r w:rsidRPr="00785BC4">
        <w:rPr>
          <w:color w:val="231F20"/>
          <w:szCs w:val="28"/>
        </w:rPr>
        <w:t>Вітлінський</w:t>
      </w:r>
      <w:proofErr w:type="spellEnd"/>
      <w:r w:rsidRPr="00785BC4">
        <w:rPr>
          <w:color w:val="231F20"/>
          <w:szCs w:val="28"/>
        </w:rPr>
        <w:t xml:space="preserve">, П. І. </w:t>
      </w:r>
      <w:proofErr w:type="spellStart"/>
      <w:r w:rsidRPr="00785BC4">
        <w:rPr>
          <w:color w:val="231F20"/>
          <w:szCs w:val="28"/>
        </w:rPr>
        <w:t>Верченко</w:t>
      </w:r>
      <w:proofErr w:type="spellEnd"/>
      <w:r w:rsidRPr="00785BC4">
        <w:rPr>
          <w:color w:val="231F20"/>
          <w:szCs w:val="28"/>
        </w:rPr>
        <w:t xml:space="preserve">, </w:t>
      </w:r>
      <w:r w:rsidRPr="00785BC4">
        <w:rPr>
          <w:szCs w:val="28"/>
        </w:rPr>
        <w:t xml:space="preserve">В. М. </w:t>
      </w:r>
      <w:proofErr w:type="spellStart"/>
      <w:r w:rsidRPr="00785BC4">
        <w:rPr>
          <w:szCs w:val="28"/>
        </w:rPr>
        <w:t>Гранатуров</w:t>
      </w:r>
      <w:proofErr w:type="spellEnd"/>
      <w:r w:rsidRPr="00785BC4">
        <w:rPr>
          <w:szCs w:val="28"/>
        </w:rPr>
        <w:t xml:space="preserve">, </w:t>
      </w:r>
      <w:r w:rsidRPr="00785BC4">
        <w:rPr>
          <w:color w:val="231F20"/>
          <w:szCs w:val="28"/>
        </w:rPr>
        <w:t xml:space="preserve">О. В. </w:t>
      </w:r>
      <w:proofErr w:type="spellStart"/>
      <w:r w:rsidRPr="00785BC4">
        <w:rPr>
          <w:color w:val="231F20"/>
          <w:szCs w:val="28"/>
        </w:rPr>
        <w:t>Гурнак</w:t>
      </w:r>
      <w:proofErr w:type="spellEnd"/>
      <w:r w:rsidRPr="00785BC4">
        <w:rPr>
          <w:color w:val="231F20"/>
          <w:szCs w:val="28"/>
        </w:rPr>
        <w:t xml:space="preserve">, </w:t>
      </w:r>
      <w:r w:rsidRPr="00785BC4">
        <w:rPr>
          <w:szCs w:val="28"/>
        </w:rPr>
        <w:t>О.П.</w:t>
      </w:r>
      <w:proofErr w:type="spellStart"/>
      <w:r w:rsidRPr="00785BC4">
        <w:rPr>
          <w:szCs w:val="28"/>
        </w:rPr>
        <w:t>Заруцька</w:t>
      </w:r>
      <w:proofErr w:type="spellEnd"/>
      <w:r w:rsidRPr="00785BC4">
        <w:rPr>
          <w:szCs w:val="28"/>
        </w:rPr>
        <w:t xml:space="preserve">, Г.Г. </w:t>
      </w:r>
      <w:proofErr w:type="spellStart"/>
      <w:r w:rsidRPr="00785BC4">
        <w:rPr>
          <w:szCs w:val="28"/>
        </w:rPr>
        <w:t>Кірейцев</w:t>
      </w:r>
      <w:proofErr w:type="spellEnd"/>
      <w:r w:rsidRPr="00785BC4">
        <w:rPr>
          <w:szCs w:val="28"/>
        </w:rPr>
        <w:t xml:space="preserve">, Т. С. </w:t>
      </w:r>
      <w:proofErr w:type="spellStart"/>
      <w:r w:rsidRPr="00785BC4">
        <w:rPr>
          <w:szCs w:val="28"/>
        </w:rPr>
        <w:t>Клебанова</w:t>
      </w:r>
      <w:proofErr w:type="spellEnd"/>
      <w:r w:rsidRPr="00785BC4">
        <w:rPr>
          <w:szCs w:val="28"/>
        </w:rPr>
        <w:t xml:space="preserve">, В.Т. </w:t>
      </w:r>
      <w:proofErr w:type="spellStart"/>
      <w:r w:rsidRPr="00785BC4">
        <w:rPr>
          <w:szCs w:val="28"/>
        </w:rPr>
        <w:t>Севрук</w:t>
      </w:r>
      <w:proofErr w:type="spellEnd"/>
      <w:r w:rsidRPr="00785BC4">
        <w:rPr>
          <w:szCs w:val="28"/>
        </w:rPr>
        <w:t xml:space="preserve"> , О. М. </w:t>
      </w:r>
      <w:proofErr w:type="spellStart"/>
      <w:r w:rsidRPr="00785BC4">
        <w:rPr>
          <w:szCs w:val="28"/>
        </w:rPr>
        <w:t>Сохацька</w:t>
      </w:r>
      <w:proofErr w:type="spellEnd"/>
      <w:r w:rsidRPr="00785BC4">
        <w:rPr>
          <w:szCs w:val="28"/>
        </w:rPr>
        <w:t xml:space="preserve">, М.С. </w:t>
      </w:r>
      <w:proofErr w:type="spellStart"/>
      <w:r w:rsidRPr="00785BC4">
        <w:rPr>
          <w:szCs w:val="28"/>
        </w:rPr>
        <w:t>Немчин</w:t>
      </w:r>
      <w:proofErr w:type="spellEnd"/>
      <w:r w:rsidRPr="00785BC4">
        <w:rPr>
          <w:szCs w:val="28"/>
        </w:rPr>
        <w:t xml:space="preserve">, Н. В. </w:t>
      </w:r>
      <w:proofErr w:type="spellStart"/>
      <w:r w:rsidRPr="00785BC4">
        <w:rPr>
          <w:szCs w:val="28"/>
        </w:rPr>
        <w:t>Хохлов</w:t>
      </w:r>
      <w:proofErr w:type="spellEnd"/>
      <w:r w:rsidRPr="00785BC4">
        <w:rPr>
          <w:szCs w:val="28"/>
        </w:rPr>
        <w:t xml:space="preserve"> та інші</w:t>
      </w:r>
      <w:r>
        <w:rPr>
          <w:szCs w:val="28"/>
        </w:rPr>
        <w:t>.</w:t>
      </w:r>
    </w:p>
    <w:p w:rsidR="0035371B" w:rsidRPr="0035371B" w:rsidRDefault="006A672D" w:rsidP="00AE5FEE">
      <w:pPr>
        <w:rPr>
          <w:szCs w:val="28"/>
        </w:rPr>
      </w:pPr>
      <w:r>
        <w:rPr>
          <w:b/>
          <w:bCs/>
          <w:szCs w:val="28"/>
        </w:rPr>
        <w:t>Цілі статті</w:t>
      </w:r>
      <w:r w:rsidR="0035371B" w:rsidRPr="0035371B">
        <w:rPr>
          <w:szCs w:val="28"/>
        </w:rPr>
        <w:t xml:space="preserve"> </w:t>
      </w:r>
      <w:r>
        <w:rPr>
          <w:szCs w:val="28"/>
        </w:rPr>
        <w:t xml:space="preserve">полягають у дослідженні </w:t>
      </w:r>
      <w:r w:rsidR="0035371B" w:rsidRPr="0088749D">
        <w:rPr>
          <w:szCs w:val="28"/>
        </w:rPr>
        <w:t>міжнародн</w:t>
      </w:r>
      <w:r>
        <w:rPr>
          <w:szCs w:val="28"/>
        </w:rPr>
        <w:t>их</w:t>
      </w:r>
      <w:r w:rsidR="0035371B" w:rsidRPr="0088749D">
        <w:rPr>
          <w:szCs w:val="28"/>
        </w:rPr>
        <w:t xml:space="preserve"> стандарт</w:t>
      </w:r>
      <w:r>
        <w:rPr>
          <w:szCs w:val="28"/>
        </w:rPr>
        <w:t>ів</w:t>
      </w:r>
      <w:r w:rsidR="0035371B" w:rsidRPr="0088749D">
        <w:rPr>
          <w:szCs w:val="28"/>
        </w:rPr>
        <w:t xml:space="preserve"> ризик-менеджменту</w:t>
      </w:r>
      <w:r w:rsidR="00C472D3">
        <w:rPr>
          <w:szCs w:val="28"/>
        </w:rPr>
        <w:t xml:space="preserve"> та можливості</w:t>
      </w:r>
      <w:r w:rsidR="0035371B" w:rsidRPr="0088749D">
        <w:rPr>
          <w:szCs w:val="28"/>
        </w:rPr>
        <w:t xml:space="preserve"> </w:t>
      </w:r>
      <w:r>
        <w:rPr>
          <w:szCs w:val="28"/>
        </w:rPr>
        <w:t>вітчизнян</w:t>
      </w:r>
      <w:r w:rsidR="00C472D3">
        <w:rPr>
          <w:szCs w:val="28"/>
        </w:rPr>
        <w:t>их</w:t>
      </w:r>
      <w:r>
        <w:rPr>
          <w:szCs w:val="28"/>
        </w:rPr>
        <w:t xml:space="preserve"> </w:t>
      </w:r>
      <w:r w:rsidR="0035371B" w:rsidRPr="0088749D">
        <w:rPr>
          <w:szCs w:val="28"/>
        </w:rPr>
        <w:t>компані</w:t>
      </w:r>
      <w:r w:rsidR="00C472D3">
        <w:rPr>
          <w:szCs w:val="28"/>
        </w:rPr>
        <w:t>й</w:t>
      </w:r>
      <w:r w:rsidR="0035371B" w:rsidRPr="0088749D">
        <w:rPr>
          <w:szCs w:val="28"/>
        </w:rPr>
        <w:t xml:space="preserve"> </w:t>
      </w:r>
      <w:r w:rsidR="00C472D3">
        <w:rPr>
          <w:szCs w:val="28"/>
        </w:rPr>
        <w:t>адаптації їх у</w:t>
      </w:r>
      <w:r w:rsidR="0035371B" w:rsidRPr="0088749D">
        <w:rPr>
          <w:szCs w:val="28"/>
        </w:rPr>
        <w:t xml:space="preserve"> св</w:t>
      </w:r>
      <w:r w:rsidR="00C472D3">
        <w:rPr>
          <w:szCs w:val="28"/>
        </w:rPr>
        <w:t>оїй</w:t>
      </w:r>
      <w:r w:rsidR="0035371B" w:rsidRPr="0088749D">
        <w:rPr>
          <w:szCs w:val="28"/>
        </w:rPr>
        <w:t xml:space="preserve"> </w:t>
      </w:r>
      <w:r w:rsidR="00C472D3">
        <w:rPr>
          <w:szCs w:val="28"/>
        </w:rPr>
        <w:t>діяльності.</w:t>
      </w:r>
      <w:r w:rsidR="0035371B" w:rsidRPr="0088749D">
        <w:rPr>
          <w:szCs w:val="28"/>
        </w:rPr>
        <w:t xml:space="preserve"> </w:t>
      </w:r>
    </w:p>
    <w:p w:rsidR="00A3628E" w:rsidRPr="0088749D" w:rsidRDefault="00F3104B" w:rsidP="00AE5FEE">
      <w:pPr>
        <w:rPr>
          <w:szCs w:val="28"/>
        </w:rPr>
      </w:pPr>
      <w:r w:rsidRPr="0088749D">
        <w:rPr>
          <w:b/>
          <w:szCs w:val="28"/>
        </w:rPr>
        <w:t>Виклад основного матеріалу.</w:t>
      </w:r>
      <w:r w:rsidRPr="0088749D">
        <w:rPr>
          <w:szCs w:val="28"/>
        </w:rPr>
        <w:t xml:space="preserve"> </w:t>
      </w:r>
      <w:r w:rsidR="00A3628E" w:rsidRPr="0088749D">
        <w:rPr>
          <w:szCs w:val="28"/>
        </w:rPr>
        <w:t>Управління ризиками – це напрям, що дуже швидко розвивається. Існує багато описів різноманітних видів того, що включає в себе поняття «ризик-менеджмент», як його використовують та з якою метою.</w:t>
      </w:r>
    </w:p>
    <w:p w:rsidR="00A3628E" w:rsidRPr="0088749D" w:rsidRDefault="00A3628E" w:rsidP="00AE5FEE">
      <w:pPr>
        <w:rPr>
          <w:szCs w:val="28"/>
        </w:rPr>
      </w:pPr>
      <w:r w:rsidRPr="0088749D">
        <w:rPr>
          <w:szCs w:val="28"/>
        </w:rPr>
        <w:t>Для того, щоб дійти згоди з основних питань ризик-менеджменту було створено міжнародні стандарти, в яких описуються такі аспекти, як термінологія, що використовується; процес Управління проектами практичного використання ризик-менеджменту; організаційна структура та мета ризик-менеджменту [</w:t>
      </w:r>
      <w:r w:rsidR="000E269C" w:rsidRPr="000E269C">
        <w:rPr>
          <w:szCs w:val="28"/>
          <w:lang w:val="ru-RU"/>
        </w:rPr>
        <w:t>6</w:t>
      </w:r>
      <w:r w:rsidRPr="0088749D">
        <w:rPr>
          <w:szCs w:val="28"/>
        </w:rPr>
        <w:t>, с. 36].</w:t>
      </w:r>
    </w:p>
    <w:p w:rsidR="00A3628E" w:rsidRPr="0088749D" w:rsidRDefault="00A3628E" w:rsidP="00AE5FEE">
      <w:pPr>
        <w:rPr>
          <w:szCs w:val="28"/>
        </w:rPr>
      </w:pPr>
      <w:r w:rsidRPr="0088749D">
        <w:rPr>
          <w:szCs w:val="28"/>
        </w:rPr>
        <w:t>Особливо важливе розуміння того, що стандарти управління ризиками включають в себе як «позитивні», так і «негативні» аспекти ризику для підприємства.</w:t>
      </w:r>
    </w:p>
    <w:p w:rsidR="00A3628E" w:rsidRPr="0088749D" w:rsidRDefault="00A3628E" w:rsidP="00AE5FEE">
      <w:pPr>
        <w:rPr>
          <w:szCs w:val="28"/>
        </w:rPr>
      </w:pPr>
      <w:r w:rsidRPr="0088749D">
        <w:rPr>
          <w:szCs w:val="28"/>
        </w:rPr>
        <w:t>Ключовим стандартом для управління ризиками є ISO 31000 «Загальні керівні вказівки щодо принципів та втілення ризик-менеджменту». До затвердження цей документ пройшов довгий шлях [</w:t>
      </w:r>
      <w:r w:rsidR="000E269C">
        <w:rPr>
          <w:szCs w:val="28"/>
          <w:lang w:val="en-US"/>
        </w:rPr>
        <w:t>4</w:t>
      </w:r>
      <w:r w:rsidRPr="0088749D">
        <w:rPr>
          <w:szCs w:val="28"/>
        </w:rPr>
        <w:t>].</w:t>
      </w:r>
    </w:p>
    <w:p w:rsidR="00A3628E" w:rsidRPr="0088749D" w:rsidRDefault="00A3628E" w:rsidP="00AE5FEE">
      <w:pPr>
        <w:rPr>
          <w:szCs w:val="28"/>
        </w:rPr>
      </w:pPr>
      <w:r w:rsidRPr="0088749D">
        <w:rPr>
          <w:szCs w:val="28"/>
        </w:rPr>
        <w:t xml:space="preserve">Все почалося тоді, коли міжвідомчий технічний комітет ОВ/7 «Стандартів Австралії» / «Стандартів Нової Зеландії» розробив стандарт AS/NZS 4360 «Управління ризиком», уперше виданий у листопаді 1995 року, переглянутий у 1999 році і востаннє переглянутий у 2004. Організації зі стандартів Канади (1997 рік) та Японії (2001 рік) прийняли свої власні версії, а в 2002 році ISO та Міжнародна Електротехнічна Комісія (ІЕС) опублікували </w:t>
      </w:r>
      <w:r w:rsidRPr="0088749D">
        <w:rPr>
          <w:szCs w:val="28"/>
        </w:rPr>
        <w:lastRenderedPageBreak/>
        <w:t>Настанову ISO/IEC 73 «Управління ризиком. Словник. Настанови з використання в стандартах».</w:t>
      </w:r>
    </w:p>
    <w:p w:rsidR="00A3628E" w:rsidRPr="0088749D" w:rsidRDefault="00A3628E" w:rsidP="00AE5FEE">
      <w:pPr>
        <w:rPr>
          <w:szCs w:val="28"/>
        </w:rPr>
      </w:pPr>
      <w:r w:rsidRPr="0088749D">
        <w:rPr>
          <w:szCs w:val="28"/>
        </w:rPr>
        <w:t>Оскільки стандарт AS/NZS 4360:2004 загальний і вимагає адаптації до того чи іншого підприємства, то це дозволяє уникнути скарг, що стандарти «небезпечні». Хоча управління ризиком все ще розвивається, але ці настанови вже в їхньому третьому розробленні допоможуть будь-якому підприємству розпочати і змінити процес.</w:t>
      </w:r>
    </w:p>
    <w:p w:rsidR="00A3628E" w:rsidRPr="0088749D" w:rsidRDefault="00A3628E" w:rsidP="00AE5FEE">
      <w:pPr>
        <w:rPr>
          <w:szCs w:val="28"/>
        </w:rPr>
      </w:pPr>
      <w:r w:rsidRPr="0088749D">
        <w:rPr>
          <w:szCs w:val="28"/>
        </w:rPr>
        <w:t>Стандарт AS/NZS 4360 відповідає глобальній потребі у загальних настановах із застосування управління ризиками на підприємствах всіх розмірів як приватних, так і державних [</w:t>
      </w:r>
      <w:r w:rsidR="00DE3D9D" w:rsidRPr="0088749D">
        <w:rPr>
          <w:szCs w:val="28"/>
        </w:rPr>
        <w:t>1</w:t>
      </w:r>
      <w:r w:rsidRPr="0088749D">
        <w:rPr>
          <w:szCs w:val="28"/>
        </w:rPr>
        <w:t>].</w:t>
      </w:r>
    </w:p>
    <w:p w:rsidR="00A3628E" w:rsidRPr="0088749D" w:rsidRDefault="00A3628E" w:rsidP="00AE5FEE">
      <w:pPr>
        <w:rPr>
          <w:szCs w:val="28"/>
        </w:rPr>
      </w:pPr>
      <w:r w:rsidRPr="0088749D">
        <w:rPr>
          <w:szCs w:val="28"/>
        </w:rPr>
        <w:t>Слідом за публікацією Настанови ISO/IEC 73:2002 у 2004 році була подана пропозиція до Керівного технічного бюро (ТМВ) ISO стосовно необхідності розроблення стандарту ISO на управління ризиком.</w:t>
      </w:r>
    </w:p>
    <w:p w:rsidR="00A3628E" w:rsidRPr="0088749D" w:rsidRDefault="00A3628E" w:rsidP="00AE5FEE">
      <w:pPr>
        <w:rPr>
          <w:szCs w:val="28"/>
        </w:rPr>
      </w:pPr>
      <w:r w:rsidRPr="0088749D">
        <w:rPr>
          <w:szCs w:val="28"/>
        </w:rPr>
        <w:t>Пропозиція обговорювалася на ряді засідань ТМВ, поки у вересні 2004 року ТМВ запропонував Японському комітету індустріальних стандартів (JISC) до нової робочої теми (NWIP) заснувати робочу групу (WG) для розробляння стандарту.</w:t>
      </w:r>
    </w:p>
    <w:p w:rsidR="00A3628E" w:rsidRPr="0088749D" w:rsidRDefault="00A3628E" w:rsidP="00AE5FEE">
      <w:pPr>
        <w:rPr>
          <w:szCs w:val="28"/>
        </w:rPr>
      </w:pPr>
      <w:r w:rsidRPr="0088749D">
        <w:rPr>
          <w:szCs w:val="28"/>
        </w:rPr>
        <w:t>Під час перегляду робочою групою Настанови ISO/IEC 73:2002 екстенсивно обговорювалась взаємозалежність між управлінням ризиками і безпекою. Хоча більшість погодилась, що було б недоцільно усунути аспекти безпеки з контексту застосування стандарту, значна кількість висловилась і за проявлення обережності у формулюванні положень документа, поважаючи і враховуючи серйозність питань безпеки.</w:t>
      </w:r>
    </w:p>
    <w:p w:rsidR="00A3628E" w:rsidRPr="0088749D" w:rsidRDefault="00A3628E" w:rsidP="00AE5FEE">
      <w:pPr>
        <w:rPr>
          <w:szCs w:val="28"/>
        </w:rPr>
      </w:pPr>
      <w:r w:rsidRPr="0088749D">
        <w:rPr>
          <w:szCs w:val="28"/>
        </w:rPr>
        <w:t>Була висловлена думка, що вирішення таких проблем не повинне ставити під загрозу загальний характер стандарту. Було обговорено, що його загальний характер буде доведено та розширено можливостями погодження загального розуміння різними співтовариствами того, що ризики повинні управлятися у всіх галузях.</w:t>
      </w:r>
    </w:p>
    <w:p w:rsidR="00A3628E" w:rsidRPr="0088749D" w:rsidRDefault="00A3628E" w:rsidP="00AE5FEE">
      <w:pPr>
        <w:rPr>
          <w:szCs w:val="28"/>
        </w:rPr>
      </w:pPr>
      <w:r w:rsidRPr="0088749D">
        <w:rPr>
          <w:szCs w:val="28"/>
        </w:rPr>
        <w:t xml:space="preserve">Аргументи, що піддають сумніву виняткові зусилля для розміщення інтересів експертів з безпеки або експертів будь-якої іншої галузі, були також  </w:t>
      </w:r>
      <w:r w:rsidRPr="0088749D">
        <w:rPr>
          <w:szCs w:val="28"/>
        </w:rPr>
        <w:lastRenderedPageBreak/>
        <w:t>опрацьовані. Стверджувалось, що безпека не є «особливою», хоча людина або організація можуть законно приділяти їй належну увагу. Таким чином, немає ніяких причин надавати цьому особливого значення або спеціального положення будь-якого виду у формулюванні стандарту ISO 31000, який, врешті-решт, обіцяє змінити концепцію ризику, що підтримується багатьма спеціалістами у багатьох галузях [</w:t>
      </w:r>
      <w:r w:rsidR="000E269C" w:rsidRPr="000E269C">
        <w:rPr>
          <w:szCs w:val="28"/>
        </w:rPr>
        <w:t>4</w:t>
      </w:r>
      <w:r w:rsidRPr="0088749D">
        <w:rPr>
          <w:szCs w:val="28"/>
        </w:rPr>
        <w:t>, с. 6-8].</w:t>
      </w:r>
    </w:p>
    <w:p w:rsidR="00A3628E" w:rsidRPr="0088749D" w:rsidRDefault="00A3628E" w:rsidP="00AE5FEE">
      <w:pPr>
        <w:rPr>
          <w:szCs w:val="28"/>
        </w:rPr>
      </w:pPr>
      <w:r w:rsidRPr="0088749D">
        <w:rPr>
          <w:szCs w:val="28"/>
        </w:rPr>
        <w:t>У стандарті ISO 31000, як у документі високого рівня, повинні розглядатися усі види ризиків, враховуючи безпеку і навколишнє середовище, а розділи «Вступ» і «Сфера застосування» будуть мати чітко стандартний характер загального документа високого рівня, що поважає різноманітність потреб його користувачів.</w:t>
      </w:r>
    </w:p>
    <w:p w:rsidR="00A3628E" w:rsidRPr="0088749D" w:rsidRDefault="00A3628E" w:rsidP="00AE5FEE">
      <w:pPr>
        <w:rPr>
          <w:szCs w:val="28"/>
        </w:rPr>
      </w:pPr>
      <w:r w:rsidRPr="0088749D">
        <w:rPr>
          <w:szCs w:val="28"/>
        </w:rPr>
        <w:t>Очевидно, що якщо промислова організація підпорядковується визначеним вимогам безпеки та/або екологічного законодавства, то її програма управління ризиком буде більше відповідати плану дій і вони встановлять конкретні потреби безпеки та екологічні стандарти для управління своїми ризиками.</w:t>
      </w:r>
    </w:p>
    <w:p w:rsidR="00A3628E" w:rsidRPr="0088749D" w:rsidRDefault="00A3628E" w:rsidP="00AE5FEE">
      <w:pPr>
        <w:rPr>
          <w:szCs w:val="28"/>
        </w:rPr>
      </w:pPr>
      <w:r w:rsidRPr="0088749D">
        <w:rPr>
          <w:szCs w:val="28"/>
        </w:rPr>
        <w:t>Стандарт ISO 31000 є початком того, що багато національних та регіональних органів зі стандартизації розроблять ряд посібників для доповнення і пояснення реалізації нового стандарту.</w:t>
      </w:r>
    </w:p>
    <w:p w:rsidR="00A3628E" w:rsidRPr="0088749D" w:rsidRDefault="00A3628E" w:rsidP="00AE5FEE">
      <w:pPr>
        <w:rPr>
          <w:szCs w:val="28"/>
        </w:rPr>
      </w:pPr>
      <w:r w:rsidRPr="0088749D">
        <w:rPr>
          <w:szCs w:val="28"/>
        </w:rPr>
        <w:t>Даний стандарт дає загальне розуміння того, як розробити, впровадити і підтримувати ефективну систему управління ризиками в рамках галузі, підприємства та ін.</w:t>
      </w:r>
    </w:p>
    <w:p w:rsidR="00A3628E" w:rsidRPr="0088749D" w:rsidRDefault="00A3628E" w:rsidP="00AE5FEE">
      <w:pPr>
        <w:rPr>
          <w:szCs w:val="28"/>
        </w:rPr>
      </w:pPr>
      <w:r w:rsidRPr="0088749D">
        <w:rPr>
          <w:szCs w:val="28"/>
        </w:rPr>
        <w:t>Впроваджуючи ISO 31000, компанія може порівняти свою практику управління ризиками з міжнародним досвідом і привнести свій власний досвід у світову практику управління ризиками.</w:t>
      </w:r>
    </w:p>
    <w:p w:rsidR="00A3628E" w:rsidRPr="0088749D" w:rsidRDefault="00A3628E" w:rsidP="00AE5FEE">
      <w:pPr>
        <w:rPr>
          <w:szCs w:val="28"/>
        </w:rPr>
      </w:pPr>
      <w:r w:rsidRPr="0088749D">
        <w:rPr>
          <w:szCs w:val="28"/>
        </w:rPr>
        <w:t>Отже, стандарт ISO 31000 на управління ризиком призначений для:</w:t>
      </w:r>
    </w:p>
    <w:p w:rsidR="00A3628E" w:rsidRPr="0088749D" w:rsidRDefault="00A3628E" w:rsidP="00AE5FEE">
      <w:pPr>
        <w:numPr>
          <w:ilvl w:val="0"/>
          <w:numId w:val="1"/>
        </w:numPr>
        <w:tabs>
          <w:tab w:val="left" w:pos="1134"/>
        </w:tabs>
        <w:ind w:left="0" w:firstLine="709"/>
        <w:rPr>
          <w:szCs w:val="28"/>
        </w:rPr>
      </w:pPr>
      <w:r w:rsidRPr="0088749D">
        <w:rPr>
          <w:szCs w:val="28"/>
        </w:rPr>
        <w:t>збільшення ймовірності досягнення мети;</w:t>
      </w:r>
    </w:p>
    <w:p w:rsidR="00A3628E" w:rsidRPr="0088749D" w:rsidRDefault="00A3628E" w:rsidP="00AE5FEE">
      <w:pPr>
        <w:numPr>
          <w:ilvl w:val="0"/>
          <w:numId w:val="1"/>
        </w:numPr>
        <w:tabs>
          <w:tab w:val="left" w:pos="1134"/>
        </w:tabs>
        <w:ind w:left="0" w:firstLine="709"/>
        <w:rPr>
          <w:szCs w:val="28"/>
        </w:rPr>
      </w:pPr>
      <w:r w:rsidRPr="0088749D">
        <w:rPr>
          <w:szCs w:val="28"/>
        </w:rPr>
        <w:t xml:space="preserve">заохочення активного управління та впровадження елементів управління ризиками в загальний </w:t>
      </w:r>
      <w:proofErr w:type="spellStart"/>
      <w:r w:rsidRPr="0088749D">
        <w:rPr>
          <w:szCs w:val="28"/>
        </w:rPr>
        <w:t>процесний</w:t>
      </w:r>
      <w:proofErr w:type="spellEnd"/>
      <w:r w:rsidRPr="0088749D">
        <w:rPr>
          <w:szCs w:val="28"/>
        </w:rPr>
        <w:t xml:space="preserve"> підхід сертифікованих підприємств;</w:t>
      </w:r>
    </w:p>
    <w:p w:rsidR="00A3628E" w:rsidRPr="0088749D" w:rsidRDefault="00A3628E" w:rsidP="00AE5FEE">
      <w:pPr>
        <w:numPr>
          <w:ilvl w:val="0"/>
          <w:numId w:val="1"/>
        </w:numPr>
        <w:tabs>
          <w:tab w:val="left" w:pos="1134"/>
        </w:tabs>
        <w:ind w:left="0" w:firstLine="709"/>
        <w:rPr>
          <w:szCs w:val="28"/>
        </w:rPr>
      </w:pPr>
      <w:r w:rsidRPr="0088749D">
        <w:rPr>
          <w:szCs w:val="28"/>
        </w:rPr>
        <w:lastRenderedPageBreak/>
        <w:t xml:space="preserve">інформування про необхідність виявлення та усунення ризиків в масштабах всієї організації; </w:t>
      </w:r>
    </w:p>
    <w:p w:rsidR="00A3628E" w:rsidRPr="0088749D" w:rsidRDefault="00A3628E" w:rsidP="00AE5FEE">
      <w:pPr>
        <w:numPr>
          <w:ilvl w:val="0"/>
          <w:numId w:val="1"/>
        </w:numPr>
        <w:tabs>
          <w:tab w:val="left" w:pos="1134"/>
        </w:tabs>
        <w:ind w:left="0" w:firstLine="709"/>
        <w:rPr>
          <w:szCs w:val="28"/>
        </w:rPr>
      </w:pPr>
      <w:r w:rsidRPr="0088749D">
        <w:rPr>
          <w:szCs w:val="28"/>
        </w:rPr>
        <w:t>покращення виявлення можливостей і загроз;</w:t>
      </w:r>
    </w:p>
    <w:p w:rsidR="00A3628E" w:rsidRPr="0088749D" w:rsidRDefault="00A3628E" w:rsidP="00AE5FEE">
      <w:pPr>
        <w:numPr>
          <w:ilvl w:val="0"/>
          <w:numId w:val="1"/>
        </w:numPr>
        <w:tabs>
          <w:tab w:val="left" w:pos="1134"/>
        </w:tabs>
        <w:ind w:left="0" w:firstLine="709"/>
        <w:rPr>
          <w:szCs w:val="28"/>
        </w:rPr>
      </w:pPr>
      <w:r w:rsidRPr="0088749D">
        <w:rPr>
          <w:szCs w:val="28"/>
        </w:rPr>
        <w:t>вдосконалення фінансової звітності;</w:t>
      </w:r>
    </w:p>
    <w:p w:rsidR="00A3628E" w:rsidRPr="0088749D" w:rsidRDefault="00A3628E" w:rsidP="00AE5FEE">
      <w:pPr>
        <w:numPr>
          <w:ilvl w:val="0"/>
          <w:numId w:val="1"/>
        </w:numPr>
        <w:tabs>
          <w:tab w:val="left" w:pos="1134"/>
        </w:tabs>
        <w:ind w:left="0" w:firstLine="709"/>
        <w:rPr>
          <w:szCs w:val="28"/>
        </w:rPr>
      </w:pPr>
      <w:r w:rsidRPr="0088749D">
        <w:rPr>
          <w:szCs w:val="28"/>
        </w:rPr>
        <w:t>підвищення ефективності управління та рівня довіри зацікавлених сторін;</w:t>
      </w:r>
    </w:p>
    <w:p w:rsidR="00A3628E" w:rsidRPr="0088749D" w:rsidRDefault="00A3628E" w:rsidP="00AE5FEE">
      <w:pPr>
        <w:numPr>
          <w:ilvl w:val="0"/>
          <w:numId w:val="1"/>
        </w:numPr>
        <w:tabs>
          <w:tab w:val="left" w:pos="1134"/>
        </w:tabs>
        <w:ind w:left="0" w:firstLine="709"/>
        <w:rPr>
          <w:szCs w:val="28"/>
        </w:rPr>
      </w:pPr>
      <w:r w:rsidRPr="0088749D">
        <w:rPr>
          <w:szCs w:val="28"/>
        </w:rPr>
        <w:t>створення надійної основи для прийняття рішень та планування;</w:t>
      </w:r>
    </w:p>
    <w:p w:rsidR="00A3628E" w:rsidRPr="0088749D" w:rsidRDefault="00A3628E" w:rsidP="00AE5FEE">
      <w:pPr>
        <w:numPr>
          <w:ilvl w:val="0"/>
          <w:numId w:val="1"/>
        </w:numPr>
        <w:tabs>
          <w:tab w:val="left" w:pos="1134"/>
        </w:tabs>
        <w:ind w:left="0" w:firstLine="709"/>
        <w:rPr>
          <w:szCs w:val="28"/>
        </w:rPr>
      </w:pPr>
      <w:r w:rsidRPr="0088749D">
        <w:rPr>
          <w:szCs w:val="28"/>
        </w:rPr>
        <w:t>поліпшення контролю, ефективного розподілу і використання ресурсів для усунення ризику, підвищення оперативної ефективності і дій;</w:t>
      </w:r>
    </w:p>
    <w:p w:rsidR="00A3628E" w:rsidRPr="0088749D" w:rsidRDefault="00A3628E" w:rsidP="00AE5FEE">
      <w:pPr>
        <w:numPr>
          <w:ilvl w:val="0"/>
          <w:numId w:val="1"/>
        </w:numPr>
        <w:tabs>
          <w:tab w:val="left" w:pos="1134"/>
        </w:tabs>
        <w:ind w:left="0" w:firstLine="709"/>
        <w:rPr>
          <w:szCs w:val="28"/>
        </w:rPr>
      </w:pPr>
      <w:r w:rsidRPr="0088749D">
        <w:rPr>
          <w:szCs w:val="28"/>
        </w:rPr>
        <w:t>підвищення здоров’я і техніки безпеки, а також охорони навколишнього середовища, ефективного запобігання втрат;</w:t>
      </w:r>
    </w:p>
    <w:p w:rsidR="00A3628E" w:rsidRPr="0088749D" w:rsidRDefault="00A3628E" w:rsidP="00AE5FEE">
      <w:pPr>
        <w:numPr>
          <w:ilvl w:val="0"/>
          <w:numId w:val="1"/>
        </w:numPr>
        <w:tabs>
          <w:tab w:val="left" w:pos="1134"/>
        </w:tabs>
        <w:ind w:left="0" w:firstLine="709"/>
        <w:rPr>
          <w:szCs w:val="28"/>
        </w:rPr>
      </w:pPr>
      <w:r w:rsidRPr="0088749D">
        <w:rPr>
          <w:szCs w:val="28"/>
        </w:rPr>
        <w:t>мінімізації втрат;</w:t>
      </w:r>
    </w:p>
    <w:p w:rsidR="00A3628E" w:rsidRPr="0088749D" w:rsidRDefault="00A3628E" w:rsidP="00AE5FEE">
      <w:pPr>
        <w:numPr>
          <w:ilvl w:val="0"/>
          <w:numId w:val="1"/>
        </w:numPr>
        <w:tabs>
          <w:tab w:val="left" w:pos="1134"/>
        </w:tabs>
        <w:ind w:left="0" w:firstLine="709"/>
        <w:rPr>
          <w:szCs w:val="28"/>
        </w:rPr>
      </w:pPr>
      <w:r w:rsidRPr="0088749D">
        <w:rPr>
          <w:szCs w:val="28"/>
        </w:rPr>
        <w:t>поліпшення корпоративного навчання та корпоративної стабільності [</w:t>
      </w:r>
      <w:r w:rsidR="000E269C" w:rsidRPr="000E269C">
        <w:rPr>
          <w:szCs w:val="28"/>
          <w:lang w:val="ru-RU"/>
        </w:rPr>
        <w:t>10</w:t>
      </w:r>
      <w:r w:rsidRPr="0088749D">
        <w:rPr>
          <w:szCs w:val="28"/>
        </w:rPr>
        <w:t>].</w:t>
      </w:r>
    </w:p>
    <w:p w:rsidR="00A3628E" w:rsidRPr="0088749D" w:rsidRDefault="00A3628E" w:rsidP="00AE5FEE">
      <w:pPr>
        <w:rPr>
          <w:szCs w:val="28"/>
        </w:rPr>
      </w:pPr>
      <w:r w:rsidRPr="0088749D">
        <w:rPr>
          <w:szCs w:val="28"/>
        </w:rPr>
        <w:t>До основоположних стандартів ризик</w:t>
      </w:r>
      <w:r w:rsidR="00DE3D9D" w:rsidRPr="0088749D">
        <w:rPr>
          <w:szCs w:val="28"/>
        </w:rPr>
        <w:t>-</w:t>
      </w:r>
      <w:r w:rsidRPr="0088749D">
        <w:rPr>
          <w:szCs w:val="28"/>
        </w:rPr>
        <w:t>менеджменту відносять також:</w:t>
      </w:r>
    </w:p>
    <w:p w:rsidR="00A3628E" w:rsidRPr="0088749D" w:rsidRDefault="00A3628E" w:rsidP="00AE5FEE">
      <w:pPr>
        <w:numPr>
          <w:ilvl w:val="0"/>
          <w:numId w:val="2"/>
        </w:numPr>
        <w:ind w:left="0" w:firstLine="709"/>
        <w:rPr>
          <w:szCs w:val="28"/>
        </w:rPr>
      </w:pPr>
      <w:r w:rsidRPr="0088749D">
        <w:rPr>
          <w:szCs w:val="28"/>
        </w:rPr>
        <w:t>стандарт, розроблений Федерацією Європейських Асоціацій Ризик Менеджерів («FERMA»);</w:t>
      </w:r>
    </w:p>
    <w:p w:rsidR="00A3628E" w:rsidRPr="0088749D" w:rsidRDefault="00A3628E" w:rsidP="00AE5FEE">
      <w:pPr>
        <w:numPr>
          <w:ilvl w:val="0"/>
          <w:numId w:val="2"/>
        </w:numPr>
        <w:ind w:left="0" w:firstLine="709"/>
        <w:rPr>
          <w:szCs w:val="28"/>
        </w:rPr>
      </w:pPr>
      <w:r w:rsidRPr="0088749D">
        <w:rPr>
          <w:szCs w:val="28"/>
        </w:rPr>
        <w:t>деякі постулати закону «</w:t>
      </w:r>
      <w:proofErr w:type="spellStart"/>
      <w:r w:rsidRPr="0088749D">
        <w:rPr>
          <w:szCs w:val="28"/>
        </w:rPr>
        <w:t>Сарбейнса-Окслі</w:t>
      </w:r>
      <w:proofErr w:type="spellEnd"/>
      <w:r w:rsidRPr="0088749D">
        <w:rPr>
          <w:szCs w:val="28"/>
        </w:rPr>
        <w:t xml:space="preserve">»; </w:t>
      </w:r>
    </w:p>
    <w:p w:rsidR="00A3628E" w:rsidRPr="0088749D" w:rsidRDefault="00A3628E" w:rsidP="00AE5FEE">
      <w:pPr>
        <w:numPr>
          <w:ilvl w:val="0"/>
          <w:numId w:val="2"/>
        </w:numPr>
        <w:ind w:left="0" w:firstLine="709"/>
        <w:rPr>
          <w:szCs w:val="28"/>
        </w:rPr>
      </w:pPr>
      <w:r w:rsidRPr="0088749D">
        <w:rPr>
          <w:szCs w:val="28"/>
        </w:rPr>
        <w:t>стандарт «COSO II»;</w:t>
      </w:r>
    </w:p>
    <w:p w:rsidR="00A3628E" w:rsidRPr="0088749D" w:rsidRDefault="00A3628E" w:rsidP="00AE5FEE">
      <w:pPr>
        <w:numPr>
          <w:ilvl w:val="0"/>
          <w:numId w:val="2"/>
        </w:numPr>
        <w:ind w:left="0" w:firstLine="709"/>
        <w:rPr>
          <w:szCs w:val="28"/>
        </w:rPr>
      </w:pPr>
      <w:proofErr w:type="spellStart"/>
      <w:r w:rsidRPr="0088749D">
        <w:rPr>
          <w:szCs w:val="28"/>
        </w:rPr>
        <w:t>південно-африканський</w:t>
      </w:r>
      <w:proofErr w:type="spellEnd"/>
      <w:r w:rsidRPr="0088749D">
        <w:rPr>
          <w:szCs w:val="28"/>
        </w:rPr>
        <w:t xml:space="preserve"> стандарт - «KING II».</w:t>
      </w:r>
    </w:p>
    <w:p w:rsidR="00A3628E" w:rsidRPr="0088749D" w:rsidRDefault="00A3628E" w:rsidP="00AE5FEE">
      <w:pPr>
        <w:rPr>
          <w:szCs w:val="28"/>
        </w:rPr>
      </w:pPr>
      <w:r w:rsidRPr="0088749D">
        <w:rPr>
          <w:szCs w:val="28"/>
        </w:rPr>
        <w:t>Стандарт з управління ризиками «FERMA» був розроблений спільно з інститутом ризик-менеджменту у Великобританії (</w:t>
      </w:r>
      <w:proofErr w:type="spellStart"/>
      <w:r w:rsidRPr="0088749D">
        <w:rPr>
          <w:szCs w:val="28"/>
        </w:rPr>
        <w:t>The</w:t>
      </w:r>
      <w:proofErr w:type="spellEnd"/>
      <w:r w:rsidRPr="0088749D">
        <w:rPr>
          <w:szCs w:val="28"/>
        </w:rPr>
        <w:t xml:space="preserve"> </w:t>
      </w:r>
      <w:proofErr w:type="spellStart"/>
      <w:r w:rsidRPr="0088749D">
        <w:rPr>
          <w:szCs w:val="28"/>
        </w:rPr>
        <w:t>Institute</w:t>
      </w:r>
      <w:proofErr w:type="spellEnd"/>
      <w:r w:rsidRPr="0088749D">
        <w:rPr>
          <w:szCs w:val="28"/>
        </w:rPr>
        <w:t xml:space="preserve"> </w:t>
      </w:r>
      <w:proofErr w:type="spellStart"/>
      <w:r w:rsidRPr="0088749D">
        <w:rPr>
          <w:szCs w:val="28"/>
        </w:rPr>
        <w:t>of</w:t>
      </w:r>
      <w:proofErr w:type="spellEnd"/>
      <w:r w:rsidRPr="0088749D">
        <w:rPr>
          <w:szCs w:val="28"/>
        </w:rPr>
        <w:t xml:space="preserve">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Асоціацією ризик-менеджменту та страхування (</w:t>
      </w:r>
      <w:proofErr w:type="spellStart"/>
      <w:r w:rsidRPr="0088749D">
        <w:rPr>
          <w:szCs w:val="28"/>
        </w:rPr>
        <w:t>The</w:t>
      </w:r>
      <w:proofErr w:type="spellEnd"/>
      <w:r w:rsidRPr="0088749D">
        <w:rPr>
          <w:szCs w:val="28"/>
        </w:rPr>
        <w:t xml:space="preserve"> </w:t>
      </w:r>
      <w:proofErr w:type="spellStart"/>
      <w:r w:rsidRPr="0088749D">
        <w:rPr>
          <w:szCs w:val="28"/>
        </w:rPr>
        <w:t>Association</w:t>
      </w:r>
      <w:proofErr w:type="spellEnd"/>
      <w:r w:rsidRPr="0088749D">
        <w:rPr>
          <w:szCs w:val="28"/>
        </w:rPr>
        <w:t xml:space="preserve"> </w:t>
      </w:r>
      <w:proofErr w:type="spellStart"/>
      <w:r w:rsidRPr="0088749D">
        <w:rPr>
          <w:szCs w:val="28"/>
        </w:rPr>
        <w:t>of</w:t>
      </w:r>
      <w:proofErr w:type="spellEnd"/>
      <w:r w:rsidRPr="0088749D">
        <w:rPr>
          <w:szCs w:val="28"/>
        </w:rPr>
        <w:t xml:space="preserve"> </w:t>
      </w:r>
      <w:proofErr w:type="spellStart"/>
      <w:r w:rsidRPr="0088749D">
        <w:rPr>
          <w:szCs w:val="28"/>
        </w:rPr>
        <w:t>Insurance</w:t>
      </w:r>
      <w:proofErr w:type="spellEnd"/>
      <w:r w:rsidRPr="0088749D">
        <w:rPr>
          <w:szCs w:val="28"/>
        </w:rPr>
        <w:t xml:space="preserve"> </w:t>
      </w:r>
      <w:proofErr w:type="spellStart"/>
      <w:r w:rsidRPr="0088749D">
        <w:rPr>
          <w:szCs w:val="28"/>
        </w:rPr>
        <w:t>and</w:t>
      </w:r>
      <w:proofErr w:type="spellEnd"/>
      <w:r w:rsidRPr="0088749D">
        <w:rPr>
          <w:szCs w:val="28"/>
        </w:rPr>
        <w:t xml:space="preserve">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і Національним Форумом ризик-менеджменту в Громадському Секторі (</w:t>
      </w:r>
      <w:proofErr w:type="spellStart"/>
      <w:r w:rsidRPr="0088749D">
        <w:rPr>
          <w:szCs w:val="28"/>
        </w:rPr>
        <w:t>The</w:t>
      </w:r>
      <w:proofErr w:type="spellEnd"/>
      <w:r w:rsidRPr="0088749D">
        <w:rPr>
          <w:szCs w:val="28"/>
        </w:rPr>
        <w:t xml:space="preserve"> </w:t>
      </w:r>
      <w:proofErr w:type="spellStart"/>
      <w:r w:rsidRPr="0088749D">
        <w:rPr>
          <w:szCs w:val="28"/>
        </w:rPr>
        <w:t>National</w:t>
      </w:r>
      <w:proofErr w:type="spellEnd"/>
      <w:r w:rsidRPr="0088749D">
        <w:rPr>
          <w:szCs w:val="28"/>
        </w:rPr>
        <w:t xml:space="preserve"> </w:t>
      </w:r>
      <w:proofErr w:type="spellStart"/>
      <w:r w:rsidRPr="0088749D">
        <w:rPr>
          <w:szCs w:val="28"/>
        </w:rPr>
        <w:t>Forum</w:t>
      </w:r>
      <w:proofErr w:type="spellEnd"/>
      <w:r w:rsidRPr="0088749D">
        <w:rPr>
          <w:szCs w:val="28"/>
        </w:rPr>
        <w:t xml:space="preserve"> </w:t>
      </w:r>
      <w:proofErr w:type="spellStart"/>
      <w:r w:rsidRPr="0088749D">
        <w:rPr>
          <w:szCs w:val="28"/>
        </w:rPr>
        <w:t>for</w:t>
      </w:r>
      <w:proofErr w:type="spellEnd"/>
      <w:r w:rsidRPr="0088749D">
        <w:rPr>
          <w:szCs w:val="28"/>
        </w:rPr>
        <w:t xml:space="preserve">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xml:space="preserve"> </w:t>
      </w:r>
      <w:proofErr w:type="spellStart"/>
      <w:r w:rsidRPr="0088749D">
        <w:rPr>
          <w:szCs w:val="28"/>
        </w:rPr>
        <w:t>in</w:t>
      </w:r>
      <w:proofErr w:type="spellEnd"/>
      <w:r w:rsidRPr="0088749D">
        <w:rPr>
          <w:szCs w:val="28"/>
        </w:rPr>
        <w:t xml:space="preserve"> </w:t>
      </w:r>
      <w:proofErr w:type="spellStart"/>
      <w:r w:rsidRPr="0088749D">
        <w:rPr>
          <w:szCs w:val="28"/>
        </w:rPr>
        <w:t>the</w:t>
      </w:r>
      <w:proofErr w:type="spellEnd"/>
      <w:r w:rsidRPr="0088749D">
        <w:rPr>
          <w:szCs w:val="28"/>
        </w:rPr>
        <w:t xml:space="preserve"> </w:t>
      </w:r>
      <w:proofErr w:type="spellStart"/>
      <w:r w:rsidRPr="0088749D">
        <w:rPr>
          <w:szCs w:val="28"/>
        </w:rPr>
        <w:t>Public</w:t>
      </w:r>
      <w:proofErr w:type="spellEnd"/>
      <w:r w:rsidRPr="0088749D">
        <w:rPr>
          <w:szCs w:val="28"/>
        </w:rPr>
        <w:t xml:space="preserve"> </w:t>
      </w:r>
      <w:proofErr w:type="spellStart"/>
      <w:r w:rsidRPr="0088749D">
        <w:rPr>
          <w:szCs w:val="28"/>
        </w:rPr>
        <w:t>Sector</w:t>
      </w:r>
      <w:proofErr w:type="spellEnd"/>
      <w:r w:rsidRPr="0088749D">
        <w:rPr>
          <w:szCs w:val="28"/>
        </w:rPr>
        <w:t xml:space="preserve">) і прийнятий в 2002 році. У розробку цього стандарту великий внесок внесли організації, що на професійному рівні займаються питанням управління ризиками. Даний документ містить основні визначення, пояснює внутрішні та зовнішні фактори ризику, процеси управління ризиками, </w:t>
      </w:r>
      <w:r w:rsidRPr="0088749D">
        <w:rPr>
          <w:szCs w:val="28"/>
        </w:rPr>
        <w:lastRenderedPageBreak/>
        <w:t>методологію та технологію оцінки та аналізу ризиків, а також загальні обов’язки ризик менеджера [</w:t>
      </w:r>
      <w:r w:rsidR="000E269C" w:rsidRPr="000E269C">
        <w:rPr>
          <w:szCs w:val="28"/>
        </w:rPr>
        <w:t>8</w:t>
      </w:r>
      <w:r w:rsidRPr="0088749D">
        <w:rPr>
          <w:szCs w:val="28"/>
        </w:rPr>
        <w:t>].</w:t>
      </w:r>
    </w:p>
    <w:p w:rsidR="00A3628E" w:rsidRPr="0088749D" w:rsidRDefault="00A3628E" w:rsidP="00AE5FEE">
      <w:pPr>
        <w:rPr>
          <w:szCs w:val="28"/>
        </w:rPr>
      </w:pPr>
      <w:r w:rsidRPr="0088749D">
        <w:rPr>
          <w:szCs w:val="28"/>
        </w:rPr>
        <w:t xml:space="preserve">Відповідно до стандарту «FERMA», до обов’язків фахівця з ризиків відносяться: </w:t>
      </w:r>
    </w:p>
    <w:p w:rsidR="00A3628E" w:rsidRPr="0088749D" w:rsidRDefault="00A3628E" w:rsidP="00AE5FEE">
      <w:pPr>
        <w:numPr>
          <w:ilvl w:val="0"/>
          <w:numId w:val="3"/>
        </w:numPr>
        <w:tabs>
          <w:tab w:val="left" w:pos="1134"/>
        </w:tabs>
        <w:ind w:left="0" w:firstLine="709"/>
        <w:rPr>
          <w:szCs w:val="28"/>
        </w:rPr>
      </w:pPr>
      <w:r w:rsidRPr="0088749D">
        <w:rPr>
          <w:szCs w:val="28"/>
        </w:rPr>
        <w:t>розробка програми управління ризиками,</w:t>
      </w:r>
    </w:p>
    <w:p w:rsidR="00A3628E" w:rsidRPr="0088749D" w:rsidRDefault="00A3628E" w:rsidP="00AE5FEE">
      <w:pPr>
        <w:numPr>
          <w:ilvl w:val="0"/>
          <w:numId w:val="3"/>
        </w:numPr>
        <w:tabs>
          <w:tab w:val="left" w:pos="1134"/>
        </w:tabs>
        <w:ind w:left="0" w:firstLine="709"/>
        <w:rPr>
          <w:szCs w:val="28"/>
        </w:rPr>
      </w:pPr>
      <w:r w:rsidRPr="0088749D">
        <w:rPr>
          <w:szCs w:val="28"/>
        </w:rPr>
        <w:t>супровід її реалізації,</w:t>
      </w:r>
    </w:p>
    <w:p w:rsidR="00A3628E" w:rsidRPr="0088749D" w:rsidRDefault="00A3628E" w:rsidP="00AE5FEE">
      <w:pPr>
        <w:numPr>
          <w:ilvl w:val="0"/>
          <w:numId w:val="3"/>
        </w:numPr>
        <w:tabs>
          <w:tab w:val="left" w:pos="1134"/>
        </w:tabs>
        <w:ind w:left="0" w:firstLine="709"/>
        <w:rPr>
          <w:szCs w:val="28"/>
        </w:rPr>
      </w:pPr>
      <w:r w:rsidRPr="0088749D">
        <w:rPr>
          <w:szCs w:val="28"/>
        </w:rPr>
        <w:t>координація співробітництва підрозділів організації,</w:t>
      </w:r>
    </w:p>
    <w:p w:rsidR="00A3628E" w:rsidRPr="0088749D" w:rsidRDefault="00A3628E" w:rsidP="00AE5FEE">
      <w:pPr>
        <w:numPr>
          <w:ilvl w:val="0"/>
          <w:numId w:val="3"/>
        </w:numPr>
        <w:tabs>
          <w:tab w:val="left" w:pos="1134"/>
        </w:tabs>
        <w:ind w:left="0" w:firstLine="709"/>
        <w:rPr>
          <w:szCs w:val="28"/>
        </w:rPr>
      </w:pPr>
      <w:r w:rsidRPr="0088749D">
        <w:rPr>
          <w:szCs w:val="28"/>
        </w:rPr>
        <w:t>створення програм зі зменшення втрат і заходів з підтримки безперервності бізнес-процесів.</w:t>
      </w:r>
    </w:p>
    <w:p w:rsidR="00A3628E" w:rsidRPr="0088749D" w:rsidRDefault="00A3628E" w:rsidP="00AE5FEE">
      <w:pPr>
        <w:rPr>
          <w:szCs w:val="28"/>
        </w:rPr>
      </w:pPr>
      <w:r w:rsidRPr="0088749D">
        <w:rPr>
          <w:szCs w:val="28"/>
        </w:rPr>
        <w:t xml:space="preserve">Одним з небагатьох законодавчо затверджених стандартів у сфері управління ризиками є «Закон </w:t>
      </w:r>
      <w:proofErr w:type="spellStart"/>
      <w:r w:rsidRPr="0088749D">
        <w:rPr>
          <w:szCs w:val="28"/>
        </w:rPr>
        <w:t>Сарбейнса-Окслі</w:t>
      </w:r>
      <w:proofErr w:type="spellEnd"/>
      <w:r w:rsidRPr="0088749D">
        <w:rPr>
          <w:szCs w:val="28"/>
        </w:rPr>
        <w:t xml:space="preserve">» (Sarbanes-Oxley </w:t>
      </w:r>
      <w:proofErr w:type="spellStart"/>
      <w:r w:rsidRPr="0088749D">
        <w:rPr>
          <w:szCs w:val="28"/>
        </w:rPr>
        <w:t>Act</w:t>
      </w:r>
      <w:proofErr w:type="spellEnd"/>
      <w:r w:rsidRPr="0088749D">
        <w:rPr>
          <w:szCs w:val="28"/>
        </w:rPr>
        <w:t>). Даний закон розглядає, перш за все, питання внутрішнього контролю і достовірності фінансової звітності, а також опосередковано регулює процес управління ризиками. У законі немає керівних вказівок з розробки конкретних процедур фінансового контролю. Стандарт пропонує аналіз даних, що надходять щодо хід процесів і перевірку відповідності шляхом аудиту.</w:t>
      </w:r>
    </w:p>
    <w:p w:rsidR="00A3628E" w:rsidRPr="0088749D" w:rsidRDefault="00A3628E" w:rsidP="00AE5FEE">
      <w:pPr>
        <w:rPr>
          <w:szCs w:val="28"/>
        </w:rPr>
      </w:pPr>
      <w:r w:rsidRPr="0088749D">
        <w:rPr>
          <w:szCs w:val="28"/>
        </w:rPr>
        <w:t>Якщо отримані результати свідчать про підвищений рівень ризику, то необхідне застосування документованих дій. Вирішуючи питання про застосування необхідних процедур фінансового контролю, керівник повинен виявити, які угоди можуть бути ризикованими.</w:t>
      </w:r>
    </w:p>
    <w:p w:rsidR="00A3628E" w:rsidRPr="0088749D" w:rsidRDefault="00A3628E" w:rsidP="00AE5FEE">
      <w:pPr>
        <w:rPr>
          <w:szCs w:val="28"/>
        </w:rPr>
      </w:pPr>
      <w:r w:rsidRPr="0088749D">
        <w:rPr>
          <w:szCs w:val="28"/>
        </w:rPr>
        <w:t>Якщо не враховувати ризики по кредитах і активів, то основними джерелами фінансових ризиків, відповідно до закону, є:</w:t>
      </w:r>
    </w:p>
    <w:p w:rsidR="00A3628E" w:rsidRPr="0088749D" w:rsidRDefault="00A3628E" w:rsidP="00AE5FEE">
      <w:pPr>
        <w:numPr>
          <w:ilvl w:val="0"/>
          <w:numId w:val="4"/>
        </w:numPr>
        <w:ind w:left="0" w:firstLine="709"/>
        <w:rPr>
          <w:szCs w:val="28"/>
        </w:rPr>
      </w:pPr>
      <w:r w:rsidRPr="0088749D">
        <w:rPr>
          <w:szCs w:val="28"/>
        </w:rPr>
        <w:t>точність обчислення доходів;</w:t>
      </w:r>
    </w:p>
    <w:p w:rsidR="00A3628E" w:rsidRPr="0088749D" w:rsidRDefault="00A3628E" w:rsidP="00AE5FEE">
      <w:pPr>
        <w:numPr>
          <w:ilvl w:val="0"/>
          <w:numId w:val="4"/>
        </w:numPr>
        <w:ind w:left="0" w:firstLine="709"/>
        <w:rPr>
          <w:szCs w:val="28"/>
        </w:rPr>
      </w:pPr>
      <w:r w:rsidRPr="0088749D">
        <w:rPr>
          <w:szCs w:val="28"/>
        </w:rPr>
        <w:t>рішення по закупівлях і своєчасність поставок;</w:t>
      </w:r>
    </w:p>
    <w:p w:rsidR="00A3628E" w:rsidRPr="0088749D" w:rsidRDefault="00A3628E" w:rsidP="00AE5FEE">
      <w:pPr>
        <w:numPr>
          <w:ilvl w:val="0"/>
          <w:numId w:val="4"/>
        </w:numPr>
        <w:ind w:left="0" w:firstLine="709"/>
        <w:rPr>
          <w:szCs w:val="28"/>
        </w:rPr>
      </w:pPr>
      <w:r w:rsidRPr="0088749D">
        <w:rPr>
          <w:szCs w:val="28"/>
        </w:rPr>
        <w:t xml:space="preserve">управління продукцією; </w:t>
      </w:r>
    </w:p>
    <w:p w:rsidR="00A3628E" w:rsidRPr="0088749D" w:rsidRDefault="00A3628E" w:rsidP="00AE5FEE">
      <w:pPr>
        <w:numPr>
          <w:ilvl w:val="0"/>
          <w:numId w:val="4"/>
        </w:numPr>
        <w:ind w:left="0" w:firstLine="709"/>
        <w:rPr>
          <w:szCs w:val="28"/>
        </w:rPr>
      </w:pPr>
      <w:r w:rsidRPr="0088749D">
        <w:rPr>
          <w:szCs w:val="28"/>
        </w:rPr>
        <w:t>витрати на робочу силу і точність виконання робіт;</w:t>
      </w:r>
    </w:p>
    <w:p w:rsidR="00A3628E" w:rsidRPr="0088749D" w:rsidRDefault="00A3628E" w:rsidP="00AE5FEE">
      <w:pPr>
        <w:numPr>
          <w:ilvl w:val="0"/>
          <w:numId w:val="4"/>
        </w:numPr>
        <w:ind w:left="0" w:firstLine="709"/>
        <w:rPr>
          <w:szCs w:val="28"/>
        </w:rPr>
      </w:pPr>
      <w:r w:rsidRPr="0088749D">
        <w:rPr>
          <w:szCs w:val="28"/>
        </w:rPr>
        <w:t xml:space="preserve">управління активами; </w:t>
      </w:r>
    </w:p>
    <w:p w:rsidR="00A3628E" w:rsidRPr="0088749D" w:rsidRDefault="00A3628E" w:rsidP="00AE5FEE">
      <w:pPr>
        <w:numPr>
          <w:ilvl w:val="0"/>
          <w:numId w:val="4"/>
        </w:numPr>
        <w:ind w:left="0" w:firstLine="709"/>
        <w:rPr>
          <w:szCs w:val="28"/>
        </w:rPr>
      </w:pPr>
      <w:r w:rsidRPr="0088749D">
        <w:rPr>
          <w:szCs w:val="28"/>
        </w:rPr>
        <w:t>управління витратами;</w:t>
      </w:r>
    </w:p>
    <w:p w:rsidR="00A3628E" w:rsidRPr="0088749D" w:rsidRDefault="00A3628E" w:rsidP="00AE5FEE">
      <w:pPr>
        <w:numPr>
          <w:ilvl w:val="0"/>
          <w:numId w:val="4"/>
        </w:numPr>
        <w:ind w:left="0" w:firstLine="709"/>
        <w:rPr>
          <w:szCs w:val="28"/>
        </w:rPr>
      </w:pPr>
      <w:r w:rsidRPr="0088749D">
        <w:rPr>
          <w:szCs w:val="28"/>
        </w:rPr>
        <w:t>точність рахунків;</w:t>
      </w:r>
    </w:p>
    <w:p w:rsidR="00A3628E" w:rsidRPr="0088749D" w:rsidRDefault="00A3628E" w:rsidP="00AE5FEE">
      <w:pPr>
        <w:numPr>
          <w:ilvl w:val="0"/>
          <w:numId w:val="4"/>
        </w:numPr>
        <w:ind w:left="0" w:firstLine="709"/>
        <w:rPr>
          <w:szCs w:val="28"/>
        </w:rPr>
      </w:pPr>
      <w:r w:rsidRPr="0088749D">
        <w:rPr>
          <w:szCs w:val="28"/>
        </w:rPr>
        <w:t>дебіторська / кредиторська заборгованість.</w:t>
      </w:r>
    </w:p>
    <w:p w:rsidR="00A3628E" w:rsidRPr="0088749D" w:rsidRDefault="00A3628E" w:rsidP="00AE5FEE">
      <w:pPr>
        <w:rPr>
          <w:szCs w:val="28"/>
        </w:rPr>
      </w:pPr>
      <w:r w:rsidRPr="0088749D">
        <w:rPr>
          <w:szCs w:val="28"/>
        </w:rPr>
        <w:lastRenderedPageBreak/>
        <w:t xml:space="preserve">У 2001 році Комітет спонсорських організацій Комісії </w:t>
      </w:r>
      <w:proofErr w:type="spellStart"/>
      <w:r w:rsidRPr="0088749D">
        <w:rPr>
          <w:szCs w:val="28"/>
        </w:rPr>
        <w:t>Тредвея</w:t>
      </w:r>
      <w:proofErr w:type="spellEnd"/>
      <w:r w:rsidRPr="0088749D">
        <w:rPr>
          <w:szCs w:val="28"/>
        </w:rPr>
        <w:t xml:space="preserve"> (</w:t>
      </w:r>
      <w:proofErr w:type="spellStart"/>
      <w:r w:rsidRPr="0088749D">
        <w:rPr>
          <w:szCs w:val="28"/>
        </w:rPr>
        <w:t>Committee</w:t>
      </w:r>
      <w:proofErr w:type="spellEnd"/>
      <w:r w:rsidRPr="0088749D">
        <w:rPr>
          <w:szCs w:val="28"/>
        </w:rPr>
        <w:t xml:space="preserve"> </w:t>
      </w:r>
      <w:proofErr w:type="spellStart"/>
      <w:r w:rsidRPr="0088749D">
        <w:rPr>
          <w:szCs w:val="28"/>
        </w:rPr>
        <w:t>of</w:t>
      </w:r>
      <w:proofErr w:type="spellEnd"/>
      <w:r w:rsidRPr="0088749D">
        <w:rPr>
          <w:szCs w:val="28"/>
        </w:rPr>
        <w:t xml:space="preserve"> </w:t>
      </w:r>
      <w:proofErr w:type="spellStart"/>
      <w:r w:rsidRPr="0088749D">
        <w:rPr>
          <w:szCs w:val="28"/>
        </w:rPr>
        <w:t>Sponsoring</w:t>
      </w:r>
      <w:proofErr w:type="spellEnd"/>
      <w:r w:rsidRPr="0088749D">
        <w:rPr>
          <w:szCs w:val="28"/>
        </w:rPr>
        <w:t xml:space="preserve"> </w:t>
      </w:r>
      <w:proofErr w:type="spellStart"/>
      <w:r w:rsidRPr="0088749D">
        <w:rPr>
          <w:szCs w:val="28"/>
        </w:rPr>
        <w:t>Organizations</w:t>
      </w:r>
      <w:proofErr w:type="spellEnd"/>
      <w:r w:rsidRPr="0088749D">
        <w:rPr>
          <w:szCs w:val="28"/>
        </w:rPr>
        <w:t xml:space="preserve"> </w:t>
      </w:r>
      <w:proofErr w:type="spellStart"/>
      <w:r w:rsidRPr="0088749D">
        <w:rPr>
          <w:szCs w:val="28"/>
        </w:rPr>
        <w:t>of</w:t>
      </w:r>
      <w:proofErr w:type="spellEnd"/>
      <w:r w:rsidRPr="0088749D">
        <w:rPr>
          <w:szCs w:val="28"/>
        </w:rPr>
        <w:t xml:space="preserve"> </w:t>
      </w:r>
      <w:proofErr w:type="spellStart"/>
      <w:r w:rsidRPr="0088749D">
        <w:rPr>
          <w:szCs w:val="28"/>
        </w:rPr>
        <w:t>the</w:t>
      </w:r>
      <w:proofErr w:type="spellEnd"/>
      <w:r w:rsidRPr="0088749D">
        <w:rPr>
          <w:szCs w:val="28"/>
        </w:rPr>
        <w:t xml:space="preserve"> </w:t>
      </w:r>
      <w:proofErr w:type="spellStart"/>
      <w:r w:rsidRPr="0088749D">
        <w:rPr>
          <w:szCs w:val="28"/>
        </w:rPr>
        <w:t>Treadway</w:t>
      </w:r>
      <w:proofErr w:type="spellEnd"/>
      <w:r w:rsidRPr="0088749D">
        <w:rPr>
          <w:szCs w:val="28"/>
        </w:rPr>
        <w:t xml:space="preserve"> </w:t>
      </w:r>
      <w:proofErr w:type="spellStart"/>
      <w:r w:rsidRPr="0088749D">
        <w:rPr>
          <w:szCs w:val="28"/>
        </w:rPr>
        <w:t>Commission</w:t>
      </w:r>
      <w:proofErr w:type="spellEnd"/>
      <w:r w:rsidRPr="0088749D">
        <w:rPr>
          <w:szCs w:val="28"/>
        </w:rPr>
        <w:t>, «COSO») спільно з компанією «</w:t>
      </w:r>
      <w:proofErr w:type="spellStart"/>
      <w:r w:rsidRPr="0088749D">
        <w:rPr>
          <w:szCs w:val="28"/>
        </w:rPr>
        <w:t>PriceWaterHouseCoopers</w:t>
      </w:r>
      <w:proofErr w:type="spellEnd"/>
      <w:r w:rsidRPr="0088749D">
        <w:rPr>
          <w:szCs w:val="28"/>
        </w:rPr>
        <w:t>» ініціював проект розробки принципів ризик менеджменту (</w:t>
      </w:r>
      <w:proofErr w:type="spellStart"/>
      <w:r w:rsidRPr="0088749D">
        <w:rPr>
          <w:szCs w:val="28"/>
        </w:rPr>
        <w:t>Enterprise</w:t>
      </w:r>
      <w:proofErr w:type="spellEnd"/>
      <w:r w:rsidRPr="0088749D">
        <w:rPr>
          <w:szCs w:val="28"/>
        </w:rPr>
        <w:t xml:space="preserve">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xml:space="preserve"> -Integrated Framework).</w:t>
      </w:r>
    </w:p>
    <w:p w:rsidR="00A3628E" w:rsidRPr="0088749D" w:rsidRDefault="00A3628E" w:rsidP="00AE5FEE">
      <w:pPr>
        <w:rPr>
          <w:szCs w:val="28"/>
        </w:rPr>
      </w:pPr>
      <w:r w:rsidRPr="0088749D">
        <w:rPr>
          <w:szCs w:val="28"/>
        </w:rPr>
        <w:t>Відповідно до розроблених принципів ризик-менеджмент це:</w:t>
      </w:r>
    </w:p>
    <w:p w:rsidR="00A3628E" w:rsidRPr="0088749D" w:rsidRDefault="00A3628E" w:rsidP="00AE5FEE">
      <w:pPr>
        <w:numPr>
          <w:ilvl w:val="0"/>
          <w:numId w:val="5"/>
        </w:numPr>
        <w:tabs>
          <w:tab w:val="left" w:pos="1134"/>
        </w:tabs>
        <w:ind w:left="0" w:firstLine="709"/>
        <w:rPr>
          <w:szCs w:val="28"/>
        </w:rPr>
      </w:pPr>
      <w:r w:rsidRPr="0088749D">
        <w:rPr>
          <w:szCs w:val="28"/>
        </w:rPr>
        <w:t>процес, що охоплює всю діяльність підприємства, в якому задіяні співробітники на різних рівнях управління;</w:t>
      </w:r>
    </w:p>
    <w:p w:rsidR="00A3628E" w:rsidRPr="0088749D" w:rsidRDefault="00A3628E" w:rsidP="00AE5FEE">
      <w:pPr>
        <w:numPr>
          <w:ilvl w:val="0"/>
          <w:numId w:val="5"/>
        </w:numPr>
        <w:tabs>
          <w:tab w:val="left" w:pos="1134"/>
        </w:tabs>
        <w:ind w:left="0" w:firstLine="709"/>
        <w:rPr>
          <w:szCs w:val="28"/>
        </w:rPr>
      </w:pPr>
      <w:r w:rsidRPr="0088749D">
        <w:rPr>
          <w:szCs w:val="28"/>
        </w:rPr>
        <w:t>інструмент, що дозволяє досягти поставлених стратегічних цілей;</w:t>
      </w:r>
    </w:p>
    <w:p w:rsidR="00A3628E" w:rsidRPr="0088749D" w:rsidRDefault="00A3628E" w:rsidP="00AE5FEE">
      <w:pPr>
        <w:numPr>
          <w:ilvl w:val="0"/>
          <w:numId w:val="5"/>
        </w:numPr>
        <w:tabs>
          <w:tab w:val="left" w:pos="1134"/>
        </w:tabs>
        <w:ind w:left="0" w:firstLine="709"/>
        <w:rPr>
          <w:szCs w:val="28"/>
        </w:rPr>
      </w:pPr>
      <w:r w:rsidRPr="0088749D">
        <w:rPr>
          <w:szCs w:val="28"/>
        </w:rPr>
        <w:t>технологія виявлення ризиків та управління ними;</w:t>
      </w:r>
    </w:p>
    <w:p w:rsidR="00A3628E" w:rsidRPr="0088749D" w:rsidRDefault="00A3628E" w:rsidP="00AE5FEE">
      <w:pPr>
        <w:numPr>
          <w:ilvl w:val="0"/>
          <w:numId w:val="5"/>
        </w:numPr>
        <w:tabs>
          <w:tab w:val="left" w:pos="1134"/>
        </w:tabs>
        <w:ind w:left="0" w:firstLine="709"/>
        <w:rPr>
          <w:szCs w:val="28"/>
        </w:rPr>
      </w:pPr>
      <w:r w:rsidRPr="0088749D">
        <w:rPr>
          <w:szCs w:val="28"/>
        </w:rPr>
        <w:t>спосіб застрахувати діяльність підприємства від можливих помилок менеджменту або ради директорів.</w:t>
      </w:r>
    </w:p>
    <w:p w:rsidR="00A3628E" w:rsidRPr="0088749D" w:rsidRDefault="00A3628E" w:rsidP="00AE5FEE">
      <w:pPr>
        <w:rPr>
          <w:szCs w:val="28"/>
        </w:rPr>
      </w:pPr>
      <w:r w:rsidRPr="0088749D">
        <w:rPr>
          <w:szCs w:val="28"/>
        </w:rPr>
        <w:t>Стандарт «COSO II» покликаний вирішити такі завдання:</w:t>
      </w:r>
    </w:p>
    <w:p w:rsidR="00A3628E" w:rsidRPr="0088749D" w:rsidRDefault="00A3628E" w:rsidP="00AE5FEE">
      <w:pPr>
        <w:numPr>
          <w:ilvl w:val="0"/>
          <w:numId w:val="6"/>
        </w:numPr>
        <w:tabs>
          <w:tab w:val="left" w:pos="1134"/>
        </w:tabs>
        <w:ind w:left="0" w:firstLine="709"/>
        <w:rPr>
          <w:szCs w:val="28"/>
        </w:rPr>
      </w:pPr>
      <w:r w:rsidRPr="0088749D">
        <w:rPr>
          <w:szCs w:val="28"/>
        </w:rPr>
        <w:t>визначити рівні ризику відповідно до стратегії розвитку;</w:t>
      </w:r>
    </w:p>
    <w:p w:rsidR="00A3628E" w:rsidRPr="0088749D" w:rsidRDefault="00A3628E" w:rsidP="00AE5FEE">
      <w:pPr>
        <w:numPr>
          <w:ilvl w:val="0"/>
          <w:numId w:val="6"/>
        </w:numPr>
        <w:tabs>
          <w:tab w:val="left" w:pos="1134"/>
        </w:tabs>
        <w:ind w:left="0" w:firstLine="709"/>
        <w:rPr>
          <w:szCs w:val="28"/>
        </w:rPr>
      </w:pPr>
      <w:r w:rsidRPr="0088749D">
        <w:rPr>
          <w:szCs w:val="28"/>
        </w:rPr>
        <w:t>удосконалювати процеси прийняття рішень щодо реагування на виникаючі ризики;</w:t>
      </w:r>
    </w:p>
    <w:p w:rsidR="00A3628E" w:rsidRPr="0088749D" w:rsidRDefault="00A3628E" w:rsidP="00AE5FEE">
      <w:pPr>
        <w:numPr>
          <w:ilvl w:val="0"/>
          <w:numId w:val="6"/>
        </w:numPr>
        <w:tabs>
          <w:tab w:val="left" w:pos="1134"/>
        </w:tabs>
        <w:ind w:left="0" w:firstLine="709"/>
        <w:rPr>
          <w:szCs w:val="28"/>
        </w:rPr>
      </w:pPr>
      <w:r w:rsidRPr="0088749D">
        <w:rPr>
          <w:szCs w:val="28"/>
        </w:rPr>
        <w:t>скоротити число непередбачених подій і збитків у господарській діяльності;</w:t>
      </w:r>
    </w:p>
    <w:p w:rsidR="00A3628E" w:rsidRPr="0088749D" w:rsidRDefault="00A3628E" w:rsidP="00AE5FEE">
      <w:pPr>
        <w:numPr>
          <w:ilvl w:val="0"/>
          <w:numId w:val="6"/>
        </w:numPr>
        <w:tabs>
          <w:tab w:val="left" w:pos="1134"/>
        </w:tabs>
        <w:ind w:left="0" w:firstLine="709"/>
        <w:rPr>
          <w:szCs w:val="28"/>
        </w:rPr>
      </w:pPr>
      <w:r w:rsidRPr="0088749D">
        <w:rPr>
          <w:szCs w:val="28"/>
        </w:rPr>
        <w:t>визначити всю сукупність ризиків;</w:t>
      </w:r>
    </w:p>
    <w:p w:rsidR="00A3628E" w:rsidRPr="0088749D" w:rsidRDefault="00A3628E" w:rsidP="00AE5FEE">
      <w:pPr>
        <w:numPr>
          <w:ilvl w:val="0"/>
          <w:numId w:val="6"/>
        </w:numPr>
        <w:tabs>
          <w:tab w:val="left" w:pos="1134"/>
        </w:tabs>
        <w:ind w:left="0" w:firstLine="709"/>
        <w:rPr>
          <w:szCs w:val="28"/>
        </w:rPr>
      </w:pPr>
      <w:r w:rsidRPr="0088749D">
        <w:rPr>
          <w:szCs w:val="28"/>
        </w:rPr>
        <w:t>управляти всією сукупністю ризиків;</w:t>
      </w:r>
    </w:p>
    <w:p w:rsidR="00A3628E" w:rsidRPr="0088749D" w:rsidRDefault="00A3628E" w:rsidP="00AE5FEE">
      <w:pPr>
        <w:numPr>
          <w:ilvl w:val="0"/>
          <w:numId w:val="6"/>
        </w:numPr>
        <w:tabs>
          <w:tab w:val="left" w:pos="1134"/>
        </w:tabs>
        <w:ind w:left="0" w:firstLine="709"/>
        <w:rPr>
          <w:szCs w:val="28"/>
        </w:rPr>
      </w:pPr>
      <w:r w:rsidRPr="0088749D">
        <w:rPr>
          <w:szCs w:val="28"/>
        </w:rPr>
        <w:t>використовувати сприятливі можливості;</w:t>
      </w:r>
    </w:p>
    <w:p w:rsidR="00A3628E" w:rsidRPr="0088749D" w:rsidRDefault="00A3628E" w:rsidP="00AE5FEE">
      <w:pPr>
        <w:numPr>
          <w:ilvl w:val="0"/>
          <w:numId w:val="6"/>
        </w:numPr>
        <w:tabs>
          <w:tab w:val="left" w:pos="1134"/>
        </w:tabs>
        <w:ind w:left="0" w:firstLine="709"/>
        <w:rPr>
          <w:szCs w:val="28"/>
        </w:rPr>
      </w:pPr>
      <w:r w:rsidRPr="0088749D">
        <w:rPr>
          <w:szCs w:val="28"/>
        </w:rPr>
        <w:t>раціонально використовувати капітал.</w:t>
      </w:r>
    </w:p>
    <w:p w:rsidR="00A3628E" w:rsidRPr="0088749D" w:rsidRDefault="00A3628E" w:rsidP="00AE5FEE">
      <w:pPr>
        <w:rPr>
          <w:szCs w:val="28"/>
        </w:rPr>
      </w:pPr>
      <w:r w:rsidRPr="0088749D">
        <w:rPr>
          <w:szCs w:val="28"/>
        </w:rPr>
        <w:t>Найновіший південноафриканський стандарт «KING II» є своєрідним зразком для управління ризиками. Він представляє собою збірник типових рішень у практиці ризик-менеджменту, постійно поповнюється і є посібником для навчання ризик-менеджерів. У даному стандарті доступно виражаються ідеологія процесу і бажані стадії.</w:t>
      </w:r>
    </w:p>
    <w:p w:rsidR="00A3628E" w:rsidRPr="0088749D" w:rsidRDefault="00A3628E" w:rsidP="00AE5FEE">
      <w:pPr>
        <w:rPr>
          <w:szCs w:val="28"/>
        </w:rPr>
      </w:pPr>
      <w:r w:rsidRPr="0088749D">
        <w:rPr>
          <w:szCs w:val="28"/>
        </w:rPr>
        <w:t>Таким чином, адаптація вказаних процедур під особливості конкретної компанії можуть допомогти під час досягнення бажаного результату.</w:t>
      </w:r>
    </w:p>
    <w:p w:rsidR="00A3628E" w:rsidRPr="0088749D" w:rsidRDefault="00A3628E" w:rsidP="00AE5FEE">
      <w:pPr>
        <w:rPr>
          <w:szCs w:val="28"/>
        </w:rPr>
      </w:pPr>
      <w:r w:rsidRPr="0088749D">
        <w:rPr>
          <w:szCs w:val="28"/>
        </w:rPr>
        <w:lastRenderedPageBreak/>
        <w:t>Питання управління ризиками постає майже в усіх стандартах, що регулюють сфери діяльності людини. Якщо йдеться про управління ризиками в банківській сфері, то використовуються стандарти, що описують діяльність банківської сфери. Якщо йдеться про управління ризиками в безпеці інформації та бізнесі, то інформацію про них слід шукати у відповідних стандартах певної галузі.</w:t>
      </w:r>
    </w:p>
    <w:p w:rsidR="00A3628E" w:rsidRPr="0088749D" w:rsidRDefault="00A3628E" w:rsidP="00AE5FEE">
      <w:pPr>
        <w:rPr>
          <w:szCs w:val="28"/>
        </w:rPr>
      </w:pPr>
      <w:r w:rsidRPr="0088749D">
        <w:rPr>
          <w:szCs w:val="28"/>
        </w:rPr>
        <w:t>Прикладом таких стандартів для банківської сфери є вимоги BASEL. Цей документ було розроблено та запропоновано Базельським комітетом з банківського нагляду і він містить критерії регулювання банківської діяльності. Він наказує обов’язкове управління ризиками і вимагає поліпшити забезпеченість власним капіталом. За допомогою спеціальних рейтингів фінансові установи оцінюють кредитні ризики позичальників.</w:t>
      </w:r>
    </w:p>
    <w:p w:rsidR="00A3628E" w:rsidRPr="0088749D" w:rsidRDefault="00A3628E" w:rsidP="00AE5FEE">
      <w:pPr>
        <w:rPr>
          <w:szCs w:val="28"/>
        </w:rPr>
      </w:pPr>
      <w:r w:rsidRPr="0088749D">
        <w:rPr>
          <w:szCs w:val="28"/>
        </w:rPr>
        <w:t xml:space="preserve">Угода «Базель-1», ухвалена 1988 року, визначала рівень достатності капіталу для проведення кредитних операцій, уводила систему ранжирування позичальників за рівнем ризиків і вагові коефіцієнти для різних категорій активів. Стандарт був упроваджений більш ніж у 100 країнах світу, у тому числі й в Україні. «Базель-2» (2004 рік) відрізняється підвищеною увагою до операційних і кредитних ризиків, збільшує роль органів нагляду. Із 2012 року набув чинності «Базель-3», декларування якого полягає у підвищення якості, прозорості й удосконалення структури банківського капіталу, розширення практики покриття ризиків капіталом і стимулювання заходів щодо створення резервних його запасів. Його положення вже застосовуються в Євросоюзі, США, Канаді, Японії та Індії. Основна мета </w:t>
      </w:r>
      <w:proofErr w:type="spellStart"/>
      <w:r w:rsidRPr="0088749D">
        <w:rPr>
          <w:szCs w:val="28"/>
        </w:rPr>
        <w:t>Basel</w:t>
      </w:r>
      <w:proofErr w:type="spellEnd"/>
      <w:r w:rsidRPr="0088749D">
        <w:rPr>
          <w:szCs w:val="28"/>
        </w:rPr>
        <w:t xml:space="preserve"> – зміцнити надійність і стабільність міжнародної банківської системи на основі впровадження передової практики управління ризиками</w:t>
      </w:r>
      <w:r w:rsidR="00CA58F2">
        <w:rPr>
          <w:szCs w:val="28"/>
        </w:rPr>
        <w:t xml:space="preserve"> </w:t>
      </w:r>
      <w:r w:rsidR="00CA58F2" w:rsidRPr="00CA58F2">
        <w:rPr>
          <w:szCs w:val="28"/>
        </w:rPr>
        <w:t>[</w:t>
      </w:r>
      <w:r w:rsidR="000E269C" w:rsidRPr="000E269C">
        <w:rPr>
          <w:szCs w:val="28"/>
        </w:rPr>
        <w:t>2</w:t>
      </w:r>
      <w:r w:rsidR="00CA58F2" w:rsidRPr="00CA58F2">
        <w:rPr>
          <w:szCs w:val="28"/>
        </w:rPr>
        <w:t>]</w:t>
      </w:r>
      <w:r w:rsidRPr="0088749D">
        <w:rPr>
          <w:szCs w:val="28"/>
        </w:rPr>
        <w:t>.</w:t>
      </w:r>
    </w:p>
    <w:p w:rsidR="00A3628E" w:rsidRPr="0088749D" w:rsidRDefault="00A3628E" w:rsidP="00AE5FEE">
      <w:pPr>
        <w:rPr>
          <w:szCs w:val="28"/>
          <w:lang w:val="ru-RU"/>
        </w:rPr>
      </w:pPr>
      <w:r w:rsidRPr="0088749D">
        <w:rPr>
          <w:szCs w:val="28"/>
        </w:rPr>
        <w:t xml:space="preserve">Управління ризиками в сфері безпеки інформації регулює стандарт ISO 27005. В ньому представлено загальне керівництво з управління ризиками інформаційної безпеки. Він підтримує загальні концепції, викладені в ISO / IEC 27001, і призначений для «сприяння адекватному забезпеченню інформаційної безпеки на основі ризик-орієнтованого підходу». Цей Міжнародний стандарт </w:t>
      </w:r>
      <w:r w:rsidRPr="0088749D">
        <w:rPr>
          <w:szCs w:val="28"/>
        </w:rPr>
        <w:lastRenderedPageBreak/>
        <w:t>можна застосовувати до всіх видів підприємств (комерційних, державних установ, некомерційних організацій), які планують управляти ризиками інформаційної безпеки.</w:t>
      </w:r>
    </w:p>
    <w:p w:rsidR="00A3628E" w:rsidRPr="0088749D" w:rsidRDefault="00A3628E" w:rsidP="00AE5FEE">
      <w:pPr>
        <w:rPr>
          <w:szCs w:val="28"/>
        </w:rPr>
      </w:pPr>
      <w:r w:rsidRPr="0088749D">
        <w:rPr>
          <w:szCs w:val="28"/>
        </w:rPr>
        <w:t xml:space="preserve">Використовувати стандарти у процесі управління ризиками можна не лише в рамках організацій. Вчені </w:t>
      </w:r>
      <w:proofErr w:type="spellStart"/>
      <w:r w:rsidRPr="0088749D">
        <w:rPr>
          <w:szCs w:val="28"/>
        </w:rPr>
        <w:t>Старостіна</w:t>
      </w:r>
      <w:proofErr w:type="spellEnd"/>
      <w:r w:rsidRPr="0088749D">
        <w:rPr>
          <w:szCs w:val="28"/>
        </w:rPr>
        <w:t xml:space="preserve"> А.О. та Кравченко В.А. в своїх працях показали, як можна застосовувати міжнародні стандарти на державному рівні на прикладі «Державної програми соціального та економічного розвитку України» [</w:t>
      </w:r>
      <w:r w:rsidR="000E269C" w:rsidRPr="000E269C">
        <w:rPr>
          <w:szCs w:val="28"/>
          <w:lang w:val="ru-RU"/>
        </w:rPr>
        <w:t>5</w:t>
      </w:r>
      <w:r w:rsidRPr="0088749D">
        <w:rPr>
          <w:szCs w:val="28"/>
        </w:rPr>
        <w:t xml:space="preserve">; </w:t>
      </w:r>
      <w:r w:rsidR="000E269C" w:rsidRPr="000E269C">
        <w:rPr>
          <w:szCs w:val="28"/>
          <w:lang w:val="ru-RU"/>
        </w:rPr>
        <w:t>9</w:t>
      </w:r>
      <w:r w:rsidRPr="0088749D">
        <w:rPr>
          <w:szCs w:val="28"/>
        </w:rPr>
        <w:t>].</w:t>
      </w:r>
    </w:p>
    <w:p w:rsidR="00A3628E" w:rsidRPr="0088749D" w:rsidRDefault="00A3628E" w:rsidP="00AE5FEE">
      <w:pPr>
        <w:rPr>
          <w:szCs w:val="28"/>
        </w:rPr>
      </w:pPr>
      <w:r w:rsidRPr="0088749D">
        <w:rPr>
          <w:szCs w:val="28"/>
        </w:rPr>
        <w:t xml:space="preserve">Велика частина проаналізованих стандартів – «COSO II», «FERMA» – діють на основі угоди їх учасників. Один з небагатьох законодавчо затверджених стандартів у сфері управління ризиками – це «Закон </w:t>
      </w:r>
      <w:proofErr w:type="spellStart"/>
      <w:r w:rsidRPr="0088749D">
        <w:rPr>
          <w:szCs w:val="28"/>
        </w:rPr>
        <w:t>Сарбейнса-Окслі</w:t>
      </w:r>
      <w:proofErr w:type="spellEnd"/>
      <w:r w:rsidRPr="0088749D">
        <w:rPr>
          <w:szCs w:val="28"/>
        </w:rPr>
        <w:t>». Але і цей закон не гарантує успішності дій і процедур.</w:t>
      </w:r>
    </w:p>
    <w:p w:rsidR="00A3628E" w:rsidRPr="0088749D" w:rsidRDefault="00A3628E" w:rsidP="00AE5FEE">
      <w:pPr>
        <w:rPr>
          <w:szCs w:val="28"/>
        </w:rPr>
      </w:pPr>
      <w:r w:rsidRPr="0088749D">
        <w:rPr>
          <w:szCs w:val="28"/>
        </w:rPr>
        <w:t>Компаніям необхідний свій стандарт, що допомагає складати регламенти та інструкції, які визначають:</w:t>
      </w:r>
    </w:p>
    <w:p w:rsidR="00A3628E" w:rsidRPr="0088749D" w:rsidRDefault="00A3628E" w:rsidP="00AE5FEE">
      <w:pPr>
        <w:numPr>
          <w:ilvl w:val="0"/>
          <w:numId w:val="7"/>
        </w:numPr>
        <w:tabs>
          <w:tab w:val="left" w:pos="1134"/>
        </w:tabs>
        <w:ind w:left="0" w:firstLine="709"/>
        <w:rPr>
          <w:szCs w:val="28"/>
        </w:rPr>
      </w:pPr>
      <w:r w:rsidRPr="0088749D">
        <w:rPr>
          <w:szCs w:val="28"/>
        </w:rPr>
        <w:t>принципи взаємодії між структурними підрозділами компанії у сфері управління ризиками;</w:t>
      </w:r>
    </w:p>
    <w:p w:rsidR="00A3628E" w:rsidRPr="0088749D" w:rsidRDefault="00A3628E" w:rsidP="00AE5FEE">
      <w:pPr>
        <w:numPr>
          <w:ilvl w:val="0"/>
          <w:numId w:val="7"/>
        </w:numPr>
        <w:tabs>
          <w:tab w:val="left" w:pos="1134"/>
        </w:tabs>
        <w:ind w:left="0" w:firstLine="709"/>
        <w:rPr>
          <w:szCs w:val="28"/>
        </w:rPr>
      </w:pPr>
      <w:r w:rsidRPr="0088749D">
        <w:rPr>
          <w:szCs w:val="28"/>
        </w:rPr>
        <w:t>чіткий розподіл функцій, повноважень і відповідальності між підрозділами компанії в сфері управління ризиками;</w:t>
      </w:r>
    </w:p>
    <w:p w:rsidR="00A3628E" w:rsidRPr="0088749D" w:rsidRDefault="00A3628E" w:rsidP="00AE5FEE">
      <w:pPr>
        <w:numPr>
          <w:ilvl w:val="0"/>
          <w:numId w:val="7"/>
        </w:numPr>
        <w:tabs>
          <w:tab w:val="left" w:pos="1134"/>
        </w:tabs>
        <w:ind w:left="0" w:firstLine="709"/>
        <w:rPr>
          <w:szCs w:val="28"/>
        </w:rPr>
      </w:pPr>
      <w:r w:rsidRPr="0088749D">
        <w:rPr>
          <w:szCs w:val="28"/>
        </w:rPr>
        <w:t>систему контролю та повноваження контролюючих структурних підрозділів;</w:t>
      </w:r>
    </w:p>
    <w:p w:rsidR="00A3628E" w:rsidRPr="0088749D" w:rsidRDefault="00A3628E" w:rsidP="00AE5FEE">
      <w:pPr>
        <w:numPr>
          <w:ilvl w:val="0"/>
          <w:numId w:val="7"/>
        </w:numPr>
        <w:tabs>
          <w:tab w:val="left" w:pos="1134"/>
        </w:tabs>
        <w:ind w:left="0" w:firstLine="709"/>
        <w:rPr>
          <w:szCs w:val="28"/>
        </w:rPr>
      </w:pPr>
      <w:r w:rsidRPr="0088749D">
        <w:rPr>
          <w:szCs w:val="28"/>
        </w:rPr>
        <w:t>норми і вимоги за операціями, що несе ризик.</w:t>
      </w:r>
    </w:p>
    <w:p w:rsidR="00A3628E" w:rsidRPr="0088749D" w:rsidRDefault="00A3628E" w:rsidP="00AE5FEE">
      <w:pPr>
        <w:rPr>
          <w:szCs w:val="28"/>
        </w:rPr>
      </w:pPr>
      <w:r w:rsidRPr="0088749D">
        <w:rPr>
          <w:szCs w:val="28"/>
        </w:rPr>
        <w:t xml:space="preserve">Авторами розроблений алгоритм виявлення та опису ризиків з урахуванням вимог основних, визнаних на міжнародному рівні стандартів із ризик-менеджменту та рівня кваліфікаційної підготовки фахівців українських підприємств. </w:t>
      </w:r>
    </w:p>
    <w:p w:rsidR="00A3628E" w:rsidRPr="0088749D" w:rsidRDefault="00A3628E" w:rsidP="00AE5FEE">
      <w:pPr>
        <w:rPr>
          <w:szCs w:val="28"/>
        </w:rPr>
      </w:pPr>
      <w:r w:rsidRPr="0088749D">
        <w:rPr>
          <w:szCs w:val="28"/>
        </w:rPr>
        <w:t>Отже, після того, як встановлено контекст ризику (стратегічні та тактичні цілі проекту), потрібно виявити фактори ризику, тобто випадкові події, які впливають на досягнення цілей компанії. Вони містяться в зовнішньому середовищі (макросередовище та мікросередовище) та внутрішньому середовищі проекту.</w:t>
      </w:r>
    </w:p>
    <w:p w:rsidR="00A3628E" w:rsidRPr="0088749D" w:rsidRDefault="00A3628E" w:rsidP="00AE5FEE">
      <w:pPr>
        <w:rPr>
          <w:szCs w:val="28"/>
          <w:lang w:val="ru-RU"/>
        </w:rPr>
      </w:pPr>
      <w:r w:rsidRPr="0088749D">
        <w:rPr>
          <w:szCs w:val="28"/>
        </w:rPr>
        <w:lastRenderedPageBreak/>
        <w:t xml:space="preserve">Фактори ризику можуть бути як факторами-загрозами, так і факторами-можливостями. У першому випадку це події, які заважають реалізації цілей, що стоять перед проектом, це традиційний підхід до ризиків як до загроз для діяльності компанії. Однак у ряді стандартів (зокрема, в </w:t>
      </w:r>
      <w:proofErr w:type="spellStart"/>
      <w:r w:rsidRPr="0088749D">
        <w:rPr>
          <w:szCs w:val="28"/>
        </w:rPr>
        <w:t>Австралійсько-Новозелендському</w:t>
      </w:r>
      <w:proofErr w:type="spellEnd"/>
      <w:r w:rsidRPr="0088749D">
        <w:rPr>
          <w:szCs w:val="28"/>
        </w:rPr>
        <w:t xml:space="preserve"> стандарті з ризик-менеджменту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xml:space="preserve"> Standard 4360) зазначається, що «ці події можуть заважати, послаблювати, </w:t>
      </w:r>
      <w:proofErr w:type="spellStart"/>
      <w:r w:rsidRPr="0088749D">
        <w:rPr>
          <w:szCs w:val="28"/>
        </w:rPr>
        <w:t>відтерміновувати</w:t>
      </w:r>
      <w:proofErr w:type="spellEnd"/>
      <w:r w:rsidRPr="0088749D">
        <w:rPr>
          <w:szCs w:val="28"/>
        </w:rPr>
        <w:t xml:space="preserve"> або сприяти досягненню цілей» [</w:t>
      </w:r>
      <w:r w:rsidR="00EE387B" w:rsidRPr="0088749D">
        <w:rPr>
          <w:szCs w:val="28"/>
        </w:rPr>
        <w:t>1</w:t>
      </w:r>
      <w:r w:rsidRPr="0088749D">
        <w:rPr>
          <w:szCs w:val="28"/>
        </w:rPr>
        <w:t>]. Такий підхід до ризиків є цілком виправданим, оскільки орієнтує керівництво підприємств не лише на захист від несприятливих подій, але й на пошук шляхів для реалізації можливостей, які можуть відкритися перед ними. Наприклад, фактором-можливістю може бути зниження відсотків за банківськими кредитами.  Якщо компанія не використає можливість залучення кредитних ресурсів, що здешевіли, для розвитку свого бізнесу, то це буде означати, що вона лишиться можливості отримати додатковий прибуток.</w:t>
      </w:r>
    </w:p>
    <w:p w:rsidR="00A3628E" w:rsidRPr="0088749D" w:rsidRDefault="00A3628E" w:rsidP="00AE5FEE">
      <w:pPr>
        <w:rPr>
          <w:i/>
          <w:szCs w:val="28"/>
        </w:rPr>
      </w:pPr>
      <w:r w:rsidRPr="0088749D">
        <w:rPr>
          <w:szCs w:val="28"/>
        </w:rPr>
        <w:t>Донець</w:t>
      </w:r>
      <w:r w:rsidR="00DE3D9D" w:rsidRPr="0088749D">
        <w:rPr>
          <w:szCs w:val="28"/>
        </w:rPr>
        <w:t xml:space="preserve"> О.М.</w:t>
      </w:r>
      <w:r w:rsidRPr="0088749D">
        <w:rPr>
          <w:szCs w:val="28"/>
        </w:rPr>
        <w:t>, Савельєва</w:t>
      </w:r>
      <w:r w:rsidR="00DE3D9D" w:rsidRPr="0088749D">
        <w:rPr>
          <w:szCs w:val="28"/>
        </w:rPr>
        <w:t xml:space="preserve"> Т.В.</w:t>
      </w:r>
      <w:r w:rsidRPr="0088749D">
        <w:rPr>
          <w:szCs w:val="28"/>
        </w:rPr>
        <w:t xml:space="preserve">, </w:t>
      </w:r>
      <w:proofErr w:type="spellStart"/>
      <w:r w:rsidRPr="0088749D">
        <w:rPr>
          <w:szCs w:val="28"/>
        </w:rPr>
        <w:t>Урецька</w:t>
      </w:r>
      <w:proofErr w:type="spellEnd"/>
      <w:r w:rsidR="00DE3D9D" w:rsidRPr="0088749D">
        <w:rPr>
          <w:szCs w:val="28"/>
        </w:rPr>
        <w:t xml:space="preserve"> Ю.І.</w:t>
      </w:r>
      <w:r w:rsidRPr="0088749D">
        <w:rPr>
          <w:szCs w:val="28"/>
        </w:rPr>
        <w:t>, для виявлення факторів ризиків і формулювання ризиків пропонують застосовувати спеціальну матрицю ризик-аналізу (табл. 1). В якій експертним шляхом встановлюються фактори ризиків, які впливають на досягнення цілей підприємством у різних функціональних сферах свого бізнесу: стратегічній, виробничій, фінансовій, маркетинговій тощо [</w:t>
      </w:r>
      <w:r w:rsidR="000E269C" w:rsidRPr="000E269C">
        <w:rPr>
          <w:szCs w:val="28"/>
        </w:rPr>
        <w:t>3</w:t>
      </w:r>
      <w:r w:rsidRPr="0088749D">
        <w:rPr>
          <w:szCs w:val="28"/>
        </w:rPr>
        <w:t>].</w:t>
      </w:r>
    </w:p>
    <w:p w:rsidR="00A3628E" w:rsidRPr="0088749D" w:rsidRDefault="00A3628E" w:rsidP="000E269C">
      <w:pPr>
        <w:spacing w:line="240" w:lineRule="auto"/>
        <w:jc w:val="right"/>
        <w:rPr>
          <w:szCs w:val="28"/>
        </w:rPr>
      </w:pPr>
      <w:r w:rsidRPr="0088749D">
        <w:rPr>
          <w:szCs w:val="28"/>
        </w:rPr>
        <w:t>Таблиця 1</w:t>
      </w:r>
    </w:p>
    <w:p w:rsidR="00A3628E" w:rsidRPr="0088749D" w:rsidRDefault="00A3628E" w:rsidP="00E35EB7">
      <w:pPr>
        <w:spacing w:line="240" w:lineRule="auto"/>
        <w:jc w:val="center"/>
        <w:rPr>
          <w:szCs w:val="28"/>
        </w:rPr>
      </w:pPr>
      <w:r w:rsidRPr="0088749D">
        <w:rPr>
          <w:bCs/>
          <w:szCs w:val="28"/>
        </w:rPr>
        <w:t>Матриця ризик-аналізу</w:t>
      </w:r>
      <w:r w:rsidR="00E35EB7">
        <w:rPr>
          <w:bCs/>
          <w:szCs w:val="28"/>
        </w:rPr>
        <w:t xml:space="preserve"> </w:t>
      </w:r>
    </w:p>
    <w:tbl>
      <w:tblPr>
        <w:tblW w:w="5000" w:type="pct"/>
        <w:tblCellMar>
          <w:left w:w="0" w:type="dxa"/>
          <w:right w:w="0" w:type="dxa"/>
        </w:tblCellMar>
        <w:tblLook w:val="0000"/>
      </w:tblPr>
      <w:tblGrid>
        <w:gridCol w:w="2297"/>
        <w:gridCol w:w="339"/>
        <w:gridCol w:w="589"/>
        <w:gridCol w:w="576"/>
        <w:gridCol w:w="582"/>
        <w:gridCol w:w="584"/>
        <w:gridCol w:w="618"/>
        <w:gridCol w:w="696"/>
        <w:gridCol w:w="583"/>
        <w:gridCol w:w="436"/>
        <w:gridCol w:w="585"/>
        <w:gridCol w:w="436"/>
        <w:gridCol w:w="438"/>
        <w:gridCol w:w="300"/>
        <w:gridCol w:w="589"/>
      </w:tblGrid>
      <w:tr w:rsidR="00A3628E" w:rsidRPr="0088749D" w:rsidTr="00102022">
        <w:trPr>
          <w:trHeight w:hRule="exact" w:val="529"/>
        </w:trPr>
        <w:tc>
          <w:tcPr>
            <w:tcW w:w="1191" w:type="pct"/>
            <w:vMerge w:val="restart"/>
            <w:tcBorders>
              <w:top w:val="single" w:sz="4" w:space="0" w:color="000000"/>
              <w:left w:val="single" w:sz="4" w:space="0" w:color="000000"/>
              <w:right w:val="single" w:sz="4" w:space="0" w:color="000000"/>
            </w:tcBorders>
            <w:shd w:val="clear" w:color="auto" w:fill="FFFFFF"/>
            <w:vAlign w:val="cente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Джерела ризиків/</w:t>
            </w:r>
          </w:p>
          <w:p w:rsidR="00A3628E" w:rsidRPr="0088749D" w:rsidRDefault="00A3628E" w:rsidP="00E35EB7">
            <w:pPr>
              <w:widowControl w:val="0"/>
              <w:autoSpaceDE w:val="0"/>
              <w:autoSpaceDN w:val="0"/>
              <w:adjustRightInd w:val="0"/>
              <w:spacing w:line="240" w:lineRule="auto"/>
              <w:ind w:firstLine="0"/>
              <w:rPr>
                <w:sz w:val="24"/>
              </w:rPr>
            </w:pPr>
            <w:r w:rsidRPr="0088749D">
              <w:rPr>
                <w:sz w:val="24"/>
              </w:rPr>
              <w:t>Підрозділи</w:t>
            </w:r>
          </w:p>
        </w:tc>
        <w:tc>
          <w:tcPr>
            <w:tcW w:w="1707" w:type="pct"/>
            <w:gridSpan w:val="6"/>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roofErr w:type="spellStart"/>
            <w:r w:rsidRPr="0088749D">
              <w:rPr>
                <w:sz w:val="24"/>
              </w:rPr>
              <w:t>Макро-середовище</w:t>
            </w:r>
            <w:proofErr w:type="spellEnd"/>
          </w:p>
        </w:tc>
        <w:tc>
          <w:tcPr>
            <w:tcW w:w="889" w:type="pct"/>
            <w:gridSpan w:val="3"/>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roofErr w:type="spellStart"/>
            <w:r w:rsidRPr="0088749D">
              <w:rPr>
                <w:sz w:val="24"/>
              </w:rPr>
              <w:t>Мікро-</w:t>
            </w:r>
            <w:proofErr w:type="spellEnd"/>
          </w:p>
          <w:p w:rsidR="00A3628E" w:rsidRPr="0088749D" w:rsidRDefault="00A3628E" w:rsidP="00E35EB7">
            <w:pPr>
              <w:widowControl w:val="0"/>
              <w:autoSpaceDE w:val="0"/>
              <w:autoSpaceDN w:val="0"/>
              <w:adjustRightInd w:val="0"/>
              <w:spacing w:line="240" w:lineRule="auto"/>
              <w:ind w:firstLine="0"/>
              <w:rPr>
                <w:sz w:val="24"/>
              </w:rPr>
            </w:pPr>
            <w:r w:rsidRPr="0088749D">
              <w:rPr>
                <w:sz w:val="24"/>
              </w:rPr>
              <w:t>середовище</w:t>
            </w:r>
          </w:p>
        </w:tc>
        <w:tc>
          <w:tcPr>
            <w:tcW w:w="1213" w:type="pct"/>
            <w:gridSpan w:val="5"/>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Внутрішнє</w:t>
            </w:r>
          </w:p>
          <w:p w:rsidR="00A3628E" w:rsidRPr="0088749D" w:rsidRDefault="00A3628E" w:rsidP="00E35EB7">
            <w:pPr>
              <w:widowControl w:val="0"/>
              <w:autoSpaceDE w:val="0"/>
              <w:autoSpaceDN w:val="0"/>
              <w:adjustRightInd w:val="0"/>
              <w:spacing w:line="240" w:lineRule="auto"/>
              <w:ind w:firstLine="0"/>
              <w:rPr>
                <w:sz w:val="24"/>
              </w:rPr>
            </w:pPr>
            <w:r w:rsidRPr="0088749D">
              <w:rPr>
                <w:sz w:val="24"/>
              </w:rPr>
              <w:t>середовище</w:t>
            </w:r>
          </w:p>
        </w:tc>
      </w:tr>
      <w:tr w:rsidR="00A3628E" w:rsidRPr="0088749D" w:rsidTr="00102022">
        <w:trPr>
          <w:cantSplit/>
          <w:trHeight w:hRule="exact" w:val="1274"/>
        </w:trPr>
        <w:tc>
          <w:tcPr>
            <w:tcW w:w="1191" w:type="pct"/>
            <w:vMerge/>
            <w:tcBorders>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76"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політичні</w:t>
            </w:r>
          </w:p>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фінансові</w:t>
            </w:r>
          </w:p>
        </w:tc>
        <w:tc>
          <w:tcPr>
            <w:tcW w:w="299"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природні</w:t>
            </w:r>
          </w:p>
        </w:tc>
        <w:tc>
          <w:tcPr>
            <w:tcW w:w="302"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культурні</w:t>
            </w:r>
          </w:p>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демографічні</w:t>
            </w:r>
          </w:p>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науково-технічні</w:t>
            </w:r>
          </w:p>
        </w:tc>
        <w:tc>
          <w:tcPr>
            <w:tcW w:w="361"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конкуренція</w:t>
            </w:r>
          </w:p>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споживачі</w:t>
            </w:r>
          </w:p>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постачальники</w:t>
            </w:r>
          </w:p>
        </w:tc>
        <w:tc>
          <w:tcPr>
            <w:tcW w:w="303"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стратегічний рівень</w:t>
            </w:r>
          </w:p>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маркетинг</w:t>
            </w:r>
          </w:p>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виробництво</w:t>
            </w:r>
          </w:p>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персонал</w:t>
            </w:r>
          </w:p>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extDirection w:val="btLr"/>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фінанси</w:t>
            </w:r>
          </w:p>
        </w:tc>
      </w:tr>
      <w:tr w:rsidR="00A3628E" w:rsidRPr="0088749D" w:rsidTr="00102022">
        <w:trPr>
          <w:trHeight w:hRule="exact" w:val="570"/>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Стратегічний</w:t>
            </w:r>
          </w:p>
          <w:p w:rsidR="00A3628E" w:rsidRPr="0088749D" w:rsidRDefault="00A3628E" w:rsidP="00E35EB7">
            <w:pPr>
              <w:widowControl w:val="0"/>
              <w:autoSpaceDE w:val="0"/>
              <w:autoSpaceDN w:val="0"/>
              <w:adjustRightInd w:val="0"/>
              <w:spacing w:line="240" w:lineRule="auto"/>
              <w:ind w:firstLine="0"/>
              <w:rPr>
                <w:sz w:val="24"/>
              </w:rPr>
            </w:pPr>
            <w:r w:rsidRPr="0088749D">
              <w:rPr>
                <w:sz w:val="24"/>
              </w:rPr>
              <w:t>рівень</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333"/>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Виробництво</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369"/>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Фінанси</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ФР_1</w:t>
            </w: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276"/>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Маркетинг</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293"/>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Кадри</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284"/>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Постачання</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370"/>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lastRenderedPageBreak/>
              <w:t>Збут</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ЗР_1</w:t>
            </w: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r w:rsidR="00A3628E" w:rsidRPr="0088749D" w:rsidTr="00102022">
        <w:trPr>
          <w:trHeight w:hRule="exact" w:val="289"/>
        </w:trPr>
        <w:tc>
          <w:tcPr>
            <w:tcW w:w="119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r w:rsidRPr="0088749D">
              <w:rPr>
                <w:sz w:val="24"/>
              </w:rPr>
              <w:t>Інше</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99"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2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3"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227"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A3628E" w:rsidRPr="0088749D" w:rsidRDefault="00A3628E" w:rsidP="00E35EB7">
            <w:pPr>
              <w:widowControl w:val="0"/>
              <w:autoSpaceDE w:val="0"/>
              <w:autoSpaceDN w:val="0"/>
              <w:adjustRightInd w:val="0"/>
              <w:spacing w:line="240" w:lineRule="auto"/>
              <w:ind w:firstLine="0"/>
              <w:rPr>
                <w:sz w:val="24"/>
              </w:rPr>
            </w:pPr>
          </w:p>
        </w:tc>
      </w:tr>
    </w:tbl>
    <w:p w:rsidR="00A3628E" w:rsidRPr="0088749D" w:rsidRDefault="00A3628E" w:rsidP="004873FC">
      <w:pPr>
        <w:spacing w:line="240" w:lineRule="auto"/>
        <w:rPr>
          <w:szCs w:val="28"/>
        </w:rPr>
      </w:pPr>
    </w:p>
    <w:p w:rsidR="00A3628E" w:rsidRPr="0088749D" w:rsidRDefault="00A3628E" w:rsidP="00AE5FEE">
      <w:pPr>
        <w:rPr>
          <w:szCs w:val="28"/>
        </w:rPr>
      </w:pPr>
      <w:r w:rsidRPr="0088749D">
        <w:rPr>
          <w:szCs w:val="28"/>
        </w:rPr>
        <w:t xml:space="preserve">Так </w:t>
      </w:r>
      <w:proofErr w:type="spellStart"/>
      <w:r w:rsidRPr="0088749D">
        <w:rPr>
          <w:szCs w:val="28"/>
        </w:rPr>
        <w:t>Сохацька</w:t>
      </w:r>
      <w:proofErr w:type="spellEnd"/>
      <w:r w:rsidRPr="0088749D">
        <w:rPr>
          <w:szCs w:val="28"/>
        </w:rPr>
        <w:t xml:space="preserve"> </w:t>
      </w:r>
      <w:r w:rsidR="00AA22E0" w:rsidRPr="0088749D">
        <w:rPr>
          <w:szCs w:val="28"/>
        </w:rPr>
        <w:t xml:space="preserve">О.М. </w:t>
      </w:r>
      <w:r w:rsidRPr="0088749D">
        <w:rPr>
          <w:szCs w:val="28"/>
        </w:rPr>
        <w:t>вважає, що можна побудувати велику кількість різних видів карт ризиків, адже на її думку «Карта ризиків – це графічний і текстовий опис обмеженого числа ризиків компанії, розміщених в прямокутній таблиці, по одній осі вказується сила впливу чи значимість ризику, а по іншій – імовірність чи частота його виникнення» [</w:t>
      </w:r>
      <w:r w:rsidR="000E269C" w:rsidRPr="000E269C">
        <w:rPr>
          <w:szCs w:val="28"/>
        </w:rPr>
        <w:t>7</w:t>
      </w:r>
      <w:r w:rsidRPr="0088749D">
        <w:rPr>
          <w:szCs w:val="28"/>
        </w:rPr>
        <w:t xml:space="preserve">]. </w:t>
      </w:r>
    </w:p>
    <w:p w:rsidR="00A3628E" w:rsidRPr="0088749D" w:rsidRDefault="00A3628E" w:rsidP="00AE5FEE">
      <w:pPr>
        <w:rPr>
          <w:szCs w:val="28"/>
        </w:rPr>
      </w:pPr>
      <w:r w:rsidRPr="0088749D">
        <w:rPr>
          <w:szCs w:val="28"/>
        </w:rPr>
        <w:t>Розгляд основ практичного алгоритму виявлення та опису фінансових ризиків дозволяє зробити такі висновки, їх можна розглядати як комбінацію можливої події, її ймовірності та її наслідків, а це дає можливість використовувати на практиці зручний формат для їх формулювання.</w:t>
      </w:r>
    </w:p>
    <w:p w:rsidR="00FE6FDF" w:rsidRDefault="00CB258E" w:rsidP="00FE6FDF">
      <w:pPr>
        <w:rPr>
          <w:rFonts w:eastAsia="MS Minngs"/>
          <w:szCs w:val="28"/>
        </w:rPr>
      </w:pPr>
      <w:r w:rsidRPr="0088749D">
        <w:rPr>
          <w:b/>
          <w:szCs w:val="28"/>
        </w:rPr>
        <w:t>Висновки.</w:t>
      </w:r>
      <w:r w:rsidRPr="0088749D">
        <w:rPr>
          <w:szCs w:val="28"/>
        </w:rPr>
        <w:t xml:space="preserve"> </w:t>
      </w:r>
      <w:r w:rsidR="0035371B">
        <w:rPr>
          <w:szCs w:val="28"/>
        </w:rPr>
        <w:t>В</w:t>
      </w:r>
      <w:r w:rsidR="00A3675A" w:rsidRPr="0088749D">
        <w:rPr>
          <w:szCs w:val="28"/>
        </w:rPr>
        <w:t xml:space="preserve">икористання міжнародних стандартів ризик-менеджменту в процесі управління фінансовим ризиком забезпечує підвищення конкурентоспроможності та інвестиційної привабливості проектно-орієнтованих підприємств. </w:t>
      </w:r>
      <w:r w:rsidR="00AA22E0" w:rsidRPr="0088749D">
        <w:rPr>
          <w:szCs w:val="28"/>
        </w:rPr>
        <w:t>Звичайно</w:t>
      </w:r>
      <w:r w:rsidR="0035371B">
        <w:rPr>
          <w:szCs w:val="28"/>
        </w:rPr>
        <w:t>,</w:t>
      </w:r>
      <w:r w:rsidR="00AA22E0" w:rsidRPr="0088749D">
        <w:rPr>
          <w:szCs w:val="28"/>
        </w:rPr>
        <w:t xml:space="preserve"> основні стандарти ризик-менеджменту можна застосовувати </w:t>
      </w:r>
      <w:r w:rsidR="00A3675A" w:rsidRPr="0088749D">
        <w:rPr>
          <w:szCs w:val="28"/>
        </w:rPr>
        <w:t xml:space="preserve">і в </w:t>
      </w:r>
      <w:r w:rsidR="00AA22E0" w:rsidRPr="0088749D">
        <w:rPr>
          <w:szCs w:val="28"/>
        </w:rPr>
        <w:t xml:space="preserve">їх основоположному вигляді, але слід зазначити, що не завжди вони враховують </w:t>
      </w:r>
      <w:r w:rsidR="00A3675A" w:rsidRPr="0088749D">
        <w:rPr>
          <w:szCs w:val="28"/>
        </w:rPr>
        <w:t xml:space="preserve">ментальність і </w:t>
      </w:r>
      <w:r w:rsidR="00AA22E0" w:rsidRPr="0088749D">
        <w:rPr>
          <w:szCs w:val="28"/>
        </w:rPr>
        <w:t xml:space="preserve">вітчизняні реалії економіки. Тому на нашу думку, необхідно </w:t>
      </w:r>
      <w:r w:rsidR="00A3675A" w:rsidRPr="0088749D">
        <w:rPr>
          <w:szCs w:val="28"/>
        </w:rPr>
        <w:t>розробляти вітчизняні стандарти управління ризиками, враховуючи зарубіжні системи стандартів ризик-менеджменту</w:t>
      </w:r>
      <w:r w:rsidR="00FE6FDF" w:rsidRPr="00FE6FDF">
        <w:rPr>
          <w:szCs w:val="28"/>
        </w:rPr>
        <w:t xml:space="preserve">, </w:t>
      </w:r>
      <w:r w:rsidR="00FE6FDF" w:rsidRPr="00C474C2">
        <w:rPr>
          <w:rFonts w:eastAsia="MS Minngs"/>
          <w:szCs w:val="28"/>
        </w:rPr>
        <w:t>що й зумовлює необхідність подальшого розвитку проведеного дослідження.</w:t>
      </w:r>
    </w:p>
    <w:p w:rsidR="00A3628E" w:rsidRPr="0088749D" w:rsidRDefault="00A3675A" w:rsidP="00AE5FEE">
      <w:pPr>
        <w:rPr>
          <w:szCs w:val="28"/>
        </w:rPr>
      </w:pPr>
      <w:r w:rsidRPr="0088749D">
        <w:rPr>
          <w:szCs w:val="28"/>
        </w:rPr>
        <w:t xml:space="preserve"> </w:t>
      </w:r>
    </w:p>
    <w:p w:rsidR="00B92897" w:rsidRPr="00D87113" w:rsidRDefault="00D87113" w:rsidP="004873FC">
      <w:pPr>
        <w:spacing w:line="240" w:lineRule="auto"/>
        <w:rPr>
          <w:szCs w:val="28"/>
        </w:rPr>
      </w:pPr>
      <w:r w:rsidRPr="00D87113">
        <w:rPr>
          <w:b/>
          <w:bCs/>
          <w:color w:val="000000"/>
          <w:szCs w:val="28"/>
        </w:rPr>
        <w:t>Література.</w:t>
      </w:r>
    </w:p>
    <w:p w:rsidR="00EE387B" w:rsidRPr="0088749D" w:rsidRDefault="00EE387B" w:rsidP="004873FC">
      <w:pPr>
        <w:spacing w:line="240" w:lineRule="auto"/>
        <w:rPr>
          <w:szCs w:val="28"/>
        </w:rPr>
      </w:pPr>
    </w:p>
    <w:p w:rsidR="000E269C" w:rsidRPr="0088749D" w:rsidRDefault="000E269C" w:rsidP="004873FC">
      <w:pPr>
        <w:pStyle w:val="a7"/>
        <w:numPr>
          <w:ilvl w:val="0"/>
          <w:numId w:val="9"/>
        </w:numPr>
        <w:spacing w:line="240" w:lineRule="auto"/>
        <w:ind w:left="0" w:firstLine="709"/>
        <w:rPr>
          <w:szCs w:val="28"/>
          <w:lang w:val="en-US"/>
        </w:rPr>
      </w:pPr>
      <w:r w:rsidRPr="0088749D">
        <w:rPr>
          <w:szCs w:val="28"/>
        </w:rPr>
        <w:t xml:space="preserve">AS/NZS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xml:space="preserve"> </w:t>
      </w:r>
      <w:proofErr w:type="spellStart"/>
      <w:r w:rsidRPr="0088749D">
        <w:rPr>
          <w:szCs w:val="28"/>
        </w:rPr>
        <w:t>Standart</w:t>
      </w:r>
      <w:proofErr w:type="spellEnd"/>
      <w:r w:rsidRPr="0088749D">
        <w:rPr>
          <w:szCs w:val="28"/>
        </w:rPr>
        <w:t xml:space="preserve"> 4360 [Електронний ресурс]. - Режим доступу: http://www.riskmanagement.com.au</w:t>
      </w:r>
    </w:p>
    <w:p w:rsidR="000E269C" w:rsidRPr="00CA58F2" w:rsidRDefault="000E269C" w:rsidP="00CA58F2">
      <w:pPr>
        <w:pStyle w:val="a7"/>
        <w:numPr>
          <w:ilvl w:val="0"/>
          <w:numId w:val="9"/>
        </w:numPr>
        <w:spacing w:line="240" w:lineRule="auto"/>
        <w:ind w:left="0" w:firstLine="709"/>
        <w:rPr>
          <w:szCs w:val="28"/>
        </w:rPr>
      </w:pPr>
      <w:proofErr w:type="spellStart"/>
      <w:r w:rsidRPr="00CA58F2">
        <w:rPr>
          <w:szCs w:val="28"/>
        </w:rPr>
        <w:t>Basel</w:t>
      </w:r>
      <w:proofErr w:type="spellEnd"/>
      <w:r w:rsidRPr="00CA58F2">
        <w:rPr>
          <w:szCs w:val="28"/>
        </w:rPr>
        <w:t xml:space="preserve"> </w:t>
      </w:r>
      <w:proofErr w:type="spellStart"/>
      <w:r w:rsidRPr="00CA58F2">
        <w:rPr>
          <w:szCs w:val="28"/>
        </w:rPr>
        <w:t>Committee</w:t>
      </w:r>
      <w:proofErr w:type="spellEnd"/>
      <w:r w:rsidRPr="00CA58F2">
        <w:rPr>
          <w:szCs w:val="28"/>
        </w:rPr>
        <w:t xml:space="preserve"> </w:t>
      </w:r>
      <w:proofErr w:type="spellStart"/>
      <w:r w:rsidRPr="00CA58F2">
        <w:rPr>
          <w:szCs w:val="28"/>
        </w:rPr>
        <w:t>on</w:t>
      </w:r>
      <w:proofErr w:type="spellEnd"/>
      <w:r w:rsidRPr="00CA58F2">
        <w:rPr>
          <w:szCs w:val="28"/>
        </w:rPr>
        <w:t xml:space="preserve"> </w:t>
      </w:r>
      <w:proofErr w:type="spellStart"/>
      <w:r w:rsidRPr="00CA58F2">
        <w:rPr>
          <w:szCs w:val="28"/>
        </w:rPr>
        <w:t>Banking</w:t>
      </w:r>
      <w:proofErr w:type="spellEnd"/>
      <w:r w:rsidRPr="00CA58F2">
        <w:rPr>
          <w:szCs w:val="28"/>
        </w:rPr>
        <w:t xml:space="preserve"> </w:t>
      </w:r>
      <w:proofErr w:type="spellStart"/>
      <w:r w:rsidRPr="00CA58F2">
        <w:rPr>
          <w:szCs w:val="28"/>
        </w:rPr>
        <w:t>Supervision</w:t>
      </w:r>
      <w:proofErr w:type="spellEnd"/>
      <w:r w:rsidRPr="00CA58F2">
        <w:rPr>
          <w:szCs w:val="28"/>
        </w:rPr>
        <w:t>) / [Електронний  варіант].  –  Режим доступу: http://www.bis.org/bcbs/index.htm</w:t>
      </w:r>
    </w:p>
    <w:p w:rsidR="000E269C" w:rsidRPr="0088749D" w:rsidRDefault="000E269C" w:rsidP="004873FC">
      <w:pPr>
        <w:pStyle w:val="a7"/>
        <w:numPr>
          <w:ilvl w:val="0"/>
          <w:numId w:val="9"/>
        </w:numPr>
        <w:spacing w:line="240" w:lineRule="auto"/>
        <w:ind w:left="0" w:firstLine="709"/>
        <w:rPr>
          <w:iCs/>
          <w:szCs w:val="28"/>
        </w:rPr>
      </w:pPr>
      <w:r w:rsidRPr="0088749D">
        <w:rPr>
          <w:szCs w:val="28"/>
        </w:rPr>
        <w:t xml:space="preserve">Донець О.М. Використання міжнародних стандартів в управлінні ризиками / О.М. Донець, Т.В. Савельєва, Ю.І. </w:t>
      </w:r>
      <w:proofErr w:type="spellStart"/>
      <w:r w:rsidRPr="0088749D">
        <w:rPr>
          <w:szCs w:val="28"/>
        </w:rPr>
        <w:t>Урецька</w:t>
      </w:r>
      <w:proofErr w:type="spellEnd"/>
      <w:r w:rsidRPr="0088749D">
        <w:rPr>
          <w:szCs w:val="28"/>
        </w:rPr>
        <w:t xml:space="preserve"> – [Електронний ресурс]. - Режим доступу: </w:t>
      </w:r>
      <w:hyperlink r:id="rId6" w:history="1">
        <w:r w:rsidRPr="0088749D">
          <w:rPr>
            <w:rStyle w:val="a6"/>
            <w:szCs w:val="28"/>
          </w:rPr>
          <w:t>www.knuba.edu.ua/doc/zbirnyk1/urss6_pdf/36-42.pdf</w:t>
        </w:r>
      </w:hyperlink>
    </w:p>
    <w:p w:rsidR="000E269C" w:rsidRPr="0088749D" w:rsidRDefault="000E269C" w:rsidP="004873FC">
      <w:pPr>
        <w:pStyle w:val="a7"/>
        <w:numPr>
          <w:ilvl w:val="0"/>
          <w:numId w:val="9"/>
        </w:numPr>
        <w:spacing w:line="240" w:lineRule="auto"/>
        <w:ind w:left="0" w:firstLine="709"/>
        <w:rPr>
          <w:szCs w:val="28"/>
        </w:rPr>
      </w:pPr>
      <w:proofErr w:type="spellStart"/>
      <w:r w:rsidRPr="0088749D">
        <w:rPr>
          <w:szCs w:val="28"/>
        </w:rPr>
        <w:t>Кевін</w:t>
      </w:r>
      <w:proofErr w:type="spellEnd"/>
      <w:r w:rsidRPr="0088749D">
        <w:rPr>
          <w:szCs w:val="28"/>
        </w:rPr>
        <w:t xml:space="preserve"> В. </w:t>
      </w:r>
      <w:proofErr w:type="spellStart"/>
      <w:r w:rsidRPr="0088749D">
        <w:rPr>
          <w:szCs w:val="28"/>
        </w:rPr>
        <w:t>Найт</w:t>
      </w:r>
      <w:proofErr w:type="spellEnd"/>
      <w:r w:rsidRPr="0088749D">
        <w:rPr>
          <w:szCs w:val="28"/>
        </w:rPr>
        <w:t xml:space="preserve"> Стандарт ISO 31000 на управління ризиком // Стандартизація сертифікація якість – 2009 – № 3, с. 6-8.</w:t>
      </w:r>
    </w:p>
    <w:p w:rsidR="000E269C" w:rsidRPr="0088749D" w:rsidRDefault="000E269C" w:rsidP="004873FC">
      <w:pPr>
        <w:pStyle w:val="a7"/>
        <w:numPr>
          <w:ilvl w:val="0"/>
          <w:numId w:val="9"/>
        </w:numPr>
        <w:tabs>
          <w:tab w:val="left" w:pos="1134"/>
        </w:tabs>
        <w:spacing w:line="240" w:lineRule="auto"/>
        <w:ind w:left="0" w:firstLine="709"/>
        <w:rPr>
          <w:szCs w:val="28"/>
        </w:rPr>
      </w:pPr>
      <w:r w:rsidRPr="0088749D">
        <w:rPr>
          <w:szCs w:val="28"/>
        </w:rPr>
        <w:t xml:space="preserve">Кравченко В. Сучасні стандарти ризик-менеджменту: основа для побудови дієвої системи управління маркетинговими ризиками компанії </w:t>
      </w:r>
      <w:r w:rsidRPr="0088749D">
        <w:rPr>
          <w:szCs w:val="28"/>
        </w:rPr>
        <w:lastRenderedPageBreak/>
        <w:t>[Електронний ресурс] −  Режим доступу: http://archive.nbuv.gov.ua/e-journals/PSPE/2008-1/Kravchenko_108.htm</w:t>
      </w:r>
    </w:p>
    <w:p w:rsidR="000E269C" w:rsidRPr="0088749D" w:rsidRDefault="000E269C" w:rsidP="004873FC">
      <w:pPr>
        <w:pStyle w:val="a7"/>
        <w:numPr>
          <w:ilvl w:val="0"/>
          <w:numId w:val="9"/>
        </w:numPr>
        <w:spacing w:line="240" w:lineRule="auto"/>
        <w:ind w:left="0" w:firstLine="709"/>
        <w:rPr>
          <w:szCs w:val="28"/>
        </w:rPr>
      </w:pPr>
      <w:proofErr w:type="spellStart"/>
      <w:r w:rsidRPr="0088749D">
        <w:rPr>
          <w:szCs w:val="28"/>
        </w:rPr>
        <w:t>Немчин</w:t>
      </w:r>
      <w:proofErr w:type="spellEnd"/>
      <w:r w:rsidRPr="0088749D">
        <w:rPr>
          <w:szCs w:val="28"/>
        </w:rPr>
        <w:t xml:space="preserve"> М.С. Використання міжнародних стандартів ризик-менеджменту на вітчизняних підприємствах / М.С. </w:t>
      </w:r>
      <w:proofErr w:type="spellStart"/>
      <w:r w:rsidRPr="0088749D">
        <w:rPr>
          <w:szCs w:val="28"/>
        </w:rPr>
        <w:t>Немчин</w:t>
      </w:r>
      <w:proofErr w:type="spellEnd"/>
      <w:r w:rsidRPr="0088749D">
        <w:rPr>
          <w:szCs w:val="28"/>
        </w:rPr>
        <w:t xml:space="preserve">, В.М. </w:t>
      </w:r>
      <w:proofErr w:type="spellStart"/>
      <w:r w:rsidRPr="0088749D">
        <w:rPr>
          <w:szCs w:val="28"/>
        </w:rPr>
        <w:t>Хобта</w:t>
      </w:r>
      <w:proofErr w:type="spellEnd"/>
      <w:r w:rsidRPr="0088749D">
        <w:rPr>
          <w:szCs w:val="28"/>
        </w:rPr>
        <w:t xml:space="preserve"> // Сучасний стан і проблеми інвестиційного розвитку – 2008 / Матеріали всеукраїнської науково-практичної конференції студентів і молодих вчених. – Донецьк, </w:t>
      </w:r>
      <w:proofErr w:type="spellStart"/>
      <w:r w:rsidRPr="0088749D">
        <w:rPr>
          <w:szCs w:val="28"/>
        </w:rPr>
        <w:t>ДонНТУ</w:t>
      </w:r>
      <w:proofErr w:type="spellEnd"/>
      <w:r w:rsidRPr="0088749D">
        <w:rPr>
          <w:szCs w:val="28"/>
        </w:rPr>
        <w:t xml:space="preserve"> – 2009, с. 35-36.</w:t>
      </w:r>
    </w:p>
    <w:p w:rsidR="000E269C" w:rsidRPr="0088749D" w:rsidRDefault="000E269C" w:rsidP="004873FC">
      <w:pPr>
        <w:pStyle w:val="a7"/>
        <w:numPr>
          <w:ilvl w:val="0"/>
          <w:numId w:val="9"/>
        </w:numPr>
        <w:spacing w:line="240" w:lineRule="auto"/>
        <w:ind w:left="0" w:firstLine="709"/>
        <w:rPr>
          <w:rStyle w:val="HTML"/>
          <w:i w:val="0"/>
          <w:szCs w:val="28"/>
        </w:rPr>
      </w:pPr>
      <w:proofErr w:type="spellStart"/>
      <w:r w:rsidRPr="0088749D">
        <w:rPr>
          <w:szCs w:val="28"/>
        </w:rPr>
        <w:t>Сохацька</w:t>
      </w:r>
      <w:proofErr w:type="spellEnd"/>
      <w:r w:rsidRPr="0088749D">
        <w:rPr>
          <w:szCs w:val="28"/>
        </w:rPr>
        <w:t xml:space="preserve"> О. М.</w:t>
      </w:r>
      <w:r w:rsidRPr="0088749D">
        <w:rPr>
          <w:szCs w:val="28"/>
          <w:lang w:val="ru-RU"/>
        </w:rPr>
        <w:t xml:space="preserve"> </w:t>
      </w:r>
      <w:r w:rsidRPr="0088749D">
        <w:rPr>
          <w:szCs w:val="28"/>
        </w:rPr>
        <w:t xml:space="preserve">Фінансовий інжиніринг </w:t>
      </w:r>
      <w:r w:rsidRPr="0088749D">
        <w:rPr>
          <w:szCs w:val="28"/>
          <w:lang w:val="ru-RU"/>
        </w:rPr>
        <w:t>[</w:t>
      </w:r>
      <w:r w:rsidRPr="0088749D">
        <w:rPr>
          <w:szCs w:val="28"/>
        </w:rPr>
        <w:t>Електронний ресурс</w:t>
      </w:r>
      <w:r w:rsidRPr="0088749D">
        <w:rPr>
          <w:szCs w:val="28"/>
          <w:lang w:val="ru-RU"/>
        </w:rPr>
        <w:t>]</w:t>
      </w:r>
      <w:r w:rsidRPr="0088749D">
        <w:rPr>
          <w:szCs w:val="28"/>
        </w:rPr>
        <w:t xml:space="preserve"> : </w:t>
      </w:r>
      <w:proofErr w:type="spellStart"/>
      <w:r w:rsidRPr="0088749D">
        <w:rPr>
          <w:szCs w:val="28"/>
        </w:rPr>
        <w:t>консп</w:t>
      </w:r>
      <w:proofErr w:type="spellEnd"/>
      <w:r w:rsidRPr="0088749D">
        <w:rPr>
          <w:szCs w:val="28"/>
        </w:rPr>
        <w:t xml:space="preserve">. </w:t>
      </w:r>
      <w:proofErr w:type="spellStart"/>
      <w:r w:rsidRPr="0088749D">
        <w:rPr>
          <w:szCs w:val="28"/>
        </w:rPr>
        <w:t>лекц</w:t>
      </w:r>
      <w:proofErr w:type="spellEnd"/>
      <w:r w:rsidRPr="0088749D">
        <w:rPr>
          <w:szCs w:val="28"/>
        </w:rPr>
        <w:t xml:space="preserve">. / уклад. О. М. </w:t>
      </w:r>
      <w:proofErr w:type="spellStart"/>
      <w:r w:rsidRPr="0088749D">
        <w:rPr>
          <w:szCs w:val="28"/>
        </w:rPr>
        <w:t>Сохацька</w:t>
      </w:r>
      <w:proofErr w:type="spellEnd"/>
      <w:r w:rsidRPr="0088749D">
        <w:rPr>
          <w:szCs w:val="28"/>
        </w:rPr>
        <w:t>, С. І. Вінницький. – Тернопіль: ТНЕУ, 2011. – 114 с.   - Режим доступу: http://library.tneu.edu.ua/images/stories/predmety.pdf</w:t>
      </w:r>
    </w:p>
    <w:p w:rsidR="000E269C" w:rsidRPr="0088749D" w:rsidRDefault="000E269C" w:rsidP="004873FC">
      <w:pPr>
        <w:pStyle w:val="a7"/>
        <w:numPr>
          <w:ilvl w:val="0"/>
          <w:numId w:val="9"/>
        </w:numPr>
        <w:spacing w:line="240" w:lineRule="auto"/>
        <w:ind w:left="0" w:firstLine="709"/>
        <w:rPr>
          <w:szCs w:val="28"/>
        </w:rPr>
      </w:pPr>
      <w:r w:rsidRPr="0088749D">
        <w:rPr>
          <w:szCs w:val="28"/>
        </w:rPr>
        <w:t>Стандарт ризик-менеджменту Федерації європейських асоціацій з ризик-менеджменту (</w:t>
      </w:r>
      <w:proofErr w:type="spellStart"/>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xml:space="preserve"> Standard, FERMA – p.6) [Електронний ресурс]. – Режим доступу: http://www.ferma.eu/Defaul.aspx?tabitd=195</w:t>
      </w:r>
    </w:p>
    <w:p w:rsidR="000E269C" w:rsidRPr="0088749D" w:rsidRDefault="000E269C" w:rsidP="004873FC">
      <w:pPr>
        <w:pStyle w:val="a7"/>
        <w:numPr>
          <w:ilvl w:val="0"/>
          <w:numId w:val="9"/>
        </w:numPr>
        <w:spacing w:line="240" w:lineRule="auto"/>
        <w:ind w:left="0" w:firstLine="709"/>
        <w:rPr>
          <w:szCs w:val="28"/>
          <w:lang w:val="ru-RU"/>
        </w:rPr>
      </w:pPr>
      <w:proofErr w:type="spellStart"/>
      <w:r w:rsidRPr="0088749D">
        <w:rPr>
          <w:szCs w:val="28"/>
        </w:rPr>
        <w:t>Старостіна</w:t>
      </w:r>
      <w:proofErr w:type="spellEnd"/>
      <w:r w:rsidRPr="0088749D">
        <w:rPr>
          <w:szCs w:val="28"/>
        </w:rPr>
        <w:t xml:space="preserve"> А.О. Ризик-менеджмент: Теорія та практика : </w:t>
      </w:r>
      <w:proofErr w:type="spellStart"/>
      <w:r w:rsidRPr="0088749D">
        <w:rPr>
          <w:szCs w:val="28"/>
        </w:rPr>
        <w:t>навч</w:t>
      </w:r>
      <w:proofErr w:type="spellEnd"/>
      <w:r w:rsidRPr="0088749D">
        <w:rPr>
          <w:szCs w:val="28"/>
        </w:rPr>
        <w:t xml:space="preserve">. </w:t>
      </w:r>
      <w:proofErr w:type="spellStart"/>
      <w:r w:rsidRPr="0088749D">
        <w:rPr>
          <w:szCs w:val="28"/>
        </w:rPr>
        <w:t>посіб</w:t>
      </w:r>
      <w:proofErr w:type="spellEnd"/>
      <w:r w:rsidRPr="0088749D">
        <w:rPr>
          <w:szCs w:val="28"/>
        </w:rPr>
        <w:t xml:space="preserve">. / А. О. </w:t>
      </w:r>
      <w:proofErr w:type="spellStart"/>
      <w:r w:rsidRPr="0088749D">
        <w:rPr>
          <w:szCs w:val="28"/>
        </w:rPr>
        <w:t>Старостіна</w:t>
      </w:r>
      <w:proofErr w:type="spellEnd"/>
      <w:r w:rsidRPr="0088749D">
        <w:rPr>
          <w:szCs w:val="28"/>
        </w:rPr>
        <w:t>, В. А. Кравченко. – К. : Політехніка, 2004. – 200 c</w:t>
      </w:r>
      <w:r w:rsidRPr="0088749D">
        <w:rPr>
          <w:szCs w:val="28"/>
          <w:lang w:val="ru-RU"/>
        </w:rPr>
        <w:t>.</w:t>
      </w:r>
    </w:p>
    <w:p w:rsidR="000E269C" w:rsidRDefault="000E269C" w:rsidP="004873FC">
      <w:pPr>
        <w:pStyle w:val="a7"/>
        <w:numPr>
          <w:ilvl w:val="0"/>
          <w:numId w:val="9"/>
        </w:numPr>
        <w:spacing w:line="240" w:lineRule="auto"/>
        <w:ind w:left="0" w:firstLine="709"/>
        <w:rPr>
          <w:szCs w:val="28"/>
        </w:rPr>
      </w:pPr>
      <w:proofErr w:type="spellStart"/>
      <w:r w:rsidRPr="0088749D">
        <w:rPr>
          <w:szCs w:val="28"/>
        </w:rPr>
        <w:t>Стрельбіцька</w:t>
      </w:r>
      <w:proofErr w:type="spellEnd"/>
      <w:r w:rsidRPr="0088749D">
        <w:rPr>
          <w:szCs w:val="28"/>
        </w:rPr>
        <w:t xml:space="preserve"> Н. Уніфікований міжнародний стандарт ризик-менеджменту як відповідь на виклики глобалізації [Електронний ресурс] / Н. </w:t>
      </w:r>
      <w:proofErr w:type="spellStart"/>
      <w:r w:rsidRPr="0088749D">
        <w:rPr>
          <w:szCs w:val="28"/>
        </w:rPr>
        <w:t>Стрельбіцька</w:t>
      </w:r>
      <w:proofErr w:type="spellEnd"/>
      <w:r w:rsidRPr="0088749D">
        <w:rPr>
          <w:szCs w:val="28"/>
        </w:rPr>
        <w:t>// Соціально-економічні проблеми і держава. – 2011. – Вип. 2 (5). – Режим доступу до журн. :</w:t>
      </w:r>
      <w:proofErr w:type="spellStart"/>
      <w:r w:rsidRPr="0088749D">
        <w:rPr>
          <w:szCs w:val="28"/>
        </w:rPr>
        <w:t>http</w:t>
      </w:r>
      <w:proofErr w:type="spellEnd"/>
      <w:r w:rsidRPr="0088749D">
        <w:rPr>
          <w:szCs w:val="28"/>
        </w:rPr>
        <w:t>://</w:t>
      </w:r>
      <w:proofErr w:type="spellStart"/>
      <w:r w:rsidRPr="0088749D">
        <w:rPr>
          <w:szCs w:val="28"/>
        </w:rPr>
        <w:t>sepd.tntu.edu.ua</w:t>
      </w:r>
      <w:proofErr w:type="spellEnd"/>
      <w:r w:rsidRPr="0088749D">
        <w:rPr>
          <w:szCs w:val="28"/>
        </w:rPr>
        <w:t>/</w:t>
      </w:r>
      <w:proofErr w:type="spellStart"/>
      <w:r w:rsidRPr="0088749D">
        <w:rPr>
          <w:szCs w:val="28"/>
        </w:rPr>
        <w:t>images</w:t>
      </w:r>
      <w:proofErr w:type="spellEnd"/>
      <w:r w:rsidRPr="0088749D">
        <w:rPr>
          <w:szCs w:val="28"/>
        </w:rPr>
        <w:t>/</w:t>
      </w:r>
      <w:proofErr w:type="spellStart"/>
      <w:r w:rsidRPr="0088749D">
        <w:rPr>
          <w:szCs w:val="28"/>
        </w:rPr>
        <w:t>stories</w:t>
      </w:r>
      <w:proofErr w:type="spellEnd"/>
      <w:r w:rsidRPr="0088749D">
        <w:rPr>
          <w:szCs w:val="28"/>
        </w:rPr>
        <w:t>/</w:t>
      </w:r>
      <w:proofErr w:type="spellStart"/>
      <w:r w:rsidRPr="0088749D">
        <w:rPr>
          <w:szCs w:val="28"/>
        </w:rPr>
        <w:t>pdf</w:t>
      </w:r>
      <w:proofErr w:type="spellEnd"/>
      <w:r w:rsidRPr="0088749D">
        <w:rPr>
          <w:szCs w:val="28"/>
        </w:rPr>
        <w:t>/2011/11snynvh.pdf.</w:t>
      </w:r>
    </w:p>
    <w:p w:rsidR="00D87113" w:rsidRDefault="00D87113" w:rsidP="004873FC">
      <w:pPr>
        <w:spacing w:line="240" w:lineRule="auto"/>
        <w:rPr>
          <w:rStyle w:val="hps"/>
          <w:rFonts w:eastAsiaTheme="majorEastAsia"/>
          <w:b/>
          <w:bCs/>
          <w:sz w:val="20"/>
          <w:szCs w:val="20"/>
          <w:lang w:val="en-US"/>
        </w:rPr>
      </w:pPr>
    </w:p>
    <w:p w:rsidR="00D87113" w:rsidRDefault="00D87113" w:rsidP="004873FC">
      <w:pPr>
        <w:spacing w:line="240" w:lineRule="auto"/>
        <w:rPr>
          <w:rStyle w:val="hps"/>
          <w:rFonts w:eastAsiaTheme="majorEastAsia"/>
          <w:b/>
          <w:bCs/>
          <w:sz w:val="20"/>
          <w:szCs w:val="20"/>
          <w:lang w:val="en-US"/>
        </w:rPr>
      </w:pPr>
    </w:p>
    <w:p w:rsidR="00EE387B" w:rsidRDefault="00D87113" w:rsidP="004873FC">
      <w:pPr>
        <w:spacing w:line="240" w:lineRule="auto"/>
        <w:rPr>
          <w:rStyle w:val="hps"/>
          <w:rFonts w:eastAsiaTheme="majorEastAsia"/>
          <w:b/>
          <w:bCs/>
          <w:szCs w:val="28"/>
          <w:lang w:val="en-US"/>
        </w:rPr>
      </w:pPr>
      <w:proofErr w:type="spellStart"/>
      <w:r w:rsidRPr="00D87113">
        <w:rPr>
          <w:rStyle w:val="hps"/>
          <w:rFonts w:eastAsiaTheme="majorEastAsia"/>
          <w:b/>
          <w:bCs/>
          <w:szCs w:val="28"/>
        </w:rPr>
        <w:t>References</w:t>
      </w:r>
      <w:proofErr w:type="spellEnd"/>
      <w:r w:rsidRPr="00D87113">
        <w:rPr>
          <w:rStyle w:val="hps"/>
          <w:rFonts w:eastAsiaTheme="majorEastAsia"/>
          <w:b/>
          <w:bCs/>
          <w:szCs w:val="28"/>
        </w:rPr>
        <w:t>.</w:t>
      </w:r>
    </w:p>
    <w:p w:rsidR="00D87113" w:rsidRPr="0067159C" w:rsidRDefault="00D87113" w:rsidP="00D87113">
      <w:pPr>
        <w:pStyle w:val="a7"/>
        <w:numPr>
          <w:ilvl w:val="0"/>
          <w:numId w:val="10"/>
        </w:numPr>
        <w:spacing w:line="240" w:lineRule="auto"/>
        <w:ind w:left="714" w:hanging="357"/>
        <w:rPr>
          <w:szCs w:val="28"/>
          <w:lang w:val="en-US"/>
        </w:rPr>
      </w:pPr>
      <w:r w:rsidRPr="0067159C">
        <w:rPr>
          <w:szCs w:val="28"/>
          <w:lang w:val="en-US"/>
        </w:rPr>
        <w:t>“</w:t>
      </w:r>
      <w:r w:rsidRPr="0067159C">
        <w:rPr>
          <w:szCs w:val="28"/>
        </w:rPr>
        <w:t xml:space="preserve">AS/NZS </w:t>
      </w:r>
      <w:proofErr w:type="spellStart"/>
      <w:r w:rsidRPr="0067159C">
        <w:rPr>
          <w:szCs w:val="28"/>
        </w:rPr>
        <w:t>Risk</w:t>
      </w:r>
      <w:proofErr w:type="spellEnd"/>
      <w:r w:rsidRPr="0067159C">
        <w:rPr>
          <w:szCs w:val="28"/>
        </w:rPr>
        <w:t xml:space="preserve"> </w:t>
      </w:r>
      <w:proofErr w:type="spellStart"/>
      <w:r w:rsidRPr="0067159C">
        <w:rPr>
          <w:szCs w:val="28"/>
        </w:rPr>
        <w:t>Management</w:t>
      </w:r>
      <w:proofErr w:type="spellEnd"/>
      <w:r w:rsidRPr="0067159C">
        <w:rPr>
          <w:szCs w:val="28"/>
        </w:rPr>
        <w:t xml:space="preserve"> </w:t>
      </w:r>
      <w:proofErr w:type="spellStart"/>
      <w:r w:rsidRPr="0067159C">
        <w:rPr>
          <w:szCs w:val="28"/>
        </w:rPr>
        <w:t>Standart</w:t>
      </w:r>
      <w:proofErr w:type="spellEnd"/>
      <w:r w:rsidRPr="0067159C">
        <w:rPr>
          <w:szCs w:val="28"/>
        </w:rPr>
        <w:t xml:space="preserve"> 4360</w:t>
      </w:r>
      <w:r w:rsidRPr="0067159C">
        <w:rPr>
          <w:szCs w:val="28"/>
          <w:lang w:val="en-US"/>
        </w:rPr>
        <w:t>”,</w:t>
      </w:r>
      <w:r w:rsidRPr="0067159C">
        <w:rPr>
          <w:szCs w:val="28"/>
        </w:rPr>
        <w:t xml:space="preserve"> [</w:t>
      </w:r>
      <w:proofErr w:type="spellStart"/>
      <w:r w:rsidRPr="0067159C">
        <w:rPr>
          <w:szCs w:val="28"/>
        </w:rPr>
        <w:t>Online</w:t>
      </w:r>
      <w:proofErr w:type="spellEnd"/>
      <w:r w:rsidRPr="0067159C">
        <w:rPr>
          <w:szCs w:val="28"/>
        </w:rPr>
        <w:t>]</w:t>
      </w:r>
      <w:r w:rsidRPr="0067159C">
        <w:rPr>
          <w:szCs w:val="28"/>
          <w:lang w:val="en-US"/>
        </w:rPr>
        <w:t xml:space="preserve">, </w:t>
      </w:r>
      <w:proofErr w:type="spellStart"/>
      <w:r w:rsidRPr="0067159C">
        <w:rPr>
          <w:szCs w:val="28"/>
        </w:rPr>
        <w:t>available</w:t>
      </w:r>
      <w:proofErr w:type="spellEnd"/>
      <w:r w:rsidRPr="0067159C">
        <w:rPr>
          <w:szCs w:val="28"/>
        </w:rPr>
        <w:t xml:space="preserve"> </w:t>
      </w:r>
      <w:proofErr w:type="spellStart"/>
      <w:r w:rsidRPr="0067159C">
        <w:rPr>
          <w:szCs w:val="28"/>
        </w:rPr>
        <w:t>at</w:t>
      </w:r>
      <w:proofErr w:type="spellEnd"/>
      <w:r w:rsidRPr="0067159C">
        <w:rPr>
          <w:szCs w:val="28"/>
        </w:rPr>
        <w:t xml:space="preserve">:  </w:t>
      </w:r>
      <w:hyperlink r:id="rId7" w:history="1">
        <w:r w:rsidRPr="0067159C">
          <w:rPr>
            <w:rStyle w:val="a6"/>
            <w:color w:val="auto"/>
            <w:szCs w:val="28"/>
            <w:u w:val="none"/>
          </w:rPr>
          <w:t>http://www.riskmanagement.com.au</w:t>
        </w:r>
      </w:hyperlink>
    </w:p>
    <w:p w:rsidR="00D87113" w:rsidRPr="00CA58F2" w:rsidRDefault="00D87113" w:rsidP="00D87113">
      <w:pPr>
        <w:pStyle w:val="a7"/>
        <w:numPr>
          <w:ilvl w:val="0"/>
          <w:numId w:val="10"/>
        </w:numPr>
        <w:spacing w:line="240" w:lineRule="auto"/>
        <w:ind w:left="714" w:hanging="357"/>
        <w:rPr>
          <w:szCs w:val="28"/>
        </w:rPr>
      </w:pPr>
      <w:r>
        <w:rPr>
          <w:szCs w:val="28"/>
          <w:lang w:val="en-US"/>
        </w:rPr>
        <w:t>“</w:t>
      </w:r>
      <w:proofErr w:type="spellStart"/>
      <w:r w:rsidRPr="00CA58F2">
        <w:rPr>
          <w:szCs w:val="28"/>
        </w:rPr>
        <w:t>Basel</w:t>
      </w:r>
      <w:proofErr w:type="spellEnd"/>
      <w:r w:rsidRPr="00CA58F2">
        <w:rPr>
          <w:szCs w:val="28"/>
        </w:rPr>
        <w:t xml:space="preserve"> </w:t>
      </w:r>
      <w:proofErr w:type="spellStart"/>
      <w:r w:rsidRPr="00CA58F2">
        <w:rPr>
          <w:szCs w:val="28"/>
        </w:rPr>
        <w:t>Committee</w:t>
      </w:r>
      <w:proofErr w:type="spellEnd"/>
      <w:r w:rsidRPr="00CA58F2">
        <w:rPr>
          <w:szCs w:val="28"/>
        </w:rPr>
        <w:t xml:space="preserve"> </w:t>
      </w:r>
      <w:proofErr w:type="spellStart"/>
      <w:r w:rsidRPr="00CA58F2">
        <w:rPr>
          <w:szCs w:val="28"/>
        </w:rPr>
        <w:t>on</w:t>
      </w:r>
      <w:proofErr w:type="spellEnd"/>
      <w:r w:rsidRPr="00CA58F2">
        <w:rPr>
          <w:szCs w:val="28"/>
        </w:rPr>
        <w:t xml:space="preserve"> </w:t>
      </w:r>
      <w:proofErr w:type="spellStart"/>
      <w:r w:rsidRPr="00CA58F2">
        <w:rPr>
          <w:szCs w:val="28"/>
        </w:rPr>
        <w:t>Banking</w:t>
      </w:r>
      <w:proofErr w:type="spellEnd"/>
      <w:r w:rsidRPr="00CA58F2">
        <w:rPr>
          <w:szCs w:val="28"/>
        </w:rPr>
        <w:t xml:space="preserve"> </w:t>
      </w:r>
      <w:proofErr w:type="spellStart"/>
      <w:r w:rsidRPr="00CA58F2">
        <w:rPr>
          <w:szCs w:val="28"/>
        </w:rPr>
        <w:t>Supervision</w:t>
      </w:r>
      <w:proofErr w:type="spellEnd"/>
      <w:r w:rsidRPr="00CA58F2">
        <w:rPr>
          <w:szCs w:val="28"/>
        </w:rPr>
        <w:t>)</w:t>
      </w:r>
      <w:r>
        <w:rPr>
          <w:szCs w:val="28"/>
          <w:lang w:val="en-US"/>
        </w:rPr>
        <w:t>”</w:t>
      </w:r>
      <w:r w:rsidRPr="00E22715">
        <w:rPr>
          <w:szCs w:val="28"/>
          <w:lang w:val="en-US"/>
        </w:rPr>
        <w:t>,</w:t>
      </w:r>
      <w:r w:rsidRPr="00E22715">
        <w:rPr>
          <w:szCs w:val="28"/>
        </w:rPr>
        <w:t xml:space="preserve"> [</w:t>
      </w:r>
      <w:proofErr w:type="spellStart"/>
      <w:r w:rsidRPr="00E22715">
        <w:rPr>
          <w:szCs w:val="28"/>
        </w:rPr>
        <w:t>Online</w:t>
      </w:r>
      <w:proofErr w:type="spellEnd"/>
      <w:r w:rsidRPr="00E22715">
        <w:rPr>
          <w:szCs w:val="28"/>
        </w:rPr>
        <w:t>]</w:t>
      </w:r>
      <w:r w:rsidRPr="00E22715">
        <w:rPr>
          <w:szCs w:val="28"/>
          <w:lang w:val="en-US"/>
        </w:rPr>
        <w:t xml:space="preserve">, </w:t>
      </w:r>
      <w:proofErr w:type="spellStart"/>
      <w:r w:rsidRPr="00E22715">
        <w:rPr>
          <w:szCs w:val="28"/>
        </w:rPr>
        <w:t>available</w:t>
      </w:r>
      <w:proofErr w:type="spellEnd"/>
      <w:r w:rsidRPr="00E22715">
        <w:rPr>
          <w:szCs w:val="28"/>
        </w:rPr>
        <w:t xml:space="preserve"> </w:t>
      </w:r>
      <w:proofErr w:type="spellStart"/>
      <w:r w:rsidRPr="00E22715">
        <w:rPr>
          <w:szCs w:val="28"/>
        </w:rPr>
        <w:t>at</w:t>
      </w:r>
      <w:proofErr w:type="spellEnd"/>
      <w:r w:rsidRPr="00E22715">
        <w:rPr>
          <w:szCs w:val="28"/>
        </w:rPr>
        <w:t xml:space="preserve">: </w:t>
      </w:r>
      <w:r w:rsidRPr="00CA58F2">
        <w:rPr>
          <w:szCs w:val="28"/>
        </w:rPr>
        <w:t>http://www.bis.org/bcbs/index.htm</w:t>
      </w:r>
    </w:p>
    <w:p w:rsidR="00D87113" w:rsidRPr="00E22715" w:rsidRDefault="00D87113" w:rsidP="00D87113">
      <w:pPr>
        <w:pStyle w:val="a7"/>
        <w:numPr>
          <w:ilvl w:val="0"/>
          <w:numId w:val="10"/>
        </w:numPr>
        <w:spacing w:line="240" w:lineRule="auto"/>
        <w:ind w:left="714" w:hanging="357"/>
        <w:rPr>
          <w:iCs/>
          <w:szCs w:val="28"/>
        </w:rPr>
      </w:pPr>
      <w:proofErr w:type="spellStart"/>
      <w:r>
        <w:t>Donets</w:t>
      </w:r>
      <w:proofErr w:type="spellEnd"/>
      <w:r>
        <w:rPr>
          <w:szCs w:val="28"/>
          <w:lang w:val="en-US"/>
        </w:rPr>
        <w:t xml:space="preserve">, O.M. </w:t>
      </w:r>
      <w:proofErr w:type="spellStart"/>
      <w:r>
        <w:rPr>
          <w:szCs w:val="28"/>
          <w:lang w:val="en-US"/>
        </w:rPr>
        <w:t>Saveleva</w:t>
      </w:r>
      <w:proofErr w:type="spellEnd"/>
      <w:r>
        <w:rPr>
          <w:szCs w:val="28"/>
          <w:lang w:val="en-US"/>
        </w:rPr>
        <w:t xml:space="preserve">, T,V. </w:t>
      </w:r>
      <w:proofErr w:type="gramStart"/>
      <w:r>
        <w:rPr>
          <w:szCs w:val="28"/>
          <w:lang w:val="en-US"/>
        </w:rPr>
        <w:t>and</w:t>
      </w:r>
      <w:proofErr w:type="gramEnd"/>
      <w:r>
        <w:rPr>
          <w:szCs w:val="28"/>
          <w:lang w:val="en-US"/>
        </w:rPr>
        <w:t xml:space="preserve"> </w:t>
      </w:r>
      <w:proofErr w:type="spellStart"/>
      <w:r>
        <w:t>Uretska</w:t>
      </w:r>
      <w:proofErr w:type="spellEnd"/>
      <w:r>
        <w:rPr>
          <w:lang w:val="en-US"/>
        </w:rPr>
        <w:t>,</w:t>
      </w:r>
      <w:r>
        <w:rPr>
          <w:szCs w:val="28"/>
          <w:lang w:val="en-US"/>
        </w:rPr>
        <w:t xml:space="preserve"> </w:t>
      </w:r>
      <w:proofErr w:type="spellStart"/>
      <w:r>
        <w:t>Yu.I</w:t>
      </w:r>
      <w:proofErr w:type="spellEnd"/>
      <w:r>
        <w:t xml:space="preserve">. </w:t>
      </w:r>
      <w:r>
        <w:rPr>
          <w:szCs w:val="28"/>
          <w:lang w:val="en-US"/>
        </w:rPr>
        <w:t>“</w:t>
      </w:r>
      <w:proofErr w:type="spellStart"/>
      <w:r w:rsidRPr="0067159C">
        <w:rPr>
          <w:i/>
          <w:szCs w:val="28"/>
          <w:lang w:val="en-US"/>
        </w:rPr>
        <w:t>Vukorustannja</w:t>
      </w:r>
      <w:proofErr w:type="spellEnd"/>
      <w:r w:rsidRPr="0067159C">
        <w:rPr>
          <w:i/>
          <w:szCs w:val="28"/>
          <w:lang w:val="en-US"/>
        </w:rPr>
        <w:t xml:space="preserve"> </w:t>
      </w:r>
      <w:proofErr w:type="spellStart"/>
      <w:r w:rsidRPr="0067159C">
        <w:rPr>
          <w:i/>
          <w:szCs w:val="28"/>
          <w:lang w:val="en-US"/>
        </w:rPr>
        <w:t>mіzhnarodnix</w:t>
      </w:r>
      <w:proofErr w:type="spellEnd"/>
      <w:r w:rsidRPr="0067159C">
        <w:rPr>
          <w:i/>
          <w:szCs w:val="28"/>
          <w:lang w:val="en-US"/>
        </w:rPr>
        <w:t xml:space="preserve"> </w:t>
      </w:r>
      <w:proofErr w:type="spellStart"/>
      <w:r w:rsidRPr="0067159C">
        <w:rPr>
          <w:i/>
          <w:szCs w:val="28"/>
          <w:lang w:val="en-US"/>
        </w:rPr>
        <w:t>standartіv</w:t>
      </w:r>
      <w:proofErr w:type="spellEnd"/>
      <w:r w:rsidRPr="0067159C">
        <w:rPr>
          <w:i/>
          <w:szCs w:val="28"/>
          <w:lang w:val="en-US"/>
        </w:rPr>
        <w:t xml:space="preserve"> v </w:t>
      </w:r>
      <w:proofErr w:type="spellStart"/>
      <w:r w:rsidRPr="0067159C">
        <w:rPr>
          <w:i/>
          <w:szCs w:val="28"/>
          <w:lang w:val="en-US"/>
        </w:rPr>
        <w:t>upravlіnnі</w:t>
      </w:r>
      <w:proofErr w:type="spellEnd"/>
      <w:r w:rsidRPr="0067159C">
        <w:rPr>
          <w:i/>
          <w:szCs w:val="28"/>
          <w:lang w:val="en-US"/>
        </w:rPr>
        <w:t xml:space="preserve"> </w:t>
      </w:r>
      <w:proofErr w:type="spellStart"/>
      <w:r w:rsidRPr="0067159C">
        <w:rPr>
          <w:i/>
          <w:szCs w:val="28"/>
          <w:lang w:val="en-US"/>
        </w:rPr>
        <w:t>rizikami</w:t>
      </w:r>
      <w:proofErr w:type="spellEnd"/>
      <w:r w:rsidRPr="00FC2A47">
        <w:rPr>
          <w:rStyle w:val="hps"/>
          <w:rFonts w:eastAsiaTheme="majorEastAsia"/>
          <w:szCs w:val="28"/>
          <w:lang w:val="en-US"/>
        </w:rPr>
        <w:t xml:space="preserve"> </w:t>
      </w:r>
      <w:r>
        <w:rPr>
          <w:rStyle w:val="hps"/>
          <w:rFonts w:eastAsiaTheme="majorEastAsia"/>
        </w:rPr>
        <w:t>[</w:t>
      </w:r>
      <w:proofErr w:type="spellStart"/>
      <w:r>
        <w:rPr>
          <w:rStyle w:val="hps"/>
          <w:rFonts w:eastAsiaTheme="majorEastAsia"/>
        </w:rPr>
        <w:t>The</w:t>
      </w:r>
      <w:proofErr w:type="spellEnd"/>
      <w:r>
        <w:rPr>
          <w:rStyle w:val="hps"/>
          <w:rFonts w:eastAsiaTheme="majorEastAsia"/>
        </w:rPr>
        <w:t xml:space="preserve"> </w:t>
      </w:r>
      <w:proofErr w:type="spellStart"/>
      <w:r>
        <w:rPr>
          <w:rStyle w:val="hps"/>
          <w:rFonts w:eastAsiaTheme="majorEastAsia"/>
        </w:rPr>
        <w:t>use</w:t>
      </w:r>
      <w:proofErr w:type="spellEnd"/>
      <w:r>
        <w:rPr>
          <w:rStyle w:val="hps"/>
          <w:rFonts w:eastAsiaTheme="majorEastAsia"/>
        </w:rPr>
        <w:t xml:space="preserve"> </w:t>
      </w:r>
      <w:proofErr w:type="spellStart"/>
      <w:r>
        <w:rPr>
          <w:rStyle w:val="hps"/>
          <w:rFonts w:eastAsiaTheme="majorEastAsia"/>
        </w:rPr>
        <w:t>of</w:t>
      </w:r>
      <w:proofErr w:type="spellEnd"/>
      <w:r>
        <w:t xml:space="preserve"> </w:t>
      </w:r>
      <w:proofErr w:type="spellStart"/>
      <w:r>
        <w:rPr>
          <w:rStyle w:val="hps"/>
          <w:rFonts w:eastAsiaTheme="majorEastAsia"/>
        </w:rPr>
        <w:t>international</w:t>
      </w:r>
      <w:proofErr w:type="spellEnd"/>
      <w:r>
        <w:rPr>
          <w:rStyle w:val="hps"/>
          <w:rFonts w:eastAsiaTheme="majorEastAsia"/>
        </w:rPr>
        <w:t xml:space="preserve"> </w:t>
      </w:r>
      <w:proofErr w:type="spellStart"/>
      <w:r>
        <w:rPr>
          <w:rStyle w:val="hps"/>
          <w:rFonts w:eastAsiaTheme="majorEastAsia"/>
        </w:rPr>
        <w:t>standards</w:t>
      </w:r>
      <w:proofErr w:type="spellEnd"/>
      <w:r>
        <w:t xml:space="preserve"> </w:t>
      </w:r>
      <w:proofErr w:type="spellStart"/>
      <w:r>
        <w:rPr>
          <w:rStyle w:val="hps"/>
          <w:rFonts w:eastAsiaTheme="majorEastAsia"/>
        </w:rPr>
        <w:t>in</w:t>
      </w:r>
      <w:proofErr w:type="spellEnd"/>
      <w:r>
        <w:rPr>
          <w:rStyle w:val="hps"/>
          <w:rFonts w:eastAsiaTheme="majorEastAsia"/>
        </w:rPr>
        <w:t xml:space="preserve"> </w:t>
      </w:r>
      <w:proofErr w:type="spellStart"/>
      <w:r>
        <w:rPr>
          <w:rStyle w:val="hps"/>
          <w:rFonts w:eastAsiaTheme="majorEastAsia"/>
        </w:rPr>
        <w:t>risk</w:t>
      </w:r>
      <w:proofErr w:type="spellEnd"/>
      <w:r>
        <w:rPr>
          <w:rStyle w:val="hps"/>
          <w:rFonts w:eastAsiaTheme="majorEastAsia"/>
        </w:rPr>
        <w:t xml:space="preserve"> </w:t>
      </w:r>
      <w:proofErr w:type="spellStart"/>
      <w:r>
        <w:rPr>
          <w:rStyle w:val="hps"/>
          <w:rFonts w:eastAsiaTheme="majorEastAsia"/>
        </w:rPr>
        <w:t>management</w:t>
      </w:r>
      <w:proofErr w:type="spellEnd"/>
      <w:r>
        <w:rPr>
          <w:rStyle w:val="hps"/>
          <w:rFonts w:eastAsiaTheme="majorEastAsia"/>
        </w:rPr>
        <w:t>]</w:t>
      </w:r>
      <w:r>
        <w:rPr>
          <w:rStyle w:val="hps"/>
        </w:rPr>
        <w:t xml:space="preserve">”, </w:t>
      </w:r>
      <w:r w:rsidRPr="00E22715">
        <w:rPr>
          <w:szCs w:val="28"/>
        </w:rPr>
        <w:t>[</w:t>
      </w:r>
      <w:proofErr w:type="spellStart"/>
      <w:r w:rsidRPr="00E22715">
        <w:rPr>
          <w:szCs w:val="28"/>
        </w:rPr>
        <w:t>Online</w:t>
      </w:r>
      <w:proofErr w:type="spellEnd"/>
      <w:r w:rsidRPr="00E22715">
        <w:rPr>
          <w:szCs w:val="28"/>
        </w:rPr>
        <w:t>]</w:t>
      </w:r>
      <w:r w:rsidRPr="00E22715">
        <w:rPr>
          <w:szCs w:val="28"/>
          <w:lang w:val="en-US"/>
        </w:rPr>
        <w:t xml:space="preserve">, </w:t>
      </w:r>
      <w:proofErr w:type="spellStart"/>
      <w:r w:rsidRPr="00E22715">
        <w:rPr>
          <w:szCs w:val="28"/>
        </w:rPr>
        <w:t>available</w:t>
      </w:r>
      <w:proofErr w:type="spellEnd"/>
      <w:r w:rsidRPr="00E22715">
        <w:rPr>
          <w:szCs w:val="28"/>
        </w:rPr>
        <w:t xml:space="preserve"> </w:t>
      </w:r>
      <w:proofErr w:type="spellStart"/>
      <w:r w:rsidRPr="00E22715">
        <w:rPr>
          <w:szCs w:val="28"/>
        </w:rPr>
        <w:t>at</w:t>
      </w:r>
      <w:proofErr w:type="spellEnd"/>
      <w:r w:rsidRPr="00E22715">
        <w:rPr>
          <w:szCs w:val="28"/>
        </w:rPr>
        <w:t>:</w:t>
      </w:r>
      <w:r>
        <w:rPr>
          <w:szCs w:val="28"/>
          <w:lang w:val="en-US"/>
        </w:rPr>
        <w:t xml:space="preserve"> </w:t>
      </w:r>
      <w:hyperlink r:id="rId8" w:history="1">
        <w:r w:rsidRPr="00E22715">
          <w:rPr>
            <w:rStyle w:val="a6"/>
            <w:color w:val="auto"/>
            <w:szCs w:val="28"/>
            <w:u w:val="none"/>
          </w:rPr>
          <w:t>www.knuba.edu.ua/doc/zbirnyk1/urss6_pdf/36-42.pdf</w:t>
        </w:r>
      </w:hyperlink>
    </w:p>
    <w:p w:rsidR="00D87113" w:rsidRPr="0067159C" w:rsidRDefault="00D87113" w:rsidP="00D87113">
      <w:pPr>
        <w:pStyle w:val="a7"/>
        <w:numPr>
          <w:ilvl w:val="0"/>
          <w:numId w:val="10"/>
        </w:numPr>
        <w:spacing w:line="240" w:lineRule="auto"/>
        <w:ind w:left="714" w:hanging="357"/>
        <w:rPr>
          <w:szCs w:val="28"/>
          <w:lang w:val="en-US"/>
        </w:rPr>
      </w:pPr>
      <w:proofErr w:type="spellStart"/>
      <w:r>
        <w:t>Kevin</w:t>
      </w:r>
      <w:proofErr w:type="spellEnd"/>
      <w:r>
        <w:t xml:space="preserve"> W. </w:t>
      </w:r>
      <w:proofErr w:type="spellStart"/>
      <w:r>
        <w:t>Knight</w:t>
      </w:r>
      <w:proofErr w:type="spellEnd"/>
      <w:r>
        <w:t xml:space="preserve"> </w:t>
      </w:r>
      <w:r w:rsidRPr="0067159C">
        <w:rPr>
          <w:lang w:val="en-US"/>
        </w:rPr>
        <w:t>(2009) “</w:t>
      </w:r>
      <w:r w:rsidRPr="0067159C">
        <w:rPr>
          <w:szCs w:val="28"/>
          <w:lang w:val="en-US"/>
        </w:rPr>
        <w:t>S</w:t>
      </w:r>
      <w:proofErr w:type="spellStart"/>
      <w:r w:rsidRPr="0067159C">
        <w:rPr>
          <w:szCs w:val="28"/>
        </w:rPr>
        <w:t>tandart</w:t>
      </w:r>
      <w:proofErr w:type="spellEnd"/>
      <w:r w:rsidRPr="0067159C">
        <w:rPr>
          <w:szCs w:val="28"/>
        </w:rPr>
        <w:t xml:space="preserve"> ISO 31000 </w:t>
      </w:r>
      <w:proofErr w:type="spellStart"/>
      <w:r w:rsidRPr="0067159C">
        <w:rPr>
          <w:szCs w:val="28"/>
        </w:rPr>
        <w:t>na</w:t>
      </w:r>
      <w:proofErr w:type="spellEnd"/>
      <w:r w:rsidRPr="0067159C">
        <w:rPr>
          <w:szCs w:val="28"/>
        </w:rPr>
        <w:t xml:space="preserve"> </w:t>
      </w:r>
      <w:proofErr w:type="spellStart"/>
      <w:r w:rsidRPr="0067159C">
        <w:rPr>
          <w:szCs w:val="28"/>
        </w:rPr>
        <w:t>upravlіnnya</w:t>
      </w:r>
      <w:proofErr w:type="spellEnd"/>
      <w:r w:rsidRPr="0067159C">
        <w:rPr>
          <w:szCs w:val="28"/>
        </w:rPr>
        <w:t xml:space="preserve"> </w:t>
      </w:r>
      <w:proofErr w:type="spellStart"/>
      <w:r w:rsidRPr="0067159C">
        <w:rPr>
          <w:szCs w:val="28"/>
        </w:rPr>
        <w:t>rizikom</w:t>
      </w:r>
      <w:proofErr w:type="spellEnd"/>
      <w:r w:rsidRPr="0067159C">
        <w:rPr>
          <w:rStyle w:val="hps"/>
        </w:rPr>
        <w:t xml:space="preserve"> [Standard</w:t>
      </w:r>
      <w:r w:rsidRPr="0067159C">
        <w:rPr>
          <w:rStyle w:val="shorttext"/>
          <w:rFonts w:eastAsiaTheme="majorEastAsia"/>
        </w:rPr>
        <w:t xml:space="preserve"> </w:t>
      </w:r>
      <w:r w:rsidRPr="0067159C">
        <w:rPr>
          <w:rStyle w:val="hps"/>
        </w:rPr>
        <w:t>ISO</w:t>
      </w:r>
      <w:r w:rsidRPr="0067159C">
        <w:rPr>
          <w:rStyle w:val="shorttext"/>
          <w:rFonts w:eastAsiaTheme="majorEastAsia"/>
        </w:rPr>
        <w:t xml:space="preserve"> </w:t>
      </w:r>
      <w:r w:rsidRPr="0067159C">
        <w:rPr>
          <w:rStyle w:val="hps"/>
        </w:rPr>
        <w:t>31000</w:t>
      </w:r>
      <w:r w:rsidRPr="0067159C">
        <w:rPr>
          <w:rStyle w:val="shorttext"/>
          <w:rFonts w:eastAsiaTheme="majorEastAsia"/>
        </w:rPr>
        <w:t xml:space="preserve"> </w:t>
      </w:r>
      <w:proofErr w:type="spellStart"/>
      <w:r w:rsidRPr="0067159C">
        <w:rPr>
          <w:rStyle w:val="hps"/>
        </w:rPr>
        <w:t>on</w:t>
      </w:r>
      <w:proofErr w:type="spellEnd"/>
      <w:r w:rsidRPr="0067159C">
        <w:rPr>
          <w:rStyle w:val="shorttext"/>
          <w:rFonts w:eastAsiaTheme="majorEastAsia"/>
        </w:rPr>
        <w:t xml:space="preserve"> </w:t>
      </w:r>
      <w:proofErr w:type="spellStart"/>
      <w:r w:rsidRPr="0067159C">
        <w:rPr>
          <w:rStyle w:val="hps"/>
        </w:rPr>
        <w:t>Risk</w:t>
      </w:r>
      <w:proofErr w:type="spellEnd"/>
      <w:r w:rsidRPr="0067159C">
        <w:rPr>
          <w:rStyle w:val="hps"/>
        </w:rPr>
        <w:t xml:space="preserve"> </w:t>
      </w:r>
      <w:proofErr w:type="spellStart"/>
      <w:r w:rsidRPr="0067159C">
        <w:rPr>
          <w:rStyle w:val="hps"/>
        </w:rPr>
        <w:t>Management</w:t>
      </w:r>
      <w:proofErr w:type="spellEnd"/>
      <w:r w:rsidRPr="0067159C">
        <w:rPr>
          <w:szCs w:val="28"/>
          <w:lang w:val="en-US"/>
        </w:rPr>
        <w:t>]</w:t>
      </w:r>
      <w:r w:rsidRPr="0067159C">
        <w:rPr>
          <w:rStyle w:val="hps"/>
        </w:rPr>
        <w:t xml:space="preserve">”, </w:t>
      </w:r>
      <w:proofErr w:type="spellStart"/>
      <w:r>
        <w:t>Standartizats</w:t>
      </w:r>
      <w:r w:rsidRPr="0067159C">
        <w:rPr>
          <w:lang w:val="en-US"/>
        </w:rPr>
        <w:t>i</w:t>
      </w:r>
      <w:r>
        <w:t>ya</w:t>
      </w:r>
      <w:proofErr w:type="spellEnd"/>
      <w:r>
        <w:t xml:space="preserve"> </w:t>
      </w:r>
      <w:proofErr w:type="spellStart"/>
      <w:r>
        <w:t>sertif</w:t>
      </w:r>
      <w:r w:rsidRPr="0067159C">
        <w:rPr>
          <w:lang w:val="en-US"/>
        </w:rPr>
        <w:t>i</w:t>
      </w:r>
      <w:r>
        <w:t>kats</w:t>
      </w:r>
      <w:r w:rsidRPr="0067159C">
        <w:rPr>
          <w:lang w:val="en-US"/>
        </w:rPr>
        <w:t>i</w:t>
      </w:r>
      <w:r>
        <w:t>ya</w:t>
      </w:r>
      <w:proofErr w:type="spellEnd"/>
      <w:r>
        <w:t xml:space="preserve"> </w:t>
      </w:r>
      <w:proofErr w:type="spellStart"/>
      <w:r>
        <w:t>yak</w:t>
      </w:r>
      <w:r w:rsidRPr="0067159C">
        <w:rPr>
          <w:lang w:val="en-US"/>
        </w:rPr>
        <w:t>i</w:t>
      </w:r>
      <w:r>
        <w:t>st</w:t>
      </w:r>
      <w:proofErr w:type="spellEnd"/>
      <w:r w:rsidRPr="0067159C">
        <w:rPr>
          <w:lang w:val="en-US"/>
        </w:rPr>
        <w:t>,</w:t>
      </w:r>
      <w:r w:rsidRPr="0067159C">
        <w:rPr>
          <w:rStyle w:val="hps"/>
        </w:rPr>
        <w:t xml:space="preserve"> </w:t>
      </w:r>
      <w:proofErr w:type="spellStart"/>
      <w:r w:rsidRPr="0067159C">
        <w:rPr>
          <w:szCs w:val="28"/>
        </w:rPr>
        <w:t>vol</w:t>
      </w:r>
      <w:proofErr w:type="spellEnd"/>
      <w:r w:rsidRPr="0067159C">
        <w:rPr>
          <w:szCs w:val="28"/>
          <w:lang w:val="en-US"/>
        </w:rPr>
        <w:t>. 3,</w:t>
      </w:r>
      <w:r w:rsidRPr="0067159C">
        <w:rPr>
          <w:szCs w:val="28"/>
        </w:rPr>
        <w:t xml:space="preserve"> </w:t>
      </w:r>
      <w:r w:rsidRPr="0067159C">
        <w:rPr>
          <w:szCs w:val="28"/>
          <w:lang w:val="en-US"/>
        </w:rPr>
        <w:t>pp. 6-8.</w:t>
      </w:r>
    </w:p>
    <w:p w:rsidR="00D87113" w:rsidRPr="0067159C" w:rsidRDefault="00D87113" w:rsidP="00D87113">
      <w:pPr>
        <w:pStyle w:val="a7"/>
        <w:numPr>
          <w:ilvl w:val="0"/>
          <w:numId w:val="10"/>
        </w:numPr>
        <w:tabs>
          <w:tab w:val="left" w:pos="1134"/>
        </w:tabs>
        <w:spacing w:line="240" w:lineRule="auto"/>
        <w:ind w:left="714" w:hanging="357"/>
        <w:rPr>
          <w:szCs w:val="28"/>
        </w:rPr>
      </w:pPr>
      <w:proofErr w:type="spellStart"/>
      <w:r>
        <w:t>Kravchenko</w:t>
      </w:r>
      <w:proofErr w:type="spellEnd"/>
      <w:r>
        <w:t xml:space="preserve"> V. </w:t>
      </w:r>
      <w:r w:rsidRPr="0067159C">
        <w:rPr>
          <w:lang w:val="en-US"/>
        </w:rPr>
        <w:t>“</w:t>
      </w:r>
      <w:proofErr w:type="spellStart"/>
      <w:r w:rsidRPr="0067159C">
        <w:rPr>
          <w:i/>
        </w:rPr>
        <w:t>Suchasn</w:t>
      </w:r>
      <w:r w:rsidRPr="0067159C">
        <w:rPr>
          <w:i/>
          <w:lang w:val="en-US"/>
        </w:rPr>
        <w:t>i</w:t>
      </w:r>
      <w:proofErr w:type="spellEnd"/>
      <w:r w:rsidRPr="0067159C">
        <w:rPr>
          <w:i/>
        </w:rPr>
        <w:t xml:space="preserve"> </w:t>
      </w:r>
      <w:proofErr w:type="spellStart"/>
      <w:r w:rsidRPr="0067159C">
        <w:rPr>
          <w:i/>
        </w:rPr>
        <w:t>standarti</w:t>
      </w:r>
      <w:proofErr w:type="spellEnd"/>
      <w:r w:rsidRPr="0067159C">
        <w:rPr>
          <w:i/>
        </w:rPr>
        <w:t xml:space="preserve"> rizik-</w:t>
      </w:r>
      <w:proofErr w:type="spellStart"/>
      <w:r w:rsidRPr="0067159C">
        <w:rPr>
          <w:i/>
        </w:rPr>
        <w:t>menedzhmentu</w:t>
      </w:r>
      <w:proofErr w:type="spellEnd"/>
      <w:r w:rsidRPr="0067159C">
        <w:rPr>
          <w:i/>
        </w:rPr>
        <w:t xml:space="preserve">: </w:t>
      </w:r>
      <w:proofErr w:type="spellStart"/>
      <w:r w:rsidRPr="0067159C">
        <w:rPr>
          <w:i/>
        </w:rPr>
        <w:t>osnova</w:t>
      </w:r>
      <w:proofErr w:type="spellEnd"/>
      <w:r w:rsidRPr="0067159C">
        <w:rPr>
          <w:i/>
        </w:rPr>
        <w:t xml:space="preserve"> </w:t>
      </w:r>
      <w:proofErr w:type="spellStart"/>
      <w:r w:rsidRPr="0067159C">
        <w:rPr>
          <w:i/>
        </w:rPr>
        <w:t>dlya</w:t>
      </w:r>
      <w:proofErr w:type="spellEnd"/>
      <w:r w:rsidRPr="0067159C">
        <w:rPr>
          <w:i/>
        </w:rPr>
        <w:t xml:space="preserve"> </w:t>
      </w:r>
      <w:proofErr w:type="spellStart"/>
      <w:r w:rsidRPr="0067159C">
        <w:rPr>
          <w:i/>
        </w:rPr>
        <w:t>pobudovi</w:t>
      </w:r>
      <w:proofErr w:type="spellEnd"/>
      <w:r w:rsidRPr="0067159C">
        <w:rPr>
          <w:i/>
        </w:rPr>
        <w:t xml:space="preserve"> d</w:t>
      </w:r>
      <w:proofErr w:type="spellStart"/>
      <w:r w:rsidRPr="0067159C">
        <w:rPr>
          <w:i/>
          <w:lang w:val="en-US"/>
        </w:rPr>
        <w:t>ie</w:t>
      </w:r>
      <w:r w:rsidRPr="0067159C">
        <w:rPr>
          <w:i/>
        </w:rPr>
        <w:t>vo</w:t>
      </w:r>
      <w:proofErr w:type="spellEnd"/>
      <w:r w:rsidRPr="0067159C">
        <w:rPr>
          <w:i/>
          <w:lang w:val="en-US"/>
        </w:rPr>
        <w:t>y</w:t>
      </w:r>
      <w:r w:rsidRPr="0067159C">
        <w:rPr>
          <w:i/>
        </w:rPr>
        <w:t xml:space="preserve">i </w:t>
      </w:r>
      <w:proofErr w:type="spellStart"/>
      <w:r w:rsidRPr="0067159C">
        <w:rPr>
          <w:i/>
        </w:rPr>
        <w:t>sistemi</w:t>
      </w:r>
      <w:proofErr w:type="spellEnd"/>
      <w:r w:rsidRPr="0067159C">
        <w:rPr>
          <w:i/>
        </w:rPr>
        <w:t xml:space="preserve"> </w:t>
      </w:r>
      <w:proofErr w:type="spellStart"/>
      <w:r w:rsidRPr="0067159C">
        <w:rPr>
          <w:i/>
        </w:rPr>
        <w:t>upravl</w:t>
      </w:r>
      <w:r w:rsidRPr="0067159C">
        <w:rPr>
          <w:i/>
          <w:lang w:val="en-US"/>
        </w:rPr>
        <w:t>i</w:t>
      </w:r>
      <w:r w:rsidRPr="0067159C">
        <w:rPr>
          <w:i/>
        </w:rPr>
        <w:t>nnya</w:t>
      </w:r>
      <w:proofErr w:type="spellEnd"/>
      <w:r w:rsidRPr="0067159C">
        <w:rPr>
          <w:i/>
        </w:rPr>
        <w:t xml:space="preserve"> </w:t>
      </w:r>
      <w:proofErr w:type="spellStart"/>
      <w:r w:rsidRPr="0067159C">
        <w:rPr>
          <w:i/>
        </w:rPr>
        <w:t>marketingovimi</w:t>
      </w:r>
      <w:proofErr w:type="spellEnd"/>
      <w:r w:rsidRPr="0067159C">
        <w:rPr>
          <w:i/>
        </w:rPr>
        <w:t xml:space="preserve"> </w:t>
      </w:r>
      <w:proofErr w:type="spellStart"/>
      <w:r w:rsidRPr="0067159C">
        <w:rPr>
          <w:i/>
        </w:rPr>
        <w:t>rizikami</w:t>
      </w:r>
      <w:proofErr w:type="spellEnd"/>
      <w:r w:rsidRPr="0067159C">
        <w:rPr>
          <w:i/>
        </w:rPr>
        <w:t xml:space="preserve"> </w:t>
      </w:r>
      <w:proofErr w:type="spellStart"/>
      <w:r w:rsidRPr="0067159C">
        <w:rPr>
          <w:i/>
        </w:rPr>
        <w:t>kompan</w:t>
      </w:r>
      <w:r w:rsidRPr="0067159C">
        <w:rPr>
          <w:i/>
          <w:lang w:val="en-US"/>
        </w:rPr>
        <w:t>iy</w:t>
      </w:r>
      <w:proofErr w:type="spellEnd"/>
      <w:r w:rsidRPr="0067159C">
        <w:rPr>
          <w:i/>
        </w:rPr>
        <w:t>i</w:t>
      </w:r>
      <w:r>
        <w:t xml:space="preserve"> </w:t>
      </w:r>
      <w:r w:rsidRPr="0067159C">
        <w:rPr>
          <w:lang w:val="en-US"/>
        </w:rPr>
        <w:t>[</w:t>
      </w:r>
      <w:proofErr w:type="spellStart"/>
      <w:r w:rsidRPr="0067159C">
        <w:rPr>
          <w:rStyle w:val="hps"/>
          <w:rFonts w:eastAsiaTheme="majorEastAsia"/>
        </w:rPr>
        <w:t>Modern</w:t>
      </w:r>
      <w:proofErr w:type="spellEnd"/>
      <w:r w:rsidRPr="0067159C">
        <w:rPr>
          <w:rStyle w:val="hps"/>
          <w:rFonts w:eastAsiaTheme="majorEastAsia"/>
        </w:rPr>
        <w:t xml:space="preserve"> </w:t>
      </w:r>
      <w:proofErr w:type="spellStart"/>
      <w:r w:rsidRPr="0067159C">
        <w:rPr>
          <w:rStyle w:val="hps"/>
          <w:rFonts w:eastAsiaTheme="majorEastAsia"/>
        </w:rPr>
        <w:t>standards</w:t>
      </w:r>
      <w:proofErr w:type="spellEnd"/>
      <w:r w:rsidRPr="0067159C">
        <w:t xml:space="preserve"> </w:t>
      </w:r>
      <w:proofErr w:type="spellStart"/>
      <w:r w:rsidRPr="0067159C">
        <w:rPr>
          <w:rStyle w:val="hps"/>
          <w:rFonts w:eastAsiaTheme="majorEastAsia"/>
        </w:rPr>
        <w:t>of</w:t>
      </w:r>
      <w:proofErr w:type="spellEnd"/>
      <w:r w:rsidRPr="0067159C">
        <w:rPr>
          <w:rStyle w:val="hps"/>
          <w:rFonts w:eastAsiaTheme="majorEastAsia"/>
        </w:rPr>
        <w:t xml:space="preserve"> </w:t>
      </w:r>
      <w:proofErr w:type="spellStart"/>
      <w:r w:rsidRPr="0067159C">
        <w:rPr>
          <w:rStyle w:val="hps"/>
          <w:rFonts w:eastAsiaTheme="majorEastAsia"/>
        </w:rPr>
        <w:t>risk</w:t>
      </w:r>
      <w:proofErr w:type="spellEnd"/>
      <w:r w:rsidRPr="0067159C">
        <w:rPr>
          <w:rStyle w:val="hps"/>
          <w:rFonts w:eastAsiaTheme="majorEastAsia"/>
        </w:rPr>
        <w:t xml:space="preserve"> </w:t>
      </w:r>
      <w:proofErr w:type="spellStart"/>
      <w:r w:rsidRPr="0067159C">
        <w:rPr>
          <w:rStyle w:val="hps"/>
          <w:rFonts w:eastAsiaTheme="majorEastAsia"/>
        </w:rPr>
        <w:t>management</w:t>
      </w:r>
      <w:proofErr w:type="spellEnd"/>
      <w:r w:rsidRPr="0067159C">
        <w:t xml:space="preserve">: </w:t>
      </w:r>
      <w:proofErr w:type="spellStart"/>
      <w:r w:rsidRPr="0067159C">
        <w:t>the</w:t>
      </w:r>
      <w:proofErr w:type="spellEnd"/>
      <w:r w:rsidRPr="0067159C">
        <w:t xml:space="preserve"> </w:t>
      </w:r>
      <w:proofErr w:type="spellStart"/>
      <w:r w:rsidRPr="0067159C">
        <w:t>foundation</w:t>
      </w:r>
      <w:proofErr w:type="spellEnd"/>
      <w:r w:rsidRPr="0067159C">
        <w:t xml:space="preserve"> </w:t>
      </w:r>
      <w:proofErr w:type="spellStart"/>
      <w:r w:rsidRPr="0067159C">
        <w:rPr>
          <w:rStyle w:val="hps"/>
          <w:rFonts w:eastAsiaTheme="majorEastAsia"/>
        </w:rPr>
        <w:t>for</w:t>
      </w:r>
      <w:proofErr w:type="spellEnd"/>
      <w:r w:rsidRPr="0067159C">
        <w:rPr>
          <w:rStyle w:val="hps"/>
          <w:rFonts w:eastAsiaTheme="majorEastAsia"/>
        </w:rPr>
        <w:t xml:space="preserve"> </w:t>
      </w:r>
      <w:proofErr w:type="spellStart"/>
      <w:r w:rsidRPr="0067159C">
        <w:rPr>
          <w:rStyle w:val="hps"/>
          <w:rFonts w:eastAsiaTheme="majorEastAsia"/>
        </w:rPr>
        <w:t>building</w:t>
      </w:r>
      <w:proofErr w:type="spellEnd"/>
      <w:r w:rsidRPr="0067159C">
        <w:t xml:space="preserve"> </w:t>
      </w:r>
      <w:proofErr w:type="spellStart"/>
      <w:r w:rsidRPr="0067159C">
        <w:rPr>
          <w:rStyle w:val="hps"/>
          <w:rFonts w:eastAsiaTheme="majorEastAsia"/>
        </w:rPr>
        <w:t>an</w:t>
      </w:r>
      <w:proofErr w:type="spellEnd"/>
      <w:r w:rsidRPr="0067159C">
        <w:rPr>
          <w:rStyle w:val="hps"/>
          <w:rFonts w:eastAsiaTheme="majorEastAsia"/>
        </w:rPr>
        <w:t xml:space="preserve"> </w:t>
      </w:r>
      <w:proofErr w:type="spellStart"/>
      <w:r w:rsidRPr="0067159C">
        <w:rPr>
          <w:rStyle w:val="hps"/>
          <w:rFonts w:eastAsiaTheme="majorEastAsia"/>
        </w:rPr>
        <w:t>effective</w:t>
      </w:r>
      <w:proofErr w:type="spellEnd"/>
      <w:r w:rsidRPr="0067159C">
        <w:rPr>
          <w:rStyle w:val="hps"/>
          <w:rFonts w:eastAsiaTheme="majorEastAsia"/>
        </w:rPr>
        <w:t xml:space="preserve"> </w:t>
      </w:r>
      <w:proofErr w:type="spellStart"/>
      <w:r w:rsidRPr="0067159C">
        <w:rPr>
          <w:rStyle w:val="hps"/>
          <w:rFonts w:eastAsiaTheme="majorEastAsia"/>
        </w:rPr>
        <w:t>system</w:t>
      </w:r>
      <w:proofErr w:type="spellEnd"/>
      <w:r w:rsidRPr="0067159C">
        <w:rPr>
          <w:rStyle w:val="hps"/>
          <w:rFonts w:eastAsiaTheme="majorEastAsia"/>
        </w:rPr>
        <w:t xml:space="preserve"> </w:t>
      </w:r>
      <w:proofErr w:type="spellStart"/>
      <w:r w:rsidRPr="0067159C">
        <w:rPr>
          <w:rStyle w:val="hps"/>
          <w:rFonts w:eastAsiaTheme="majorEastAsia"/>
        </w:rPr>
        <w:t>of</w:t>
      </w:r>
      <w:proofErr w:type="spellEnd"/>
      <w:r w:rsidRPr="0067159C">
        <w:t xml:space="preserve"> </w:t>
      </w:r>
      <w:proofErr w:type="spellStart"/>
      <w:r w:rsidRPr="0067159C">
        <w:rPr>
          <w:rStyle w:val="hps"/>
          <w:rFonts w:eastAsiaTheme="majorEastAsia"/>
        </w:rPr>
        <w:t>risk</w:t>
      </w:r>
      <w:proofErr w:type="spellEnd"/>
      <w:r w:rsidRPr="0067159C">
        <w:t xml:space="preserve"> </w:t>
      </w:r>
      <w:proofErr w:type="spellStart"/>
      <w:r w:rsidRPr="0067159C">
        <w:rPr>
          <w:rStyle w:val="hps"/>
          <w:rFonts w:eastAsiaTheme="majorEastAsia"/>
        </w:rPr>
        <w:t>management</w:t>
      </w:r>
      <w:proofErr w:type="spellEnd"/>
      <w:r w:rsidRPr="0067159C">
        <w:t xml:space="preserve"> </w:t>
      </w:r>
      <w:proofErr w:type="spellStart"/>
      <w:r w:rsidRPr="0067159C">
        <w:rPr>
          <w:rStyle w:val="hps"/>
          <w:rFonts w:eastAsiaTheme="majorEastAsia"/>
        </w:rPr>
        <w:t>marketing</w:t>
      </w:r>
      <w:proofErr w:type="spellEnd"/>
      <w:r w:rsidRPr="0067159C">
        <w:t xml:space="preserve"> </w:t>
      </w:r>
      <w:proofErr w:type="spellStart"/>
      <w:r w:rsidRPr="0067159C">
        <w:rPr>
          <w:rStyle w:val="hps"/>
          <w:rFonts w:eastAsiaTheme="majorEastAsia"/>
        </w:rPr>
        <w:t>company</w:t>
      </w:r>
      <w:proofErr w:type="spellEnd"/>
      <w:r w:rsidRPr="0067159C">
        <w:rPr>
          <w:rStyle w:val="hps"/>
          <w:rFonts w:eastAsiaTheme="majorEastAsia"/>
        </w:rPr>
        <w:t>]”,</w:t>
      </w:r>
      <w:r>
        <w:t xml:space="preserve"> </w:t>
      </w:r>
      <w:r w:rsidRPr="0067159C">
        <w:rPr>
          <w:szCs w:val="28"/>
        </w:rPr>
        <w:t>[</w:t>
      </w:r>
      <w:proofErr w:type="spellStart"/>
      <w:r w:rsidRPr="0067159C">
        <w:rPr>
          <w:szCs w:val="28"/>
        </w:rPr>
        <w:t>Online</w:t>
      </w:r>
      <w:proofErr w:type="spellEnd"/>
      <w:r w:rsidRPr="0067159C">
        <w:rPr>
          <w:szCs w:val="28"/>
        </w:rPr>
        <w:t>]</w:t>
      </w:r>
      <w:r w:rsidRPr="0067159C">
        <w:rPr>
          <w:szCs w:val="28"/>
          <w:lang w:val="en-US"/>
        </w:rPr>
        <w:t xml:space="preserve">, </w:t>
      </w:r>
      <w:proofErr w:type="spellStart"/>
      <w:r w:rsidRPr="0067159C">
        <w:rPr>
          <w:szCs w:val="28"/>
        </w:rPr>
        <w:t>available</w:t>
      </w:r>
      <w:proofErr w:type="spellEnd"/>
      <w:r w:rsidRPr="0067159C">
        <w:rPr>
          <w:szCs w:val="28"/>
        </w:rPr>
        <w:t xml:space="preserve"> </w:t>
      </w:r>
      <w:proofErr w:type="spellStart"/>
      <w:r w:rsidRPr="0067159C">
        <w:rPr>
          <w:szCs w:val="28"/>
        </w:rPr>
        <w:t>at</w:t>
      </w:r>
      <w:proofErr w:type="spellEnd"/>
      <w:r w:rsidRPr="0067159C">
        <w:rPr>
          <w:szCs w:val="28"/>
        </w:rPr>
        <w:t>: http://archive.nbuv.gov.ua/e-journals/PSPE/2008-1/Kravchenko_108.htm</w:t>
      </w:r>
    </w:p>
    <w:p w:rsidR="00D87113" w:rsidRDefault="00D87113" w:rsidP="00D87113">
      <w:pPr>
        <w:pStyle w:val="a7"/>
        <w:numPr>
          <w:ilvl w:val="0"/>
          <w:numId w:val="10"/>
        </w:numPr>
        <w:spacing w:line="240" w:lineRule="auto"/>
        <w:ind w:left="714" w:hanging="357"/>
        <w:rPr>
          <w:lang w:val="en-US"/>
        </w:rPr>
      </w:pPr>
      <w:proofErr w:type="spellStart"/>
      <w:r>
        <w:t>Nemchin</w:t>
      </w:r>
      <w:proofErr w:type="spellEnd"/>
      <w:r>
        <w:t xml:space="preserve">, M.S. </w:t>
      </w:r>
      <w:r>
        <w:rPr>
          <w:lang w:val="en-US"/>
        </w:rPr>
        <w:t xml:space="preserve">and </w:t>
      </w:r>
      <w:proofErr w:type="spellStart"/>
      <w:r>
        <w:t>Hobta</w:t>
      </w:r>
      <w:proofErr w:type="spellEnd"/>
      <w:r>
        <w:rPr>
          <w:lang w:val="en-US"/>
        </w:rPr>
        <w:t>,</w:t>
      </w:r>
      <w:r>
        <w:t xml:space="preserve"> V.M.</w:t>
      </w:r>
      <w:r>
        <w:rPr>
          <w:lang w:val="en-US"/>
        </w:rPr>
        <w:t xml:space="preserve"> (2009),</w:t>
      </w:r>
      <w:r>
        <w:t xml:space="preserve"> </w:t>
      </w:r>
      <w:proofErr w:type="spellStart"/>
      <w:r w:rsidRPr="00954A37">
        <w:t>“</w:t>
      </w:r>
      <w:r>
        <w:rPr>
          <w:rStyle w:val="hps"/>
          <w:rFonts w:eastAsiaTheme="majorEastAsia"/>
        </w:rPr>
        <w:t>The</w:t>
      </w:r>
      <w:proofErr w:type="spellEnd"/>
      <w:r>
        <w:rPr>
          <w:rStyle w:val="hps"/>
          <w:rFonts w:eastAsiaTheme="majorEastAsia"/>
        </w:rPr>
        <w:t xml:space="preserve"> </w:t>
      </w:r>
      <w:proofErr w:type="spellStart"/>
      <w:r>
        <w:rPr>
          <w:rStyle w:val="hps"/>
          <w:rFonts w:eastAsiaTheme="majorEastAsia"/>
        </w:rPr>
        <w:t>use</w:t>
      </w:r>
      <w:proofErr w:type="spellEnd"/>
      <w:r>
        <w:rPr>
          <w:rStyle w:val="hps"/>
          <w:rFonts w:eastAsiaTheme="majorEastAsia"/>
        </w:rPr>
        <w:t xml:space="preserve"> </w:t>
      </w:r>
      <w:proofErr w:type="spellStart"/>
      <w:r>
        <w:rPr>
          <w:rStyle w:val="hps"/>
          <w:rFonts w:eastAsiaTheme="majorEastAsia"/>
        </w:rPr>
        <w:t>of</w:t>
      </w:r>
      <w:proofErr w:type="spellEnd"/>
      <w:r>
        <w:t xml:space="preserve"> </w:t>
      </w:r>
      <w:proofErr w:type="spellStart"/>
      <w:r>
        <w:rPr>
          <w:rStyle w:val="hps"/>
          <w:rFonts w:eastAsiaTheme="majorEastAsia"/>
        </w:rPr>
        <w:t>international</w:t>
      </w:r>
      <w:proofErr w:type="spellEnd"/>
      <w:r>
        <w:rPr>
          <w:rStyle w:val="hps"/>
          <w:rFonts w:eastAsiaTheme="majorEastAsia"/>
        </w:rPr>
        <w:t xml:space="preserve"> </w:t>
      </w:r>
      <w:proofErr w:type="spellStart"/>
      <w:r>
        <w:rPr>
          <w:rStyle w:val="hps"/>
          <w:rFonts w:eastAsiaTheme="majorEastAsia"/>
        </w:rPr>
        <w:t>standards</w:t>
      </w:r>
      <w:proofErr w:type="spellEnd"/>
      <w:r>
        <w:rPr>
          <w:rStyle w:val="hps"/>
          <w:rFonts w:eastAsiaTheme="majorEastAsia"/>
        </w:rPr>
        <w:t xml:space="preserve"> </w:t>
      </w:r>
      <w:proofErr w:type="spellStart"/>
      <w:r>
        <w:rPr>
          <w:rStyle w:val="hps"/>
          <w:rFonts w:eastAsiaTheme="majorEastAsia"/>
        </w:rPr>
        <w:t>for</w:t>
      </w:r>
      <w:proofErr w:type="spellEnd"/>
      <w:r>
        <w:t xml:space="preserve"> </w:t>
      </w:r>
      <w:proofErr w:type="spellStart"/>
      <w:r>
        <w:rPr>
          <w:rStyle w:val="hps"/>
          <w:rFonts w:eastAsiaTheme="majorEastAsia"/>
        </w:rPr>
        <w:t>risk</w:t>
      </w:r>
      <w:proofErr w:type="spellEnd"/>
      <w:r>
        <w:rPr>
          <w:rStyle w:val="hps"/>
          <w:rFonts w:eastAsiaTheme="majorEastAsia"/>
        </w:rPr>
        <w:t xml:space="preserve"> </w:t>
      </w:r>
      <w:proofErr w:type="spellStart"/>
      <w:r>
        <w:rPr>
          <w:rStyle w:val="hps"/>
          <w:rFonts w:eastAsiaTheme="majorEastAsia"/>
        </w:rPr>
        <w:t>management</w:t>
      </w:r>
      <w:proofErr w:type="spellEnd"/>
      <w:r>
        <w:t xml:space="preserve"> </w:t>
      </w:r>
      <w:proofErr w:type="spellStart"/>
      <w:r>
        <w:rPr>
          <w:rStyle w:val="hps"/>
          <w:rFonts w:eastAsiaTheme="majorEastAsia"/>
        </w:rPr>
        <w:t>at</w:t>
      </w:r>
      <w:proofErr w:type="spellEnd"/>
      <w:r>
        <w:rPr>
          <w:rStyle w:val="hps"/>
          <w:rFonts w:eastAsiaTheme="majorEastAsia"/>
        </w:rPr>
        <w:t xml:space="preserve"> </w:t>
      </w:r>
      <w:proofErr w:type="spellStart"/>
      <w:r>
        <w:rPr>
          <w:rStyle w:val="hps"/>
          <w:rFonts w:eastAsiaTheme="majorEastAsia"/>
        </w:rPr>
        <w:t>domestic</w:t>
      </w:r>
      <w:proofErr w:type="spellEnd"/>
      <w:r>
        <w:rPr>
          <w:rStyle w:val="hps"/>
          <w:rFonts w:eastAsiaTheme="majorEastAsia"/>
        </w:rPr>
        <w:t xml:space="preserve"> </w:t>
      </w:r>
      <w:proofErr w:type="spellStart"/>
      <w:r>
        <w:rPr>
          <w:rStyle w:val="hps"/>
          <w:rFonts w:eastAsiaTheme="majorEastAsia"/>
        </w:rPr>
        <w:t>enterprises</w:t>
      </w:r>
      <w:proofErr w:type="spellEnd"/>
      <w:r>
        <w:rPr>
          <w:lang w:val="en-US"/>
        </w:rPr>
        <w:t xml:space="preserve">”, </w:t>
      </w:r>
      <w:proofErr w:type="spellStart"/>
      <w:r w:rsidRPr="007F6576">
        <w:rPr>
          <w:i/>
        </w:rPr>
        <w:t>Mater</w:t>
      </w:r>
      <w:r w:rsidRPr="007F6576">
        <w:rPr>
          <w:i/>
          <w:lang w:val="en-US"/>
        </w:rPr>
        <w:t>i</w:t>
      </w:r>
      <w:r w:rsidRPr="007F6576">
        <w:rPr>
          <w:i/>
        </w:rPr>
        <w:t>ali</w:t>
      </w:r>
      <w:proofErr w:type="spellEnd"/>
      <w:r w:rsidRPr="007F6576">
        <w:rPr>
          <w:i/>
        </w:rPr>
        <w:t xml:space="preserve"> </w:t>
      </w:r>
      <w:proofErr w:type="spellStart"/>
      <w:r w:rsidRPr="007F6576">
        <w:rPr>
          <w:i/>
        </w:rPr>
        <w:t>vseukra</w:t>
      </w:r>
      <w:proofErr w:type="spellEnd"/>
      <w:r w:rsidRPr="007F6576">
        <w:rPr>
          <w:i/>
          <w:lang w:val="en-US"/>
        </w:rPr>
        <w:t>y</w:t>
      </w:r>
      <w:proofErr w:type="spellStart"/>
      <w:r w:rsidRPr="007F6576">
        <w:rPr>
          <w:i/>
        </w:rPr>
        <w:t>insko</w:t>
      </w:r>
      <w:proofErr w:type="spellEnd"/>
      <w:r w:rsidRPr="007F6576">
        <w:rPr>
          <w:i/>
          <w:lang w:val="en-US"/>
        </w:rPr>
        <w:t>y</w:t>
      </w:r>
      <w:r w:rsidRPr="007F6576">
        <w:rPr>
          <w:i/>
        </w:rPr>
        <w:t>i naukovo-praktichno</w:t>
      </w:r>
      <w:r w:rsidRPr="007F6576">
        <w:rPr>
          <w:i/>
          <w:lang w:val="en-US"/>
        </w:rPr>
        <w:t>y</w:t>
      </w:r>
      <w:r w:rsidRPr="007F6576">
        <w:rPr>
          <w:i/>
        </w:rPr>
        <w:t xml:space="preserve">i </w:t>
      </w:r>
      <w:proofErr w:type="spellStart"/>
      <w:r w:rsidRPr="007F6576">
        <w:rPr>
          <w:i/>
        </w:rPr>
        <w:t>konferents</w:t>
      </w:r>
      <w:r w:rsidRPr="007F6576">
        <w:rPr>
          <w:i/>
          <w:lang w:val="en-US"/>
        </w:rPr>
        <w:t>iy</w:t>
      </w:r>
      <w:proofErr w:type="spellEnd"/>
      <w:r w:rsidRPr="007F6576">
        <w:rPr>
          <w:i/>
        </w:rPr>
        <w:t xml:space="preserve">i </w:t>
      </w:r>
      <w:proofErr w:type="spellStart"/>
      <w:r w:rsidRPr="007F6576">
        <w:rPr>
          <w:i/>
        </w:rPr>
        <w:t>student</w:t>
      </w:r>
      <w:r w:rsidRPr="007F6576">
        <w:rPr>
          <w:i/>
          <w:lang w:val="en-US"/>
        </w:rPr>
        <w:t>i</w:t>
      </w:r>
      <w:proofErr w:type="spellEnd"/>
      <w:r w:rsidRPr="007F6576">
        <w:rPr>
          <w:i/>
        </w:rPr>
        <w:t xml:space="preserve">v </w:t>
      </w:r>
      <w:proofErr w:type="spellStart"/>
      <w:r w:rsidRPr="007F6576">
        <w:rPr>
          <w:i/>
          <w:lang w:val="en-US"/>
        </w:rPr>
        <w:t>i</w:t>
      </w:r>
      <w:proofErr w:type="spellEnd"/>
      <w:r w:rsidRPr="007F6576">
        <w:rPr>
          <w:i/>
        </w:rPr>
        <w:t xml:space="preserve"> </w:t>
      </w:r>
      <w:proofErr w:type="spellStart"/>
      <w:r w:rsidRPr="007F6576">
        <w:rPr>
          <w:i/>
        </w:rPr>
        <w:t>molodih</w:t>
      </w:r>
      <w:proofErr w:type="spellEnd"/>
      <w:r w:rsidRPr="007F6576">
        <w:rPr>
          <w:i/>
        </w:rPr>
        <w:t xml:space="preserve"> </w:t>
      </w:r>
      <w:proofErr w:type="spellStart"/>
      <w:r w:rsidRPr="007F6576">
        <w:rPr>
          <w:i/>
        </w:rPr>
        <w:t>vchenih</w:t>
      </w:r>
      <w:proofErr w:type="spellEnd"/>
      <w:r>
        <w:rPr>
          <w:i/>
          <w:lang w:val="en-US"/>
        </w:rPr>
        <w:t xml:space="preserve"> </w:t>
      </w:r>
      <w:r w:rsidRPr="007F6576">
        <w:rPr>
          <w:lang w:val="en-US"/>
        </w:rPr>
        <w:t>[</w:t>
      </w:r>
      <w:proofErr w:type="spellStart"/>
      <w:r>
        <w:rPr>
          <w:rStyle w:val="hps"/>
          <w:rFonts w:eastAsiaTheme="majorEastAsia"/>
        </w:rPr>
        <w:t>Materials</w:t>
      </w:r>
      <w:proofErr w:type="spellEnd"/>
      <w:r>
        <w:rPr>
          <w:rStyle w:val="hps"/>
          <w:rFonts w:eastAsiaTheme="majorEastAsia"/>
        </w:rPr>
        <w:t xml:space="preserve"> </w:t>
      </w:r>
      <w:proofErr w:type="spellStart"/>
      <w:r>
        <w:rPr>
          <w:rStyle w:val="hps"/>
          <w:rFonts w:eastAsiaTheme="majorEastAsia"/>
        </w:rPr>
        <w:t>of</w:t>
      </w:r>
      <w:proofErr w:type="spellEnd"/>
      <w:r>
        <w:t xml:space="preserve"> </w:t>
      </w:r>
      <w:proofErr w:type="spellStart"/>
      <w:r>
        <w:rPr>
          <w:rStyle w:val="hps"/>
          <w:rFonts w:eastAsiaTheme="majorEastAsia"/>
        </w:rPr>
        <w:t>the</w:t>
      </w:r>
      <w:proofErr w:type="spellEnd"/>
      <w:r>
        <w:rPr>
          <w:rStyle w:val="hps"/>
          <w:rFonts w:eastAsiaTheme="majorEastAsia"/>
        </w:rPr>
        <w:t xml:space="preserve"> All-Ukrainian</w:t>
      </w:r>
      <w:r>
        <w:t xml:space="preserve"> </w:t>
      </w:r>
      <w:r>
        <w:rPr>
          <w:rStyle w:val="hps"/>
          <w:rFonts w:eastAsiaTheme="majorEastAsia"/>
        </w:rPr>
        <w:t>scientific-</w:t>
      </w:r>
      <w:r>
        <w:t xml:space="preserve">practical </w:t>
      </w:r>
      <w:proofErr w:type="spellStart"/>
      <w:r>
        <w:t>conference</w:t>
      </w:r>
      <w:proofErr w:type="spellEnd"/>
      <w:r>
        <w:t xml:space="preserve"> </w:t>
      </w:r>
      <w:proofErr w:type="spellStart"/>
      <w:r>
        <w:t>of</w:t>
      </w:r>
      <w:proofErr w:type="spellEnd"/>
      <w:r>
        <w:t xml:space="preserve"> </w:t>
      </w:r>
      <w:proofErr w:type="spellStart"/>
      <w:r>
        <w:t>students</w:t>
      </w:r>
      <w:proofErr w:type="spellEnd"/>
      <w:r>
        <w:t xml:space="preserve"> </w:t>
      </w:r>
      <w:proofErr w:type="spellStart"/>
      <w:r>
        <w:rPr>
          <w:rStyle w:val="hps"/>
          <w:rFonts w:eastAsiaTheme="majorEastAsia"/>
        </w:rPr>
        <w:t>and</w:t>
      </w:r>
      <w:proofErr w:type="spellEnd"/>
      <w:r>
        <w:rPr>
          <w:rStyle w:val="hps"/>
          <w:rFonts w:eastAsiaTheme="majorEastAsia"/>
        </w:rPr>
        <w:t xml:space="preserve"> </w:t>
      </w:r>
      <w:proofErr w:type="spellStart"/>
      <w:r>
        <w:rPr>
          <w:rStyle w:val="hps"/>
          <w:rFonts w:eastAsiaTheme="majorEastAsia"/>
        </w:rPr>
        <w:t>young</w:t>
      </w:r>
      <w:proofErr w:type="spellEnd"/>
      <w:r>
        <w:rPr>
          <w:rStyle w:val="hps"/>
          <w:rFonts w:eastAsiaTheme="majorEastAsia"/>
        </w:rPr>
        <w:t xml:space="preserve"> </w:t>
      </w:r>
      <w:proofErr w:type="spellStart"/>
      <w:r>
        <w:rPr>
          <w:rStyle w:val="hps"/>
          <w:rFonts w:eastAsiaTheme="majorEastAsia"/>
        </w:rPr>
        <w:t>scientists</w:t>
      </w:r>
      <w:proofErr w:type="spellEnd"/>
      <w:r>
        <w:rPr>
          <w:rStyle w:val="hps"/>
          <w:rFonts w:eastAsiaTheme="majorEastAsia"/>
        </w:rPr>
        <w:t xml:space="preserve"> </w:t>
      </w:r>
      <w:r w:rsidRPr="0088749D">
        <w:rPr>
          <w:szCs w:val="28"/>
        </w:rPr>
        <w:t>– 2008</w:t>
      </w:r>
      <w:r>
        <w:rPr>
          <w:rStyle w:val="hps"/>
          <w:rFonts w:eastAsiaTheme="majorEastAsia"/>
        </w:rPr>
        <w:t>]</w:t>
      </w:r>
      <w:r w:rsidRPr="007F6576">
        <w:rPr>
          <w:lang w:val="en-US"/>
        </w:rPr>
        <w:t xml:space="preserve">, </w:t>
      </w:r>
      <w:proofErr w:type="spellStart"/>
      <w:r>
        <w:t>Donetsk</w:t>
      </w:r>
      <w:proofErr w:type="spellEnd"/>
      <w:r>
        <w:t xml:space="preserve">, </w:t>
      </w:r>
      <w:proofErr w:type="spellStart"/>
      <w:r>
        <w:t>DonNTU</w:t>
      </w:r>
      <w:proofErr w:type="spellEnd"/>
      <w:r>
        <w:t>,</w:t>
      </w:r>
      <w:r>
        <w:rPr>
          <w:lang w:val="en-US"/>
        </w:rPr>
        <w:t xml:space="preserve"> Ukraine, pp.</w:t>
      </w:r>
      <w:r>
        <w:t xml:space="preserve"> 35-36.</w:t>
      </w:r>
    </w:p>
    <w:p w:rsidR="00D87113" w:rsidRPr="0088749D" w:rsidRDefault="00D87113" w:rsidP="00D87113">
      <w:pPr>
        <w:pStyle w:val="a7"/>
        <w:numPr>
          <w:ilvl w:val="0"/>
          <w:numId w:val="10"/>
        </w:numPr>
        <w:spacing w:line="240" w:lineRule="auto"/>
        <w:ind w:left="714" w:hanging="357"/>
        <w:rPr>
          <w:rStyle w:val="HTML"/>
          <w:i w:val="0"/>
          <w:szCs w:val="28"/>
        </w:rPr>
      </w:pPr>
      <w:proofErr w:type="spellStart"/>
      <w:r>
        <w:lastRenderedPageBreak/>
        <w:t>Sohatska</w:t>
      </w:r>
      <w:proofErr w:type="spellEnd"/>
      <w:r>
        <w:rPr>
          <w:lang w:val="en-US"/>
        </w:rPr>
        <w:t>,</w:t>
      </w:r>
      <w:r>
        <w:t xml:space="preserve"> O. M.</w:t>
      </w:r>
      <w:r>
        <w:rPr>
          <w:lang w:val="en-US"/>
        </w:rPr>
        <w:t xml:space="preserve"> </w:t>
      </w:r>
      <w:proofErr w:type="gramStart"/>
      <w:r>
        <w:rPr>
          <w:lang w:val="en-US"/>
        </w:rPr>
        <w:t>and</w:t>
      </w:r>
      <w:proofErr w:type="gramEnd"/>
      <w:r>
        <w:rPr>
          <w:lang w:val="en-US"/>
        </w:rPr>
        <w:t xml:space="preserve"> </w:t>
      </w:r>
      <w:r>
        <w:t>V</w:t>
      </w:r>
      <w:proofErr w:type="spellStart"/>
      <w:r>
        <w:rPr>
          <w:lang w:val="en-US"/>
        </w:rPr>
        <w:t>i</w:t>
      </w:r>
      <w:r>
        <w:t>nnitskiy</w:t>
      </w:r>
      <w:proofErr w:type="spellEnd"/>
      <w:r>
        <w:rPr>
          <w:lang w:val="en-US"/>
        </w:rPr>
        <w:t>,</w:t>
      </w:r>
      <w:r w:rsidRPr="007F6576">
        <w:t xml:space="preserve"> </w:t>
      </w:r>
      <w:r>
        <w:t xml:space="preserve">S. I. </w:t>
      </w:r>
      <w:r>
        <w:rPr>
          <w:lang w:val="en-US"/>
        </w:rPr>
        <w:t xml:space="preserve"> (2011), “</w:t>
      </w:r>
      <w:r w:rsidRPr="0067159C">
        <w:rPr>
          <w:i/>
        </w:rPr>
        <w:t>F</w:t>
      </w:r>
      <w:proofErr w:type="spellStart"/>
      <w:r w:rsidRPr="0067159C">
        <w:rPr>
          <w:i/>
          <w:lang w:val="en-US"/>
        </w:rPr>
        <w:t>i</w:t>
      </w:r>
      <w:r w:rsidRPr="0067159C">
        <w:rPr>
          <w:i/>
        </w:rPr>
        <w:t>nansoviy</w:t>
      </w:r>
      <w:proofErr w:type="spellEnd"/>
      <w:r w:rsidRPr="0067159C">
        <w:rPr>
          <w:i/>
        </w:rPr>
        <w:t xml:space="preserve"> </w:t>
      </w:r>
      <w:proofErr w:type="spellStart"/>
      <w:r w:rsidRPr="0067159C">
        <w:rPr>
          <w:i/>
          <w:lang w:val="en-US"/>
        </w:rPr>
        <w:t>i</w:t>
      </w:r>
      <w:r w:rsidRPr="0067159C">
        <w:rPr>
          <w:i/>
        </w:rPr>
        <w:t>nzhin</w:t>
      </w:r>
      <w:r w:rsidRPr="0067159C">
        <w:rPr>
          <w:i/>
          <w:lang w:val="en-US"/>
        </w:rPr>
        <w:t>i</w:t>
      </w:r>
      <w:r w:rsidRPr="0067159C">
        <w:rPr>
          <w:i/>
        </w:rPr>
        <w:t>ring</w:t>
      </w:r>
      <w:proofErr w:type="spellEnd"/>
      <w:r>
        <w:rPr>
          <w:lang w:val="en-US"/>
        </w:rPr>
        <w:t xml:space="preserve"> </w:t>
      </w:r>
      <w:r>
        <w:rPr>
          <w:szCs w:val="28"/>
          <w:lang w:val="en-US"/>
        </w:rPr>
        <w:t>[</w:t>
      </w:r>
      <w:proofErr w:type="spellStart"/>
      <w:r>
        <w:rPr>
          <w:rStyle w:val="hps"/>
        </w:rPr>
        <w:t>Financial</w:t>
      </w:r>
      <w:proofErr w:type="spellEnd"/>
      <w:r>
        <w:rPr>
          <w:rStyle w:val="hps"/>
        </w:rPr>
        <w:t xml:space="preserve"> </w:t>
      </w:r>
      <w:proofErr w:type="spellStart"/>
      <w:r>
        <w:rPr>
          <w:rStyle w:val="hps"/>
        </w:rPr>
        <w:t>Engineering</w:t>
      </w:r>
      <w:proofErr w:type="spellEnd"/>
      <w:r>
        <w:rPr>
          <w:rStyle w:val="hps"/>
        </w:rPr>
        <w:t>]”,</w:t>
      </w:r>
      <w:r w:rsidRPr="0088749D">
        <w:rPr>
          <w:szCs w:val="28"/>
        </w:rPr>
        <w:t xml:space="preserve"> </w:t>
      </w:r>
      <w:r w:rsidRPr="001A0278">
        <w:rPr>
          <w:szCs w:val="28"/>
        </w:rPr>
        <w:t>[</w:t>
      </w:r>
      <w:proofErr w:type="spellStart"/>
      <w:r w:rsidRPr="001A0278">
        <w:rPr>
          <w:szCs w:val="28"/>
        </w:rPr>
        <w:t>Online</w:t>
      </w:r>
      <w:proofErr w:type="spellEnd"/>
      <w:r w:rsidRPr="001A0278">
        <w:rPr>
          <w:szCs w:val="28"/>
        </w:rPr>
        <w:t>]</w:t>
      </w:r>
      <w:r w:rsidRPr="001A0278">
        <w:rPr>
          <w:szCs w:val="28"/>
          <w:lang w:val="en-US"/>
        </w:rPr>
        <w:t xml:space="preserve">, </w:t>
      </w:r>
      <w:proofErr w:type="spellStart"/>
      <w:r w:rsidRPr="001A0278">
        <w:rPr>
          <w:szCs w:val="28"/>
        </w:rPr>
        <w:t>available</w:t>
      </w:r>
      <w:proofErr w:type="spellEnd"/>
      <w:r w:rsidRPr="001A0278">
        <w:rPr>
          <w:szCs w:val="28"/>
        </w:rPr>
        <w:t xml:space="preserve"> </w:t>
      </w:r>
      <w:proofErr w:type="spellStart"/>
      <w:r w:rsidRPr="001A0278">
        <w:rPr>
          <w:szCs w:val="28"/>
        </w:rPr>
        <w:t>at</w:t>
      </w:r>
      <w:proofErr w:type="spellEnd"/>
      <w:r w:rsidRPr="001A0278">
        <w:rPr>
          <w:szCs w:val="28"/>
        </w:rPr>
        <w:t>:</w:t>
      </w:r>
      <w:r>
        <w:rPr>
          <w:szCs w:val="28"/>
          <w:lang w:val="en-US"/>
        </w:rPr>
        <w:t xml:space="preserve"> </w:t>
      </w:r>
      <w:r w:rsidRPr="0088749D">
        <w:rPr>
          <w:szCs w:val="28"/>
        </w:rPr>
        <w:t>http://library.tneu.edu.ua/images/stories/predmety.pdf</w:t>
      </w:r>
    </w:p>
    <w:p w:rsidR="00D87113" w:rsidRPr="0088749D" w:rsidRDefault="00D87113" w:rsidP="00D87113">
      <w:pPr>
        <w:pStyle w:val="a7"/>
        <w:numPr>
          <w:ilvl w:val="0"/>
          <w:numId w:val="10"/>
        </w:numPr>
        <w:spacing w:line="240" w:lineRule="auto"/>
        <w:ind w:left="714" w:hanging="357"/>
        <w:rPr>
          <w:szCs w:val="28"/>
        </w:rPr>
      </w:pPr>
      <w:r>
        <w:rPr>
          <w:rStyle w:val="hps"/>
          <w:rFonts w:eastAsiaTheme="majorEastAsia"/>
        </w:rPr>
        <w:t>Standard</w:t>
      </w:r>
      <w:r>
        <w:t xml:space="preserve"> </w:t>
      </w:r>
      <w:proofErr w:type="spellStart"/>
      <w:r>
        <w:rPr>
          <w:rStyle w:val="hps"/>
          <w:rFonts w:eastAsiaTheme="majorEastAsia"/>
        </w:rPr>
        <w:t>risk</w:t>
      </w:r>
      <w:proofErr w:type="spellEnd"/>
      <w:r>
        <w:rPr>
          <w:rStyle w:val="hps"/>
          <w:rFonts w:eastAsiaTheme="majorEastAsia"/>
        </w:rPr>
        <w:t xml:space="preserve"> </w:t>
      </w:r>
      <w:proofErr w:type="spellStart"/>
      <w:r>
        <w:rPr>
          <w:rStyle w:val="hps"/>
          <w:rFonts w:eastAsiaTheme="majorEastAsia"/>
        </w:rPr>
        <w:t>management</w:t>
      </w:r>
      <w:proofErr w:type="spellEnd"/>
      <w:r>
        <w:t xml:space="preserve"> </w:t>
      </w:r>
      <w:proofErr w:type="spellStart"/>
      <w:r>
        <w:rPr>
          <w:rStyle w:val="hps"/>
          <w:rFonts w:eastAsiaTheme="majorEastAsia"/>
        </w:rPr>
        <w:t>associations</w:t>
      </w:r>
      <w:proofErr w:type="spellEnd"/>
      <w:r>
        <w:t xml:space="preserve"> </w:t>
      </w:r>
      <w:proofErr w:type="spellStart"/>
      <w:r>
        <w:rPr>
          <w:rStyle w:val="hps"/>
          <w:rFonts w:eastAsiaTheme="majorEastAsia"/>
        </w:rPr>
        <w:t>of</w:t>
      </w:r>
      <w:proofErr w:type="spellEnd"/>
      <w:r>
        <w:rPr>
          <w:rStyle w:val="hps"/>
          <w:rFonts w:eastAsiaTheme="majorEastAsia"/>
        </w:rPr>
        <w:t xml:space="preserve"> </w:t>
      </w:r>
      <w:proofErr w:type="spellStart"/>
      <w:r>
        <w:rPr>
          <w:rStyle w:val="hps"/>
          <w:rFonts w:eastAsiaTheme="majorEastAsia"/>
        </w:rPr>
        <w:t>the</w:t>
      </w:r>
      <w:proofErr w:type="spellEnd"/>
      <w:r>
        <w:t xml:space="preserve"> </w:t>
      </w:r>
      <w:proofErr w:type="spellStart"/>
      <w:r>
        <w:rPr>
          <w:rStyle w:val="hps"/>
          <w:rFonts w:eastAsiaTheme="majorEastAsia"/>
        </w:rPr>
        <w:t>Federation</w:t>
      </w:r>
      <w:proofErr w:type="spellEnd"/>
      <w:r>
        <w:rPr>
          <w:rStyle w:val="hps"/>
          <w:rFonts w:eastAsiaTheme="majorEastAsia"/>
        </w:rPr>
        <w:t xml:space="preserve"> </w:t>
      </w:r>
      <w:proofErr w:type="spellStart"/>
      <w:r>
        <w:rPr>
          <w:rStyle w:val="hps"/>
          <w:rFonts w:eastAsiaTheme="majorEastAsia"/>
        </w:rPr>
        <w:t>of</w:t>
      </w:r>
      <w:proofErr w:type="spellEnd"/>
      <w:r>
        <w:rPr>
          <w:rStyle w:val="hps"/>
          <w:rFonts w:eastAsiaTheme="majorEastAsia"/>
        </w:rPr>
        <w:t xml:space="preserve"> </w:t>
      </w:r>
      <w:proofErr w:type="spellStart"/>
      <w:r>
        <w:rPr>
          <w:rStyle w:val="hps"/>
          <w:rFonts w:eastAsiaTheme="majorEastAsia"/>
        </w:rPr>
        <w:t>European</w:t>
      </w:r>
      <w:proofErr w:type="spellEnd"/>
      <w:r>
        <w:t xml:space="preserve"> </w:t>
      </w:r>
      <w:proofErr w:type="spellStart"/>
      <w:r>
        <w:rPr>
          <w:rStyle w:val="hps"/>
          <w:rFonts w:eastAsiaTheme="majorEastAsia"/>
        </w:rPr>
        <w:t>Risk</w:t>
      </w:r>
      <w:proofErr w:type="spellEnd"/>
      <w:r>
        <w:rPr>
          <w:rStyle w:val="hps"/>
          <w:rFonts w:eastAsiaTheme="majorEastAsia"/>
        </w:rPr>
        <w:t xml:space="preserve"> </w:t>
      </w:r>
      <w:proofErr w:type="spellStart"/>
      <w:r>
        <w:rPr>
          <w:rStyle w:val="hps"/>
          <w:rFonts w:eastAsiaTheme="majorEastAsia"/>
        </w:rPr>
        <w:t>Management</w:t>
      </w:r>
      <w:proofErr w:type="spellEnd"/>
      <w:r>
        <w:rPr>
          <w:rStyle w:val="hps"/>
          <w:rFonts w:eastAsiaTheme="majorEastAsia"/>
        </w:rPr>
        <w:t xml:space="preserve"> (2013), </w:t>
      </w:r>
      <w:proofErr w:type="spellStart"/>
      <w:r>
        <w:rPr>
          <w:rStyle w:val="hps"/>
          <w:rFonts w:eastAsiaTheme="majorEastAsia"/>
        </w:rPr>
        <w:t>“</w:t>
      </w:r>
      <w:r w:rsidRPr="0088749D">
        <w:rPr>
          <w:szCs w:val="28"/>
        </w:rPr>
        <w:t>Risk</w:t>
      </w:r>
      <w:proofErr w:type="spellEnd"/>
      <w:r w:rsidRPr="0088749D">
        <w:rPr>
          <w:szCs w:val="28"/>
        </w:rPr>
        <w:t xml:space="preserve"> </w:t>
      </w:r>
      <w:proofErr w:type="spellStart"/>
      <w:r w:rsidRPr="0088749D">
        <w:rPr>
          <w:szCs w:val="28"/>
        </w:rPr>
        <w:t>Management</w:t>
      </w:r>
      <w:proofErr w:type="spellEnd"/>
      <w:r w:rsidRPr="0088749D">
        <w:rPr>
          <w:szCs w:val="28"/>
        </w:rPr>
        <w:t xml:space="preserve"> Standard, FERMA</w:t>
      </w:r>
      <w:r>
        <w:rPr>
          <w:szCs w:val="28"/>
          <w:lang w:val="en-US"/>
        </w:rPr>
        <w:t xml:space="preserve">”, </w:t>
      </w:r>
      <w:r w:rsidRPr="001A0278">
        <w:rPr>
          <w:szCs w:val="28"/>
        </w:rPr>
        <w:t>[</w:t>
      </w:r>
      <w:proofErr w:type="spellStart"/>
      <w:r w:rsidRPr="001A0278">
        <w:rPr>
          <w:szCs w:val="28"/>
        </w:rPr>
        <w:t>Online</w:t>
      </w:r>
      <w:proofErr w:type="spellEnd"/>
      <w:r w:rsidRPr="001A0278">
        <w:rPr>
          <w:szCs w:val="28"/>
        </w:rPr>
        <w:t>]</w:t>
      </w:r>
      <w:r w:rsidRPr="001A0278">
        <w:rPr>
          <w:szCs w:val="28"/>
          <w:lang w:val="en-US"/>
        </w:rPr>
        <w:t xml:space="preserve">, </w:t>
      </w:r>
      <w:proofErr w:type="spellStart"/>
      <w:r w:rsidRPr="001A0278">
        <w:rPr>
          <w:szCs w:val="28"/>
        </w:rPr>
        <w:t>available</w:t>
      </w:r>
      <w:proofErr w:type="spellEnd"/>
      <w:r w:rsidRPr="001A0278">
        <w:rPr>
          <w:szCs w:val="28"/>
        </w:rPr>
        <w:t xml:space="preserve"> </w:t>
      </w:r>
      <w:proofErr w:type="spellStart"/>
      <w:r w:rsidRPr="001A0278">
        <w:rPr>
          <w:szCs w:val="28"/>
        </w:rPr>
        <w:t>at</w:t>
      </w:r>
      <w:proofErr w:type="spellEnd"/>
      <w:r w:rsidRPr="001A0278">
        <w:rPr>
          <w:szCs w:val="28"/>
        </w:rPr>
        <w:t>:</w:t>
      </w:r>
      <w:r w:rsidRPr="0088749D">
        <w:rPr>
          <w:szCs w:val="28"/>
        </w:rPr>
        <w:t xml:space="preserve"> http://www.ferma.eu/Defaul.aspx?tabitd=195</w:t>
      </w:r>
    </w:p>
    <w:p w:rsidR="00D87113" w:rsidRPr="0067159C" w:rsidRDefault="00D87113" w:rsidP="00D87113">
      <w:pPr>
        <w:pStyle w:val="a7"/>
        <w:numPr>
          <w:ilvl w:val="0"/>
          <w:numId w:val="10"/>
        </w:numPr>
        <w:spacing w:line="240" w:lineRule="auto"/>
        <w:ind w:left="714" w:hanging="357"/>
        <w:rPr>
          <w:szCs w:val="28"/>
        </w:rPr>
      </w:pPr>
      <w:proofErr w:type="spellStart"/>
      <w:r w:rsidRPr="0067159C">
        <w:rPr>
          <w:szCs w:val="28"/>
          <w:lang w:val="en-US"/>
        </w:rPr>
        <w:t>Starostina</w:t>
      </w:r>
      <w:proofErr w:type="spellEnd"/>
      <w:r w:rsidRPr="0067159C">
        <w:rPr>
          <w:szCs w:val="28"/>
          <w:lang w:val="en-US"/>
        </w:rPr>
        <w:t xml:space="preserve">, A. O. and </w:t>
      </w:r>
      <w:proofErr w:type="spellStart"/>
      <w:r w:rsidRPr="0067159C">
        <w:rPr>
          <w:szCs w:val="28"/>
          <w:lang w:val="en-US"/>
        </w:rPr>
        <w:t>Kravchenko</w:t>
      </w:r>
      <w:proofErr w:type="spellEnd"/>
      <w:r w:rsidRPr="0067159C">
        <w:rPr>
          <w:szCs w:val="28"/>
          <w:lang w:val="en-US"/>
        </w:rPr>
        <w:t>, V. A. (2004), “</w:t>
      </w:r>
      <w:proofErr w:type="spellStart"/>
      <w:r w:rsidRPr="0067159C">
        <w:rPr>
          <w:i/>
          <w:szCs w:val="28"/>
          <w:lang w:val="en-US"/>
        </w:rPr>
        <w:t>Rizik-menedzhment</w:t>
      </w:r>
      <w:proofErr w:type="spellEnd"/>
      <w:r w:rsidRPr="0067159C">
        <w:rPr>
          <w:i/>
          <w:szCs w:val="28"/>
          <w:lang w:val="en-US"/>
        </w:rPr>
        <w:t xml:space="preserve">: </w:t>
      </w:r>
      <w:proofErr w:type="spellStart"/>
      <w:r w:rsidRPr="0067159C">
        <w:rPr>
          <w:i/>
          <w:szCs w:val="28"/>
          <w:lang w:val="en-US"/>
        </w:rPr>
        <w:t>Teoriya</w:t>
      </w:r>
      <w:proofErr w:type="spellEnd"/>
      <w:r w:rsidRPr="0067159C">
        <w:rPr>
          <w:i/>
          <w:szCs w:val="28"/>
          <w:lang w:val="en-US"/>
        </w:rPr>
        <w:t xml:space="preserve"> </w:t>
      </w:r>
      <w:proofErr w:type="spellStart"/>
      <w:r w:rsidRPr="0067159C">
        <w:rPr>
          <w:i/>
          <w:szCs w:val="28"/>
          <w:lang w:val="en-US"/>
        </w:rPr>
        <w:t>ta</w:t>
      </w:r>
      <w:proofErr w:type="spellEnd"/>
      <w:r w:rsidRPr="0067159C">
        <w:rPr>
          <w:i/>
          <w:szCs w:val="28"/>
          <w:lang w:val="en-US"/>
        </w:rPr>
        <w:t xml:space="preserve"> </w:t>
      </w:r>
      <w:proofErr w:type="spellStart"/>
      <w:r w:rsidRPr="0067159C">
        <w:rPr>
          <w:i/>
          <w:szCs w:val="28"/>
          <w:lang w:val="en-US"/>
        </w:rPr>
        <w:t>praktika</w:t>
      </w:r>
      <w:proofErr w:type="spellEnd"/>
      <w:r w:rsidRPr="0067159C">
        <w:rPr>
          <w:szCs w:val="28"/>
          <w:lang w:val="en-US"/>
        </w:rPr>
        <w:t xml:space="preserve"> [</w:t>
      </w:r>
      <w:proofErr w:type="spellStart"/>
      <w:r w:rsidRPr="0067159C">
        <w:rPr>
          <w:rStyle w:val="hps"/>
          <w:szCs w:val="28"/>
        </w:rPr>
        <w:t>Risk</w:t>
      </w:r>
      <w:proofErr w:type="spellEnd"/>
      <w:r w:rsidRPr="0067159C">
        <w:rPr>
          <w:rStyle w:val="hps"/>
          <w:szCs w:val="28"/>
        </w:rPr>
        <w:t xml:space="preserve"> </w:t>
      </w:r>
      <w:proofErr w:type="spellStart"/>
      <w:r w:rsidRPr="0067159C">
        <w:rPr>
          <w:rStyle w:val="hps"/>
          <w:szCs w:val="28"/>
        </w:rPr>
        <w:t>Management</w:t>
      </w:r>
      <w:proofErr w:type="spellEnd"/>
      <w:r w:rsidRPr="0067159C">
        <w:rPr>
          <w:rStyle w:val="hps"/>
          <w:szCs w:val="28"/>
        </w:rPr>
        <w:t>:</w:t>
      </w:r>
      <w:r w:rsidRPr="0067159C">
        <w:rPr>
          <w:rStyle w:val="shorttext"/>
          <w:rFonts w:eastAsiaTheme="majorEastAsia"/>
          <w:szCs w:val="28"/>
        </w:rPr>
        <w:t xml:space="preserve"> </w:t>
      </w:r>
      <w:proofErr w:type="spellStart"/>
      <w:r w:rsidRPr="0067159C">
        <w:rPr>
          <w:rStyle w:val="hps"/>
          <w:szCs w:val="28"/>
        </w:rPr>
        <w:t>Theory</w:t>
      </w:r>
      <w:proofErr w:type="spellEnd"/>
      <w:r w:rsidRPr="0067159C">
        <w:rPr>
          <w:rStyle w:val="shorttext"/>
          <w:rFonts w:eastAsiaTheme="majorEastAsia"/>
          <w:szCs w:val="28"/>
        </w:rPr>
        <w:t xml:space="preserve"> </w:t>
      </w:r>
      <w:proofErr w:type="spellStart"/>
      <w:r w:rsidRPr="0067159C">
        <w:rPr>
          <w:rStyle w:val="hps"/>
          <w:szCs w:val="28"/>
        </w:rPr>
        <w:t>and</w:t>
      </w:r>
      <w:proofErr w:type="spellEnd"/>
      <w:r w:rsidRPr="0067159C">
        <w:rPr>
          <w:rStyle w:val="hps"/>
          <w:szCs w:val="28"/>
        </w:rPr>
        <w:t xml:space="preserve"> </w:t>
      </w:r>
      <w:proofErr w:type="spellStart"/>
      <w:r w:rsidRPr="0067159C">
        <w:rPr>
          <w:rStyle w:val="hps"/>
          <w:szCs w:val="28"/>
        </w:rPr>
        <w:t>Practice</w:t>
      </w:r>
      <w:proofErr w:type="spellEnd"/>
      <w:r w:rsidRPr="0067159C">
        <w:rPr>
          <w:rStyle w:val="hps"/>
          <w:szCs w:val="28"/>
        </w:rPr>
        <w:t xml:space="preserve">]”, </w:t>
      </w:r>
      <w:proofErr w:type="spellStart"/>
      <w:r w:rsidRPr="00197CA6">
        <w:rPr>
          <w:szCs w:val="28"/>
          <w:lang w:val="en-US"/>
        </w:rPr>
        <w:t>Pol</w:t>
      </w:r>
      <w:r w:rsidRPr="0067159C">
        <w:rPr>
          <w:szCs w:val="28"/>
          <w:lang w:val="en-US"/>
        </w:rPr>
        <w:t>i</w:t>
      </w:r>
      <w:r w:rsidRPr="00197CA6">
        <w:rPr>
          <w:szCs w:val="28"/>
          <w:lang w:val="en-US"/>
        </w:rPr>
        <w:t>tehn</w:t>
      </w:r>
      <w:r w:rsidRPr="0067159C">
        <w:rPr>
          <w:szCs w:val="28"/>
          <w:lang w:val="en-US"/>
        </w:rPr>
        <w:t>i</w:t>
      </w:r>
      <w:r w:rsidRPr="00197CA6">
        <w:rPr>
          <w:szCs w:val="28"/>
          <w:lang w:val="en-US"/>
        </w:rPr>
        <w:t>ka</w:t>
      </w:r>
      <w:proofErr w:type="spellEnd"/>
      <w:r w:rsidRPr="0067159C">
        <w:rPr>
          <w:szCs w:val="28"/>
          <w:lang w:val="en-US"/>
        </w:rPr>
        <w:t xml:space="preserve">, </w:t>
      </w:r>
      <w:proofErr w:type="spellStart"/>
      <w:r w:rsidRPr="0067159C">
        <w:rPr>
          <w:szCs w:val="28"/>
        </w:rPr>
        <w:t>Kyiv</w:t>
      </w:r>
      <w:proofErr w:type="spellEnd"/>
      <w:r w:rsidRPr="0067159C">
        <w:rPr>
          <w:szCs w:val="28"/>
        </w:rPr>
        <w:t xml:space="preserve">, </w:t>
      </w:r>
      <w:proofErr w:type="spellStart"/>
      <w:r w:rsidRPr="0067159C">
        <w:rPr>
          <w:szCs w:val="28"/>
        </w:rPr>
        <w:t>Ukraine</w:t>
      </w:r>
      <w:proofErr w:type="spellEnd"/>
      <w:r w:rsidRPr="0067159C">
        <w:rPr>
          <w:szCs w:val="28"/>
        </w:rPr>
        <w:t>.</w:t>
      </w:r>
    </w:p>
    <w:p w:rsidR="00D87113" w:rsidRPr="0067159C" w:rsidRDefault="00D87113" w:rsidP="00D87113">
      <w:pPr>
        <w:pStyle w:val="a7"/>
        <w:numPr>
          <w:ilvl w:val="0"/>
          <w:numId w:val="10"/>
        </w:numPr>
        <w:spacing w:line="240" w:lineRule="auto"/>
        <w:ind w:left="714" w:hanging="357"/>
        <w:rPr>
          <w:szCs w:val="28"/>
        </w:rPr>
      </w:pPr>
      <w:proofErr w:type="spellStart"/>
      <w:r>
        <w:t>Strelb</w:t>
      </w:r>
      <w:r w:rsidRPr="0067159C">
        <w:rPr>
          <w:lang w:val="en-US"/>
        </w:rPr>
        <w:t>i</w:t>
      </w:r>
      <w:r>
        <w:t>tska</w:t>
      </w:r>
      <w:proofErr w:type="spellEnd"/>
      <w:r w:rsidRPr="0067159C">
        <w:rPr>
          <w:lang w:val="en-US"/>
        </w:rPr>
        <w:t>,</w:t>
      </w:r>
      <w:r>
        <w:t xml:space="preserve"> N. </w:t>
      </w:r>
      <w:r w:rsidRPr="0067159C">
        <w:rPr>
          <w:lang w:val="en-US"/>
        </w:rPr>
        <w:t>(2011) “</w:t>
      </w:r>
      <w:proofErr w:type="spellStart"/>
      <w:r w:rsidRPr="0067159C">
        <w:rPr>
          <w:i/>
        </w:rPr>
        <w:t>Un</w:t>
      </w:r>
      <w:r w:rsidRPr="0067159C">
        <w:rPr>
          <w:i/>
          <w:lang w:val="en-US"/>
        </w:rPr>
        <w:t>i</w:t>
      </w:r>
      <w:proofErr w:type="spellEnd"/>
      <w:r w:rsidRPr="0067159C">
        <w:rPr>
          <w:i/>
        </w:rPr>
        <w:t>f</w:t>
      </w:r>
      <w:proofErr w:type="spellStart"/>
      <w:r w:rsidRPr="0067159C">
        <w:rPr>
          <w:i/>
          <w:lang w:val="en-US"/>
        </w:rPr>
        <w:t>i</w:t>
      </w:r>
      <w:r w:rsidRPr="0067159C">
        <w:rPr>
          <w:i/>
        </w:rPr>
        <w:t>kovaniy</w:t>
      </w:r>
      <w:proofErr w:type="spellEnd"/>
      <w:r w:rsidRPr="0067159C">
        <w:rPr>
          <w:i/>
        </w:rPr>
        <w:t xml:space="preserve"> m</w:t>
      </w:r>
      <w:proofErr w:type="spellStart"/>
      <w:r w:rsidRPr="0067159C">
        <w:rPr>
          <w:i/>
          <w:lang w:val="en-US"/>
        </w:rPr>
        <w:t>i</w:t>
      </w:r>
      <w:r w:rsidRPr="0067159C">
        <w:rPr>
          <w:i/>
        </w:rPr>
        <w:t>zhnarodniy</w:t>
      </w:r>
      <w:proofErr w:type="spellEnd"/>
      <w:r w:rsidRPr="0067159C">
        <w:rPr>
          <w:i/>
        </w:rPr>
        <w:t xml:space="preserve"> </w:t>
      </w:r>
      <w:proofErr w:type="spellStart"/>
      <w:r w:rsidRPr="0067159C">
        <w:rPr>
          <w:i/>
        </w:rPr>
        <w:t>standart</w:t>
      </w:r>
      <w:proofErr w:type="spellEnd"/>
      <w:r w:rsidRPr="0067159C">
        <w:rPr>
          <w:i/>
        </w:rPr>
        <w:t xml:space="preserve"> rizik-</w:t>
      </w:r>
      <w:proofErr w:type="spellStart"/>
      <w:r w:rsidRPr="0067159C">
        <w:rPr>
          <w:i/>
        </w:rPr>
        <w:t>menedzhmentu</w:t>
      </w:r>
      <w:proofErr w:type="spellEnd"/>
      <w:r w:rsidRPr="0067159C">
        <w:rPr>
          <w:i/>
        </w:rPr>
        <w:t xml:space="preserve"> </w:t>
      </w:r>
      <w:proofErr w:type="spellStart"/>
      <w:r w:rsidRPr="0067159C">
        <w:rPr>
          <w:i/>
        </w:rPr>
        <w:t>yak</w:t>
      </w:r>
      <w:proofErr w:type="spellEnd"/>
      <w:r w:rsidRPr="0067159C">
        <w:rPr>
          <w:i/>
        </w:rPr>
        <w:t xml:space="preserve"> v</w:t>
      </w:r>
      <w:proofErr w:type="spellStart"/>
      <w:r w:rsidRPr="0067159C">
        <w:rPr>
          <w:i/>
          <w:lang w:val="en-US"/>
        </w:rPr>
        <w:t>i</w:t>
      </w:r>
      <w:r w:rsidRPr="0067159C">
        <w:rPr>
          <w:i/>
        </w:rPr>
        <w:t>dpov</w:t>
      </w:r>
      <w:r w:rsidRPr="0067159C">
        <w:rPr>
          <w:i/>
          <w:lang w:val="en-US"/>
        </w:rPr>
        <w:t>i</w:t>
      </w:r>
      <w:proofErr w:type="spellEnd"/>
      <w:r w:rsidRPr="0067159C">
        <w:rPr>
          <w:i/>
        </w:rPr>
        <w:t xml:space="preserve">d </w:t>
      </w:r>
      <w:proofErr w:type="spellStart"/>
      <w:r w:rsidRPr="0067159C">
        <w:rPr>
          <w:i/>
        </w:rPr>
        <w:t>na</w:t>
      </w:r>
      <w:proofErr w:type="spellEnd"/>
      <w:r w:rsidRPr="0067159C">
        <w:rPr>
          <w:i/>
        </w:rPr>
        <w:t xml:space="preserve"> </w:t>
      </w:r>
      <w:proofErr w:type="spellStart"/>
      <w:r w:rsidRPr="0067159C">
        <w:rPr>
          <w:i/>
        </w:rPr>
        <w:t>vikliki</w:t>
      </w:r>
      <w:proofErr w:type="spellEnd"/>
      <w:r w:rsidRPr="0067159C">
        <w:rPr>
          <w:i/>
        </w:rPr>
        <w:t xml:space="preserve"> </w:t>
      </w:r>
      <w:proofErr w:type="spellStart"/>
      <w:r w:rsidRPr="0067159C">
        <w:rPr>
          <w:i/>
        </w:rPr>
        <w:t>global</w:t>
      </w:r>
      <w:r w:rsidRPr="0067159C">
        <w:rPr>
          <w:i/>
          <w:lang w:val="en-US"/>
        </w:rPr>
        <w:t>i</w:t>
      </w:r>
      <w:r w:rsidRPr="0067159C">
        <w:rPr>
          <w:i/>
        </w:rPr>
        <w:t>zats</w:t>
      </w:r>
      <w:r w:rsidRPr="0067159C">
        <w:rPr>
          <w:i/>
          <w:lang w:val="en-US"/>
        </w:rPr>
        <w:t>iy</w:t>
      </w:r>
      <w:proofErr w:type="spellEnd"/>
      <w:r w:rsidRPr="0067159C">
        <w:rPr>
          <w:i/>
        </w:rPr>
        <w:t>i</w:t>
      </w:r>
      <w:r w:rsidRPr="0067159C">
        <w:rPr>
          <w:lang w:val="en-US"/>
        </w:rPr>
        <w:t xml:space="preserve"> [</w:t>
      </w:r>
      <w:proofErr w:type="spellStart"/>
      <w:r w:rsidRPr="0067159C">
        <w:rPr>
          <w:rStyle w:val="hps"/>
          <w:rFonts w:eastAsiaTheme="majorEastAsia"/>
        </w:rPr>
        <w:t>Unified</w:t>
      </w:r>
      <w:proofErr w:type="spellEnd"/>
      <w:r w:rsidRPr="0067159C">
        <w:t xml:space="preserve"> </w:t>
      </w:r>
      <w:proofErr w:type="spellStart"/>
      <w:r w:rsidRPr="0067159C">
        <w:rPr>
          <w:rStyle w:val="hps"/>
          <w:rFonts w:eastAsiaTheme="majorEastAsia"/>
        </w:rPr>
        <w:t>international</w:t>
      </w:r>
      <w:proofErr w:type="spellEnd"/>
      <w:r w:rsidRPr="0067159C">
        <w:rPr>
          <w:rStyle w:val="hps"/>
          <w:rFonts w:eastAsiaTheme="majorEastAsia"/>
        </w:rPr>
        <w:t xml:space="preserve"> </w:t>
      </w:r>
      <w:proofErr w:type="spellStart"/>
      <w:r w:rsidRPr="0067159C">
        <w:rPr>
          <w:rStyle w:val="hps"/>
          <w:rFonts w:eastAsiaTheme="majorEastAsia"/>
        </w:rPr>
        <w:t>standard</w:t>
      </w:r>
      <w:proofErr w:type="spellEnd"/>
      <w:r w:rsidRPr="0067159C">
        <w:rPr>
          <w:rStyle w:val="hps"/>
          <w:rFonts w:eastAsiaTheme="majorEastAsia"/>
        </w:rPr>
        <w:t xml:space="preserve"> </w:t>
      </w:r>
      <w:proofErr w:type="spellStart"/>
      <w:r w:rsidRPr="0067159C">
        <w:rPr>
          <w:rStyle w:val="hps"/>
          <w:rFonts w:eastAsiaTheme="majorEastAsia"/>
        </w:rPr>
        <w:t>for</w:t>
      </w:r>
      <w:proofErr w:type="spellEnd"/>
      <w:r w:rsidRPr="0067159C">
        <w:t xml:space="preserve"> </w:t>
      </w:r>
      <w:proofErr w:type="spellStart"/>
      <w:r w:rsidRPr="0067159C">
        <w:rPr>
          <w:rStyle w:val="hps"/>
          <w:rFonts w:eastAsiaTheme="majorEastAsia"/>
        </w:rPr>
        <w:t>risk</w:t>
      </w:r>
      <w:proofErr w:type="spellEnd"/>
      <w:r w:rsidRPr="0067159C">
        <w:rPr>
          <w:rStyle w:val="hps"/>
          <w:rFonts w:eastAsiaTheme="majorEastAsia"/>
        </w:rPr>
        <w:t xml:space="preserve"> </w:t>
      </w:r>
      <w:proofErr w:type="spellStart"/>
      <w:r w:rsidRPr="0067159C">
        <w:rPr>
          <w:rStyle w:val="hps"/>
          <w:rFonts w:eastAsiaTheme="majorEastAsia"/>
        </w:rPr>
        <w:t>management</w:t>
      </w:r>
      <w:proofErr w:type="spellEnd"/>
      <w:r w:rsidRPr="0067159C">
        <w:t xml:space="preserve"> </w:t>
      </w:r>
      <w:proofErr w:type="spellStart"/>
      <w:r w:rsidRPr="0067159C">
        <w:rPr>
          <w:rStyle w:val="hps"/>
          <w:rFonts w:eastAsiaTheme="majorEastAsia"/>
        </w:rPr>
        <w:t>in</w:t>
      </w:r>
      <w:proofErr w:type="spellEnd"/>
      <w:r w:rsidRPr="0067159C">
        <w:rPr>
          <w:rStyle w:val="hps"/>
          <w:rFonts w:eastAsiaTheme="majorEastAsia"/>
        </w:rPr>
        <w:t xml:space="preserve"> </w:t>
      </w:r>
      <w:proofErr w:type="spellStart"/>
      <w:r w:rsidRPr="0067159C">
        <w:rPr>
          <w:rStyle w:val="hps"/>
          <w:rFonts w:eastAsiaTheme="majorEastAsia"/>
        </w:rPr>
        <w:t>response</w:t>
      </w:r>
      <w:proofErr w:type="spellEnd"/>
      <w:r w:rsidRPr="0067159C">
        <w:rPr>
          <w:rStyle w:val="hps"/>
          <w:rFonts w:eastAsiaTheme="majorEastAsia"/>
        </w:rPr>
        <w:t xml:space="preserve"> </w:t>
      </w:r>
      <w:proofErr w:type="spellStart"/>
      <w:r w:rsidRPr="0067159C">
        <w:rPr>
          <w:rStyle w:val="hps"/>
          <w:rFonts w:eastAsiaTheme="majorEastAsia"/>
        </w:rPr>
        <w:t>to</w:t>
      </w:r>
      <w:proofErr w:type="spellEnd"/>
      <w:r w:rsidRPr="0067159C">
        <w:rPr>
          <w:rStyle w:val="hps"/>
          <w:rFonts w:eastAsiaTheme="majorEastAsia"/>
        </w:rPr>
        <w:t xml:space="preserve"> </w:t>
      </w:r>
      <w:proofErr w:type="spellStart"/>
      <w:r w:rsidRPr="0067159C">
        <w:rPr>
          <w:rStyle w:val="hps"/>
          <w:rFonts w:eastAsiaTheme="majorEastAsia"/>
        </w:rPr>
        <w:t>the</w:t>
      </w:r>
      <w:proofErr w:type="spellEnd"/>
      <w:r w:rsidRPr="0067159C">
        <w:t xml:space="preserve"> </w:t>
      </w:r>
      <w:proofErr w:type="spellStart"/>
      <w:r w:rsidRPr="0067159C">
        <w:rPr>
          <w:rStyle w:val="hps"/>
          <w:rFonts w:eastAsiaTheme="majorEastAsia"/>
        </w:rPr>
        <w:t>challenges</w:t>
      </w:r>
      <w:proofErr w:type="spellEnd"/>
      <w:r w:rsidRPr="0067159C">
        <w:rPr>
          <w:rStyle w:val="hps"/>
          <w:rFonts w:eastAsiaTheme="majorEastAsia"/>
        </w:rPr>
        <w:t xml:space="preserve"> </w:t>
      </w:r>
      <w:proofErr w:type="spellStart"/>
      <w:r w:rsidRPr="0067159C">
        <w:rPr>
          <w:rStyle w:val="hps"/>
          <w:rFonts w:eastAsiaTheme="majorEastAsia"/>
        </w:rPr>
        <w:t>of</w:t>
      </w:r>
      <w:proofErr w:type="spellEnd"/>
      <w:r w:rsidRPr="0067159C">
        <w:rPr>
          <w:rStyle w:val="hps"/>
          <w:rFonts w:eastAsiaTheme="majorEastAsia"/>
        </w:rPr>
        <w:t xml:space="preserve"> </w:t>
      </w:r>
      <w:proofErr w:type="spellStart"/>
      <w:r w:rsidRPr="0067159C">
        <w:rPr>
          <w:rStyle w:val="hps"/>
          <w:rFonts w:eastAsiaTheme="majorEastAsia"/>
        </w:rPr>
        <w:t>globalization</w:t>
      </w:r>
      <w:proofErr w:type="spellEnd"/>
      <w:r w:rsidRPr="0067159C">
        <w:rPr>
          <w:rStyle w:val="hps"/>
        </w:rPr>
        <w:t>]”</w:t>
      </w:r>
      <w:proofErr w:type="gramStart"/>
      <w:r w:rsidRPr="0067159C">
        <w:rPr>
          <w:rStyle w:val="hps"/>
        </w:rPr>
        <w:t xml:space="preserve">,  </w:t>
      </w:r>
      <w:proofErr w:type="spellStart"/>
      <w:r>
        <w:t>Sots</w:t>
      </w:r>
      <w:r w:rsidRPr="0067159C">
        <w:rPr>
          <w:lang w:val="en-US"/>
        </w:rPr>
        <w:t>i</w:t>
      </w:r>
      <w:proofErr w:type="spellEnd"/>
      <w:r>
        <w:t>alno</w:t>
      </w:r>
      <w:proofErr w:type="gramEnd"/>
      <w:r>
        <w:t>-</w:t>
      </w:r>
      <w:proofErr w:type="spellStart"/>
      <w:r>
        <w:t>ekonom</w:t>
      </w:r>
      <w:r w:rsidRPr="0067159C">
        <w:rPr>
          <w:lang w:val="en-US"/>
        </w:rPr>
        <w:t>i</w:t>
      </w:r>
      <w:r>
        <w:t>chn</w:t>
      </w:r>
      <w:r w:rsidRPr="0067159C">
        <w:rPr>
          <w:lang w:val="en-US"/>
        </w:rPr>
        <w:t>i</w:t>
      </w:r>
      <w:proofErr w:type="spellEnd"/>
      <w:r>
        <w:t xml:space="preserve"> </w:t>
      </w:r>
      <w:proofErr w:type="spellStart"/>
      <w:r>
        <w:t>problemi</w:t>
      </w:r>
      <w:proofErr w:type="spellEnd"/>
      <w:r>
        <w:t xml:space="preserve"> </w:t>
      </w:r>
      <w:proofErr w:type="spellStart"/>
      <w:r w:rsidRPr="0067159C">
        <w:rPr>
          <w:lang w:val="en-US"/>
        </w:rPr>
        <w:t>i</w:t>
      </w:r>
      <w:proofErr w:type="spellEnd"/>
      <w:r>
        <w:t xml:space="preserve"> </w:t>
      </w:r>
      <w:proofErr w:type="spellStart"/>
      <w:r>
        <w:t>derzhava</w:t>
      </w:r>
      <w:proofErr w:type="spellEnd"/>
      <w:r w:rsidRPr="0067159C">
        <w:rPr>
          <w:lang w:val="en-US"/>
        </w:rPr>
        <w:t>,</w:t>
      </w:r>
      <w:r w:rsidRPr="0067159C">
        <w:rPr>
          <w:szCs w:val="28"/>
        </w:rPr>
        <w:t xml:space="preserve"> [</w:t>
      </w:r>
      <w:proofErr w:type="spellStart"/>
      <w:r w:rsidRPr="0067159C">
        <w:rPr>
          <w:szCs w:val="28"/>
        </w:rPr>
        <w:t>Online</w:t>
      </w:r>
      <w:proofErr w:type="spellEnd"/>
      <w:r w:rsidRPr="0067159C">
        <w:rPr>
          <w:szCs w:val="28"/>
        </w:rPr>
        <w:t>]</w:t>
      </w:r>
      <w:r w:rsidRPr="0067159C">
        <w:rPr>
          <w:szCs w:val="28"/>
          <w:lang w:val="en-US"/>
        </w:rPr>
        <w:t xml:space="preserve">, </w:t>
      </w:r>
      <w:r w:rsidRPr="0067159C">
        <w:rPr>
          <w:lang w:val="en-US"/>
        </w:rPr>
        <w:t xml:space="preserve">vol. 2 (5), </w:t>
      </w:r>
      <w:proofErr w:type="spellStart"/>
      <w:r w:rsidRPr="0067159C">
        <w:rPr>
          <w:szCs w:val="28"/>
        </w:rPr>
        <w:t>available</w:t>
      </w:r>
      <w:proofErr w:type="spellEnd"/>
      <w:r w:rsidRPr="0067159C">
        <w:rPr>
          <w:szCs w:val="28"/>
        </w:rPr>
        <w:t xml:space="preserve"> </w:t>
      </w:r>
      <w:proofErr w:type="spellStart"/>
      <w:r w:rsidRPr="0067159C">
        <w:rPr>
          <w:szCs w:val="28"/>
        </w:rPr>
        <w:t>at</w:t>
      </w:r>
      <w:proofErr w:type="spellEnd"/>
      <w:r w:rsidRPr="0067159C">
        <w:rPr>
          <w:szCs w:val="28"/>
        </w:rPr>
        <w:t>:</w:t>
      </w:r>
      <w:r w:rsidRPr="0067159C">
        <w:rPr>
          <w:szCs w:val="28"/>
          <w:lang w:val="en-US"/>
        </w:rPr>
        <w:t xml:space="preserve"> </w:t>
      </w:r>
      <w:r w:rsidRPr="0067159C">
        <w:rPr>
          <w:szCs w:val="28"/>
        </w:rPr>
        <w:t>http://sepd.tntu.edu.ua/images/stories/pdf/2011/11snynvh.pdf.</w:t>
      </w:r>
    </w:p>
    <w:p w:rsidR="00D87113" w:rsidRPr="00D87113" w:rsidRDefault="00D87113" w:rsidP="004873FC">
      <w:pPr>
        <w:spacing w:line="240" w:lineRule="auto"/>
        <w:rPr>
          <w:szCs w:val="28"/>
        </w:rPr>
      </w:pPr>
    </w:p>
    <w:sectPr w:rsidR="00D87113" w:rsidRPr="00D87113" w:rsidSect="004873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678"/>
    <w:multiLevelType w:val="hybridMultilevel"/>
    <w:tmpl w:val="E6108F66"/>
    <w:lvl w:ilvl="0" w:tplc="20DE2720">
      <w:start w:val="1"/>
      <w:numFmt w:val="bullet"/>
      <w:lvlText w:val=""/>
      <w:lvlJc w:val="left"/>
      <w:pPr>
        <w:ind w:left="1069" w:hanging="360"/>
      </w:pPr>
      <w:rPr>
        <w:rFonts w:ascii="Symbol" w:hAnsi="Symbol" w:hint="default"/>
      </w:rPr>
    </w:lvl>
    <w:lvl w:ilvl="1" w:tplc="4BCE80C6">
      <w:numFmt w:val="bullet"/>
      <w:lvlText w:val="•"/>
      <w:lvlJc w:val="left"/>
      <w:pPr>
        <w:ind w:left="2284" w:hanging="855"/>
      </w:pPr>
      <w:rPr>
        <w:rFonts w:ascii="Times New Roman" w:eastAsia="Times New Roman" w:hAnsi="Times New Roman" w:cs="Times New Roman" w:hint="default"/>
      </w:rPr>
    </w:lvl>
    <w:lvl w:ilvl="2" w:tplc="D5080A10">
      <w:numFmt w:val="bullet"/>
      <w:lvlText w:val=""/>
      <w:lvlJc w:val="left"/>
      <w:pPr>
        <w:ind w:left="3349" w:hanging="1200"/>
      </w:pPr>
      <w:rPr>
        <w:rFonts w:ascii="Times New Roman" w:eastAsia="Times New Roman" w:hAnsi="Times New Roman" w:cs="Times New Roman"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6933EA9"/>
    <w:multiLevelType w:val="hybridMultilevel"/>
    <w:tmpl w:val="32C05B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BE566D"/>
    <w:multiLevelType w:val="hybridMultilevel"/>
    <w:tmpl w:val="D11EE4B8"/>
    <w:lvl w:ilvl="0" w:tplc="20DE272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32047ECF"/>
    <w:multiLevelType w:val="hybridMultilevel"/>
    <w:tmpl w:val="33AE04E6"/>
    <w:lvl w:ilvl="0" w:tplc="20DE27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4DFA27D0"/>
    <w:multiLevelType w:val="hybridMultilevel"/>
    <w:tmpl w:val="0CA0BE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B580982"/>
    <w:multiLevelType w:val="hybridMultilevel"/>
    <w:tmpl w:val="F49E10F2"/>
    <w:lvl w:ilvl="0" w:tplc="20DE2720">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66E64467"/>
    <w:multiLevelType w:val="hybridMultilevel"/>
    <w:tmpl w:val="EA9CF8A2"/>
    <w:lvl w:ilvl="0" w:tplc="20DE272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F4110E"/>
    <w:multiLevelType w:val="hybridMultilevel"/>
    <w:tmpl w:val="3F4CA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CE2691F"/>
    <w:multiLevelType w:val="hybridMultilevel"/>
    <w:tmpl w:val="4BBE0670"/>
    <w:lvl w:ilvl="0" w:tplc="20DE27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C0D4ACD"/>
    <w:multiLevelType w:val="hybridMultilevel"/>
    <w:tmpl w:val="ADC612DC"/>
    <w:lvl w:ilvl="0" w:tplc="20DE2720">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6"/>
  </w:num>
  <w:num w:numId="7">
    <w:abstractNumId w:val="9"/>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28E"/>
    <w:rsid w:val="00034A1E"/>
    <w:rsid w:val="00052A24"/>
    <w:rsid w:val="0006531D"/>
    <w:rsid w:val="000D5C98"/>
    <w:rsid w:val="000D61FC"/>
    <w:rsid w:val="000E269C"/>
    <w:rsid w:val="0010445A"/>
    <w:rsid w:val="001221CE"/>
    <w:rsid w:val="001818B4"/>
    <w:rsid w:val="001A59FA"/>
    <w:rsid w:val="001A5BD4"/>
    <w:rsid w:val="001C3D4B"/>
    <w:rsid w:val="001F5B57"/>
    <w:rsid w:val="00216837"/>
    <w:rsid w:val="00257941"/>
    <w:rsid w:val="00287C6E"/>
    <w:rsid w:val="002A7385"/>
    <w:rsid w:val="002C1D17"/>
    <w:rsid w:val="003073CE"/>
    <w:rsid w:val="0035371B"/>
    <w:rsid w:val="00354D05"/>
    <w:rsid w:val="003828AD"/>
    <w:rsid w:val="003840BA"/>
    <w:rsid w:val="003B1625"/>
    <w:rsid w:val="003E1389"/>
    <w:rsid w:val="003F33E1"/>
    <w:rsid w:val="0040525B"/>
    <w:rsid w:val="004453D7"/>
    <w:rsid w:val="004464DA"/>
    <w:rsid w:val="00453861"/>
    <w:rsid w:val="004873FC"/>
    <w:rsid w:val="0049557D"/>
    <w:rsid w:val="004B54C1"/>
    <w:rsid w:val="00515EDC"/>
    <w:rsid w:val="00526FA7"/>
    <w:rsid w:val="00597237"/>
    <w:rsid w:val="005A39CC"/>
    <w:rsid w:val="005A5DEF"/>
    <w:rsid w:val="005B1162"/>
    <w:rsid w:val="005D0931"/>
    <w:rsid w:val="005D19EB"/>
    <w:rsid w:val="0060438C"/>
    <w:rsid w:val="00630182"/>
    <w:rsid w:val="006301BF"/>
    <w:rsid w:val="00642B74"/>
    <w:rsid w:val="00671EE5"/>
    <w:rsid w:val="0069765F"/>
    <w:rsid w:val="006A672D"/>
    <w:rsid w:val="006F0927"/>
    <w:rsid w:val="006F6787"/>
    <w:rsid w:val="00716461"/>
    <w:rsid w:val="00740986"/>
    <w:rsid w:val="00782109"/>
    <w:rsid w:val="00797EFB"/>
    <w:rsid w:val="007C44B0"/>
    <w:rsid w:val="00850A24"/>
    <w:rsid w:val="00855863"/>
    <w:rsid w:val="00856CCE"/>
    <w:rsid w:val="00865D46"/>
    <w:rsid w:val="0088133C"/>
    <w:rsid w:val="0088749D"/>
    <w:rsid w:val="008C0896"/>
    <w:rsid w:val="008C6CB4"/>
    <w:rsid w:val="008E5EB1"/>
    <w:rsid w:val="008F36D3"/>
    <w:rsid w:val="00935CDF"/>
    <w:rsid w:val="00953B78"/>
    <w:rsid w:val="00A210F3"/>
    <w:rsid w:val="00A3628E"/>
    <w:rsid w:val="00A3675A"/>
    <w:rsid w:val="00A812C6"/>
    <w:rsid w:val="00A84AAB"/>
    <w:rsid w:val="00AA22E0"/>
    <w:rsid w:val="00AB4A31"/>
    <w:rsid w:val="00AC5DFF"/>
    <w:rsid w:val="00AE5FEE"/>
    <w:rsid w:val="00B01B24"/>
    <w:rsid w:val="00B13B02"/>
    <w:rsid w:val="00B61B84"/>
    <w:rsid w:val="00B64470"/>
    <w:rsid w:val="00B92897"/>
    <w:rsid w:val="00BB789D"/>
    <w:rsid w:val="00BE6824"/>
    <w:rsid w:val="00C472D3"/>
    <w:rsid w:val="00C61ACE"/>
    <w:rsid w:val="00C62FBA"/>
    <w:rsid w:val="00CA58F2"/>
    <w:rsid w:val="00CB258E"/>
    <w:rsid w:val="00CC2EC5"/>
    <w:rsid w:val="00CF0F0F"/>
    <w:rsid w:val="00D11750"/>
    <w:rsid w:val="00D3361E"/>
    <w:rsid w:val="00D50371"/>
    <w:rsid w:val="00D63389"/>
    <w:rsid w:val="00D87113"/>
    <w:rsid w:val="00D922BB"/>
    <w:rsid w:val="00D9730F"/>
    <w:rsid w:val="00DA1D66"/>
    <w:rsid w:val="00DE2AD0"/>
    <w:rsid w:val="00DE3D9D"/>
    <w:rsid w:val="00E35EB7"/>
    <w:rsid w:val="00E5738A"/>
    <w:rsid w:val="00E7143F"/>
    <w:rsid w:val="00E71F50"/>
    <w:rsid w:val="00EA3939"/>
    <w:rsid w:val="00EE387B"/>
    <w:rsid w:val="00F1250F"/>
    <w:rsid w:val="00F145FB"/>
    <w:rsid w:val="00F3104B"/>
    <w:rsid w:val="00F315F4"/>
    <w:rsid w:val="00F82BBB"/>
    <w:rsid w:val="00FC055C"/>
    <w:rsid w:val="00FC279E"/>
    <w:rsid w:val="00FE6F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8E"/>
    <w:pPr>
      <w:spacing w:line="360" w:lineRule="auto"/>
      <w:ind w:firstLine="709"/>
      <w:jc w:val="both"/>
    </w:pPr>
    <w:rPr>
      <w:rFonts w:eastAsia="Times New Roman"/>
      <w:szCs w:val="24"/>
      <w:lang w:eastAsia="ru-RU"/>
    </w:rPr>
  </w:style>
  <w:style w:type="paragraph" w:styleId="1">
    <w:name w:val="heading 1"/>
    <w:basedOn w:val="a"/>
    <w:next w:val="a"/>
    <w:link w:val="10"/>
    <w:qFormat/>
    <w:rsid w:val="00865D46"/>
    <w:pPr>
      <w:keepNext/>
      <w:jc w:val="center"/>
      <w:outlineLvl w:val="0"/>
    </w:pPr>
    <w:rPr>
      <w:rFonts w:eastAsiaTheme="majorEastAsia" w:cstheme="majorBidi"/>
      <w:b/>
      <w:bCs/>
      <w:kern w:val="32"/>
      <w:szCs w:val="32"/>
      <w:lang w:val="ru-RU"/>
    </w:rPr>
  </w:style>
  <w:style w:type="paragraph" w:styleId="2">
    <w:name w:val="heading 2"/>
    <w:basedOn w:val="a"/>
    <w:next w:val="a"/>
    <w:link w:val="20"/>
    <w:autoRedefine/>
    <w:uiPriority w:val="9"/>
    <w:unhideWhenUsed/>
    <w:qFormat/>
    <w:rsid w:val="00865D46"/>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nhideWhenUsed/>
    <w:qFormat/>
    <w:rsid w:val="00A3628E"/>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D46"/>
    <w:rPr>
      <w:rFonts w:asciiTheme="majorHAnsi" w:eastAsiaTheme="majorEastAsia" w:hAnsiTheme="majorHAnsi" w:cstheme="majorBidi"/>
      <w:b/>
      <w:bCs/>
      <w:i/>
      <w:iCs/>
      <w:sz w:val="28"/>
      <w:szCs w:val="28"/>
    </w:rPr>
  </w:style>
  <w:style w:type="character" w:styleId="a3">
    <w:name w:val="Emphasis"/>
    <w:basedOn w:val="a0"/>
    <w:qFormat/>
    <w:rsid w:val="00782109"/>
    <w:rPr>
      <w:i/>
      <w:iCs/>
    </w:rPr>
  </w:style>
  <w:style w:type="character" w:customStyle="1" w:styleId="10">
    <w:name w:val="Заголовок 1 Знак"/>
    <w:basedOn w:val="a0"/>
    <w:link w:val="1"/>
    <w:rsid w:val="00865D46"/>
    <w:rPr>
      <w:rFonts w:eastAsiaTheme="majorEastAsia" w:cstheme="majorBidi"/>
      <w:b/>
      <w:bCs/>
      <w:kern w:val="32"/>
      <w:sz w:val="28"/>
      <w:szCs w:val="32"/>
      <w:lang w:val="ru-RU" w:eastAsia="ru-RU"/>
    </w:rPr>
  </w:style>
  <w:style w:type="paragraph" w:styleId="a4">
    <w:name w:val="Title"/>
    <w:basedOn w:val="a"/>
    <w:next w:val="a"/>
    <w:link w:val="a5"/>
    <w:qFormat/>
    <w:rsid w:val="0006531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06531D"/>
    <w:rPr>
      <w:rFonts w:asciiTheme="majorHAnsi" w:eastAsiaTheme="majorEastAsia" w:hAnsiTheme="majorHAnsi" w:cstheme="majorBidi"/>
      <w:b/>
      <w:bCs/>
      <w:kern w:val="28"/>
      <w:sz w:val="32"/>
      <w:szCs w:val="32"/>
      <w:lang w:eastAsia="ru-RU"/>
    </w:rPr>
  </w:style>
  <w:style w:type="character" w:customStyle="1" w:styleId="30">
    <w:name w:val="Заголовок 3 Знак"/>
    <w:basedOn w:val="a0"/>
    <w:link w:val="3"/>
    <w:rsid w:val="00A3628E"/>
    <w:rPr>
      <w:rFonts w:eastAsia="Times New Roman"/>
      <w:b/>
      <w:bCs/>
      <w:szCs w:val="26"/>
      <w:lang w:eastAsia="ru-RU"/>
    </w:rPr>
  </w:style>
  <w:style w:type="character" w:styleId="a6">
    <w:name w:val="Hyperlink"/>
    <w:basedOn w:val="a0"/>
    <w:uiPriority w:val="99"/>
    <w:rsid w:val="00A3628E"/>
    <w:rPr>
      <w:rFonts w:cs="Times New Roman"/>
      <w:color w:val="0000FF"/>
      <w:u w:val="single"/>
    </w:rPr>
  </w:style>
  <w:style w:type="paragraph" w:styleId="a7">
    <w:name w:val="List Paragraph"/>
    <w:basedOn w:val="a"/>
    <w:uiPriority w:val="34"/>
    <w:qFormat/>
    <w:rsid w:val="00A3628E"/>
    <w:pPr>
      <w:ind w:left="720"/>
      <w:contextualSpacing/>
    </w:pPr>
  </w:style>
  <w:style w:type="character" w:styleId="HTML">
    <w:name w:val="HTML Cite"/>
    <w:basedOn w:val="a0"/>
    <w:uiPriority w:val="99"/>
    <w:semiHidden/>
    <w:unhideWhenUsed/>
    <w:rsid w:val="00EE387B"/>
    <w:rPr>
      <w:i/>
      <w:iCs/>
    </w:rPr>
  </w:style>
  <w:style w:type="character" w:customStyle="1" w:styleId="hps">
    <w:name w:val="hps"/>
    <w:basedOn w:val="a0"/>
    <w:rsid w:val="0088749D"/>
  </w:style>
  <w:style w:type="character" w:customStyle="1" w:styleId="atn">
    <w:name w:val="atn"/>
    <w:basedOn w:val="a0"/>
    <w:rsid w:val="0088749D"/>
  </w:style>
  <w:style w:type="character" w:customStyle="1" w:styleId="shorttext">
    <w:name w:val="short_text"/>
    <w:basedOn w:val="a0"/>
    <w:rsid w:val="00D87113"/>
  </w:style>
  <w:style w:type="paragraph" w:styleId="a8">
    <w:name w:val="Body Text"/>
    <w:basedOn w:val="a"/>
    <w:link w:val="a9"/>
    <w:rsid w:val="00935CDF"/>
    <w:pPr>
      <w:spacing w:after="120" w:line="240" w:lineRule="auto"/>
      <w:ind w:firstLine="0"/>
      <w:jc w:val="left"/>
    </w:pPr>
    <w:rPr>
      <w:sz w:val="24"/>
    </w:rPr>
  </w:style>
  <w:style w:type="character" w:customStyle="1" w:styleId="a9">
    <w:name w:val="Основной текст Знак"/>
    <w:basedOn w:val="a0"/>
    <w:link w:val="a8"/>
    <w:rsid w:val="00935CDF"/>
    <w:rPr>
      <w:rFonts w:eastAsia="Times New Roman"/>
      <w:sz w:val="24"/>
      <w:szCs w:val="24"/>
      <w:lang w:eastAsia="ru-RU"/>
    </w:rPr>
  </w:style>
  <w:style w:type="paragraph" w:styleId="aa">
    <w:name w:val="Body Text Indent"/>
    <w:basedOn w:val="a"/>
    <w:link w:val="ab"/>
    <w:uiPriority w:val="99"/>
    <w:semiHidden/>
    <w:unhideWhenUsed/>
    <w:rsid w:val="00935CDF"/>
    <w:pPr>
      <w:spacing w:after="120"/>
      <w:ind w:left="283"/>
    </w:pPr>
  </w:style>
  <w:style w:type="character" w:customStyle="1" w:styleId="ab">
    <w:name w:val="Основной текст с отступом Знак"/>
    <w:basedOn w:val="a0"/>
    <w:link w:val="aa"/>
    <w:uiPriority w:val="99"/>
    <w:semiHidden/>
    <w:rsid w:val="00935CDF"/>
    <w:rPr>
      <w:rFonts w:eastAsia="Times New Roman"/>
      <w:szCs w:val="24"/>
      <w:lang w:eastAsia="ru-RU"/>
    </w:rPr>
  </w:style>
  <w:style w:type="character" w:customStyle="1" w:styleId="spec1">
    <w:name w:val="spec1"/>
    <w:basedOn w:val="a0"/>
    <w:rsid w:val="00935CDF"/>
  </w:style>
</w:styles>
</file>

<file path=word/webSettings.xml><?xml version="1.0" encoding="utf-8"?>
<w:webSettings xmlns:r="http://schemas.openxmlformats.org/officeDocument/2006/relationships" xmlns:w="http://schemas.openxmlformats.org/wordprocessingml/2006/main">
  <w:divs>
    <w:div w:id="340668673">
      <w:bodyDiv w:val="1"/>
      <w:marLeft w:val="0"/>
      <w:marRight w:val="0"/>
      <w:marTop w:val="0"/>
      <w:marBottom w:val="0"/>
      <w:divBdr>
        <w:top w:val="none" w:sz="0" w:space="0" w:color="auto"/>
        <w:left w:val="none" w:sz="0" w:space="0" w:color="auto"/>
        <w:bottom w:val="none" w:sz="0" w:space="0" w:color="auto"/>
        <w:right w:val="none" w:sz="0" w:space="0" w:color="auto"/>
      </w:divBdr>
    </w:div>
    <w:div w:id="1722829115">
      <w:bodyDiv w:val="1"/>
      <w:marLeft w:val="0"/>
      <w:marRight w:val="0"/>
      <w:marTop w:val="0"/>
      <w:marBottom w:val="0"/>
      <w:divBdr>
        <w:top w:val="none" w:sz="0" w:space="0" w:color="auto"/>
        <w:left w:val="none" w:sz="0" w:space="0" w:color="auto"/>
        <w:bottom w:val="none" w:sz="0" w:space="0" w:color="auto"/>
        <w:right w:val="none" w:sz="0" w:space="0" w:color="auto"/>
      </w:divBdr>
      <w:divsChild>
        <w:div w:id="1773669933">
          <w:marLeft w:val="0"/>
          <w:marRight w:val="0"/>
          <w:marTop w:val="0"/>
          <w:marBottom w:val="0"/>
          <w:divBdr>
            <w:top w:val="none" w:sz="0" w:space="0" w:color="auto"/>
            <w:left w:val="none" w:sz="0" w:space="0" w:color="auto"/>
            <w:bottom w:val="none" w:sz="0" w:space="0" w:color="auto"/>
            <w:right w:val="none" w:sz="0" w:space="0" w:color="auto"/>
          </w:divBdr>
          <w:divsChild>
            <w:div w:id="1846044959">
              <w:marLeft w:val="0"/>
              <w:marRight w:val="0"/>
              <w:marTop w:val="0"/>
              <w:marBottom w:val="0"/>
              <w:divBdr>
                <w:top w:val="none" w:sz="0" w:space="0" w:color="auto"/>
                <w:left w:val="none" w:sz="0" w:space="0" w:color="auto"/>
                <w:bottom w:val="none" w:sz="0" w:space="0" w:color="auto"/>
                <w:right w:val="none" w:sz="0" w:space="0" w:color="auto"/>
              </w:divBdr>
              <w:divsChild>
                <w:div w:id="996231313">
                  <w:marLeft w:val="0"/>
                  <w:marRight w:val="0"/>
                  <w:marTop w:val="0"/>
                  <w:marBottom w:val="0"/>
                  <w:divBdr>
                    <w:top w:val="none" w:sz="0" w:space="0" w:color="auto"/>
                    <w:left w:val="none" w:sz="0" w:space="0" w:color="auto"/>
                    <w:bottom w:val="none" w:sz="0" w:space="0" w:color="auto"/>
                    <w:right w:val="none" w:sz="0" w:space="0" w:color="auto"/>
                  </w:divBdr>
                  <w:divsChild>
                    <w:div w:id="1729108825">
                      <w:marLeft w:val="0"/>
                      <w:marRight w:val="0"/>
                      <w:marTop w:val="0"/>
                      <w:marBottom w:val="0"/>
                      <w:divBdr>
                        <w:top w:val="none" w:sz="0" w:space="0" w:color="auto"/>
                        <w:left w:val="none" w:sz="0" w:space="0" w:color="auto"/>
                        <w:bottom w:val="none" w:sz="0" w:space="0" w:color="auto"/>
                        <w:right w:val="none" w:sz="0" w:space="0" w:color="auto"/>
                      </w:divBdr>
                      <w:divsChild>
                        <w:div w:id="137066917">
                          <w:marLeft w:val="0"/>
                          <w:marRight w:val="0"/>
                          <w:marTop w:val="0"/>
                          <w:marBottom w:val="0"/>
                          <w:divBdr>
                            <w:top w:val="none" w:sz="0" w:space="0" w:color="auto"/>
                            <w:left w:val="none" w:sz="0" w:space="0" w:color="auto"/>
                            <w:bottom w:val="none" w:sz="0" w:space="0" w:color="auto"/>
                            <w:right w:val="none" w:sz="0" w:space="0" w:color="auto"/>
                          </w:divBdr>
                          <w:divsChild>
                            <w:div w:id="1276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uba.edu.ua/doc/zbirnyk1/urss6_pdf/36-42.pdf" TargetMode="External"/><Relationship Id="rId3" Type="http://schemas.openxmlformats.org/officeDocument/2006/relationships/styles" Target="styles.xml"/><Relationship Id="rId7" Type="http://schemas.openxmlformats.org/officeDocument/2006/relationships/hyperlink" Target="http://www.riskmanagement.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nuba.edu.ua/doc/zbirnyk1/urss6_pdf/36-4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F623-433D-4727-B877-73130E0B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14670</Words>
  <Characters>8363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2</cp:revision>
  <dcterms:created xsi:type="dcterms:W3CDTF">2014-02-28T09:09:00Z</dcterms:created>
  <dcterms:modified xsi:type="dcterms:W3CDTF">2014-02-28T09:09:00Z</dcterms:modified>
</cp:coreProperties>
</file>