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BE" w:rsidRPr="003371CA" w:rsidRDefault="009F13BE" w:rsidP="00BF3665">
      <w:pPr>
        <w:tabs>
          <w:tab w:val="left" w:pos="0"/>
        </w:tabs>
        <w:spacing w:line="360" w:lineRule="auto"/>
        <w:ind w:firstLine="709"/>
        <w:contextualSpacing/>
        <w:rPr>
          <w:rFonts w:ascii="Times New Roman" w:hAnsi="Times New Roman" w:cs="Times New Roman"/>
          <w:sz w:val="28"/>
          <w:szCs w:val="28"/>
        </w:rPr>
      </w:pPr>
      <w:r w:rsidRPr="003371CA">
        <w:rPr>
          <w:rFonts w:ascii="Times New Roman" w:hAnsi="Times New Roman" w:cs="Times New Roman"/>
          <w:sz w:val="28"/>
          <w:szCs w:val="28"/>
          <w:lang w:val="ru-RU"/>
        </w:rPr>
        <w:t xml:space="preserve">УДК 338.439.5           </w:t>
      </w:r>
      <w:r w:rsidR="005A6030">
        <w:rPr>
          <w:rFonts w:ascii="Times New Roman" w:hAnsi="Times New Roman" w:cs="Times New Roman"/>
          <w:sz w:val="28"/>
          <w:szCs w:val="28"/>
          <w:lang w:val="ru-RU"/>
        </w:rPr>
        <w:t xml:space="preserve">                                  </w:t>
      </w:r>
      <w:r w:rsidR="00ED7CF4" w:rsidRPr="003371CA">
        <w:rPr>
          <w:rFonts w:ascii="Times New Roman" w:hAnsi="Times New Roman" w:cs="Times New Roman"/>
          <w:sz w:val="28"/>
          <w:szCs w:val="28"/>
          <w:lang w:val="ru-RU"/>
        </w:rPr>
        <w:t xml:space="preserve"> </w:t>
      </w:r>
    </w:p>
    <w:p w:rsidR="00BF3665" w:rsidRDefault="0009464D" w:rsidP="00BF3665">
      <w:pPr>
        <w:spacing w:line="360" w:lineRule="auto"/>
        <w:ind w:firstLine="709"/>
        <w:contextualSpacing/>
        <w:jc w:val="center"/>
        <w:rPr>
          <w:rFonts w:ascii="Times New Roman" w:hAnsi="Times New Roman" w:cs="Times New Roman"/>
          <w:b/>
          <w:sz w:val="28"/>
          <w:szCs w:val="28"/>
        </w:rPr>
      </w:pPr>
      <w:r w:rsidRPr="00BF3665">
        <w:rPr>
          <w:rFonts w:ascii="Times New Roman" w:hAnsi="Times New Roman" w:cs="Times New Roman"/>
          <w:b/>
          <w:sz w:val="28"/>
          <w:szCs w:val="28"/>
        </w:rPr>
        <w:t>ЦІНОВИЙ МЕХАНІЗМ РЕГУЛЮВАННЯ РОЗВИТКУ АГРАРНОГО</w:t>
      </w:r>
      <w:r w:rsidR="00BF3665" w:rsidRPr="00BF3665">
        <w:rPr>
          <w:rFonts w:ascii="Times New Roman" w:hAnsi="Times New Roman" w:cs="Times New Roman"/>
          <w:b/>
          <w:sz w:val="28"/>
          <w:szCs w:val="28"/>
        </w:rPr>
        <w:t xml:space="preserve"> РИНКУ УКРАЇНИ (ТЕОРІЯ І ПРАКТИКА)</w:t>
      </w:r>
    </w:p>
    <w:p w:rsidR="00BF3665" w:rsidRPr="0080779D" w:rsidRDefault="00BF3665" w:rsidP="00BF3665">
      <w:pPr>
        <w:spacing w:line="360" w:lineRule="auto"/>
        <w:ind w:firstLine="709"/>
        <w:contextualSpacing/>
        <w:jc w:val="center"/>
        <w:rPr>
          <w:rFonts w:ascii="Times New Roman" w:hAnsi="Times New Roman" w:cs="Times New Roman"/>
          <w:b/>
          <w:i/>
          <w:sz w:val="28"/>
          <w:szCs w:val="28"/>
        </w:rPr>
      </w:pPr>
      <w:r w:rsidRPr="0080779D">
        <w:rPr>
          <w:rFonts w:ascii="Times New Roman" w:hAnsi="Times New Roman" w:cs="Times New Roman"/>
          <w:b/>
          <w:i/>
          <w:sz w:val="28"/>
          <w:szCs w:val="28"/>
        </w:rPr>
        <w:t xml:space="preserve">І. П. Хомин, к.е.н., З. І. Кривий, викладач </w:t>
      </w:r>
    </w:p>
    <w:p w:rsidR="00BF3665" w:rsidRPr="00BF3665" w:rsidRDefault="00BF3665" w:rsidP="00BF3665">
      <w:pPr>
        <w:spacing w:line="360" w:lineRule="auto"/>
        <w:ind w:firstLine="709"/>
        <w:contextualSpacing/>
        <w:jc w:val="center"/>
        <w:rPr>
          <w:rFonts w:ascii="Times New Roman" w:hAnsi="Times New Roman" w:cs="Times New Roman"/>
          <w:b/>
          <w:i/>
          <w:sz w:val="28"/>
          <w:szCs w:val="28"/>
        </w:rPr>
      </w:pPr>
      <w:r w:rsidRPr="00BF3665">
        <w:rPr>
          <w:rFonts w:ascii="Times New Roman" w:hAnsi="Times New Roman" w:cs="Times New Roman"/>
          <w:b/>
          <w:i/>
          <w:sz w:val="28"/>
          <w:szCs w:val="28"/>
        </w:rPr>
        <w:t xml:space="preserve">Тернопільський національний </w:t>
      </w:r>
    </w:p>
    <w:p w:rsidR="00BF3665" w:rsidRPr="00BF3665" w:rsidRDefault="00BF3665" w:rsidP="0080779D">
      <w:pPr>
        <w:spacing w:line="360" w:lineRule="auto"/>
        <w:ind w:firstLine="709"/>
        <w:contextualSpacing/>
        <w:jc w:val="center"/>
        <w:rPr>
          <w:rFonts w:ascii="Times New Roman" w:hAnsi="Times New Roman" w:cs="Times New Roman"/>
          <w:b/>
          <w:i/>
          <w:sz w:val="28"/>
          <w:szCs w:val="28"/>
        </w:rPr>
      </w:pPr>
      <w:r w:rsidRPr="00BF3665">
        <w:rPr>
          <w:rFonts w:ascii="Times New Roman" w:hAnsi="Times New Roman" w:cs="Times New Roman"/>
          <w:b/>
          <w:i/>
          <w:sz w:val="28"/>
          <w:szCs w:val="28"/>
        </w:rPr>
        <w:t>економічний університет</w:t>
      </w:r>
    </w:p>
    <w:p w:rsidR="009F13BE" w:rsidRPr="003371CA" w:rsidRDefault="009F13BE" w:rsidP="003371CA">
      <w:pPr>
        <w:spacing w:line="360" w:lineRule="auto"/>
        <w:ind w:firstLine="709"/>
        <w:contextualSpacing/>
        <w:jc w:val="both"/>
        <w:rPr>
          <w:rFonts w:ascii="Times New Roman" w:hAnsi="Times New Roman" w:cs="Times New Roman"/>
          <w:i/>
          <w:sz w:val="28"/>
          <w:szCs w:val="28"/>
        </w:rPr>
      </w:pPr>
      <w:r w:rsidRPr="003371CA">
        <w:rPr>
          <w:rFonts w:ascii="Times New Roman" w:hAnsi="Times New Roman" w:cs="Times New Roman"/>
          <w:i/>
          <w:sz w:val="28"/>
          <w:szCs w:val="28"/>
        </w:rPr>
        <w:t xml:space="preserve">У статті обґрунтовуються шляхи удосконалення </w:t>
      </w:r>
      <w:r w:rsidR="00BF3665">
        <w:rPr>
          <w:rFonts w:ascii="Times New Roman" w:hAnsi="Times New Roman" w:cs="Times New Roman"/>
          <w:i/>
          <w:sz w:val="28"/>
          <w:szCs w:val="28"/>
        </w:rPr>
        <w:t>цін</w:t>
      </w:r>
      <w:r w:rsidRPr="003371CA">
        <w:rPr>
          <w:rFonts w:ascii="Times New Roman" w:hAnsi="Times New Roman" w:cs="Times New Roman"/>
          <w:i/>
          <w:sz w:val="28"/>
          <w:szCs w:val="28"/>
        </w:rPr>
        <w:t xml:space="preserve">ового </w:t>
      </w:r>
      <w:r w:rsidR="00BF3665">
        <w:rPr>
          <w:rFonts w:ascii="Times New Roman" w:hAnsi="Times New Roman" w:cs="Times New Roman"/>
          <w:i/>
          <w:sz w:val="28"/>
          <w:szCs w:val="28"/>
        </w:rPr>
        <w:t xml:space="preserve">механізму </w:t>
      </w:r>
      <w:r w:rsidRPr="003371CA">
        <w:rPr>
          <w:rFonts w:ascii="Times New Roman" w:hAnsi="Times New Roman" w:cs="Times New Roman"/>
          <w:i/>
          <w:sz w:val="28"/>
          <w:szCs w:val="28"/>
        </w:rPr>
        <w:t xml:space="preserve">регулювання </w:t>
      </w:r>
      <w:r w:rsidR="00BF3665">
        <w:rPr>
          <w:rFonts w:ascii="Times New Roman" w:hAnsi="Times New Roman" w:cs="Times New Roman"/>
          <w:i/>
          <w:sz w:val="28"/>
          <w:szCs w:val="28"/>
        </w:rPr>
        <w:t>розвитку аграрного ринку України</w:t>
      </w:r>
      <w:r w:rsidRPr="003371CA">
        <w:rPr>
          <w:rFonts w:ascii="Times New Roman" w:hAnsi="Times New Roman" w:cs="Times New Roman"/>
          <w:i/>
          <w:sz w:val="28"/>
          <w:szCs w:val="28"/>
        </w:rPr>
        <w:t>.</w:t>
      </w:r>
    </w:p>
    <w:p w:rsidR="00590A44" w:rsidRPr="0080779D" w:rsidRDefault="00BF3665" w:rsidP="0080779D">
      <w:pPr>
        <w:spacing w:line="360" w:lineRule="auto"/>
        <w:ind w:firstLine="709"/>
        <w:contextualSpacing/>
        <w:jc w:val="both"/>
        <w:rPr>
          <w:rFonts w:ascii="Times New Roman" w:hAnsi="Times New Roman" w:cs="Times New Roman"/>
          <w:b/>
          <w:sz w:val="28"/>
          <w:szCs w:val="28"/>
        </w:rPr>
      </w:pPr>
      <w:r w:rsidRPr="00BF3665">
        <w:rPr>
          <w:rFonts w:ascii="Times New Roman" w:hAnsi="Times New Roman" w:cs="Times New Roman"/>
          <w:i/>
          <w:sz w:val="28"/>
          <w:szCs w:val="28"/>
        </w:rPr>
        <w:t>The paper justified the ways of improving price regulation mechanism of the agricultural market of Ukraine.</w:t>
      </w:r>
    </w:p>
    <w:p w:rsidR="009F13BE" w:rsidRPr="00590A44" w:rsidRDefault="00590A44" w:rsidP="003371CA">
      <w:pPr>
        <w:spacing w:line="360" w:lineRule="auto"/>
        <w:ind w:firstLine="709"/>
        <w:contextualSpacing/>
        <w:jc w:val="center"/>
        <w:rPr>
          <w:rFonts w:ascii="Times New Roman" w:hAnsi="Times New Roman" w:cs="Times New Roman"/>
          <w:b/>
          <w:sz w:val="28"/>
          <w:szCs w:val="28"/>
        </w:rPr>
      </w:pPr>
      <w:r w:rsidRPr="00590A44">
        <w:rPr>
          <w:rFonts w:ascii="Times New Roman" w:hAnsi="Times New Roman" w:cs="Times New Roman"/>
          <w:b/>
          <w:sz w:val="28"/>
          <w:szCs w:val="28"/>
        </w:rPr>
        <w:t>Постановка проблеми</w:t>
      </w:r>
      <w:r w:rsidR="009F13BE" w:rsidRPr="00590A44">
        <w:rPr>
          <w:rFonts w:ascii="Times New Roman" w:hAnsi="Times New Roman" w:cs="Times New Roman"/>
          <w:b/>
          <w:sz w:val="28"/>
          <w:szCs w:val="28"/>
        </w:rPr>
        <w:t xml:space="preserve"> </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Не дивлячись на те, що вітчизняна економіка відійшла від адміністративно-командних методів ціноутворення – основної причини того, що навіть при значному зростанні доходів населення, яке спостерігалось у кінці 80-90 рр. ХХ ст., попит на більшість товарів не задовольнявся, а стосовно деяких продовольчих перманентним був наростаючий дефіцит, перехід до фінансової концепції регулювання цін окресленої проблеми не вирішив.</w:t>
      </w:r>
    </w:p>
    <w:p w:rsidR="00590A44" w:rsidRDefault="009F13BE" w:rsidP="0080779D">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Отож, зважаючи на те, що попри значне непропорційне щодо заробітної плати основних верств населення зростання цін, дійсний попит на продовольство не тільки не забезпечується, а навпаки, його споживання у розрахунку на одну особу за більшістю видів стало меншим від рівня 1990 р., проблемою, яка має певне наукове і практичне значення, є дослідження причин такої невідповідності й ролі в ньому ціноутворення.</w:t>
      </w:r>
    </w:p>
    <w:p w:rsidR="009F13BE" w:rsidRPr="00590A44" w:rsidRDefault="00590A44" w:rsidP="00590A44">
      <w:pPr>
        <w:spacing w:line="360" w:lineRule="auto"/>
        <w:ind w:firstLine="709"/>
        <w:contextualSpacing/>
        <w:jc w:val="center"/>
        <w:rPr>
          <w:rFonts w:ascii="Times New Roman" w:hAnsi="Times New Roman" w:cs="Times New Roman"/>
          <w:b/>
          <w:sz w:val="28"/>
          <w:szCs w:val="28"/>
        </w:rPr>
      </w:pPr>
      <w:r w:rsidRPr="00590A44">
        <w:rPr>
          <w:rFonts w:ascii="Times New Roman" w:hAnsi="Times New Roman" w:cs="Times New Roman"/>
          <w:b/>
          <w:sz w:val="28"/>
          <w:szCs w:val="28"/>
        </w:rPr>
        <w:t>Аналіз досліджень і публікацій</w:t>
      </w:r>
    </w:p>
    <w:p w:rsidR="00590A44" w:rsidRDefault="009F13BE" w:rsidP="0080779D">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Аналіз публікаці</w:t>
      </w:r>
      <w:r w:rsidR="00BC2085">
        <w:rPr>
          <w:rFonts w:ascii="Times New Roman" w:hAnsi="Times New Roman" w:cs="Times New Roman"/>
          <w:sz w:val="28"/>
          <w:szCs w:val="28"/>
        </w:rPr>
        <w:t>й засвідчує: хоч від А. Сміта [</w:t>
      </w:r>
      <w:r w:rsidR="00BC2085" w:rsidRPr="00BC2085">
        <w:rPr>
          <w:rFonts w:ascii="Times New Roman" w:hAnsi="Times New Roman" w:cs="Times New Roman"/>
          <w:sz w:val="28"/>
          <w:szCs w:val="28"/>
        </w:rPr>
        <w:t>1</w:t>
      </w:r>
      <w:r w:rsidR="00BC2085">
        <w:rPr>
          <w:rFonts w:ascii="Times New Roman" w:hAnsi="Times New Roman" w:cs="Times New Roman"/>
          <w:sz w:val="28"/>
          <w:szCs w:val="28"/>
        </w:rPr>
        <w:t>], Д. Рікардо [</w:t>
      </w:r>
      <w:r w:rsidR="00BC2085" w:rsidRPr="00BC2085">
        <w:rPr>
          <w:rFonts w:ascii="Times New Roman" w:hAnsi="Times New Roman" w:cs="Times New Roman"/>
          <w:sz w:val="28"/>
          <w:szCs w:val="28"/>
        </w:rPr>
        <w:t>2</w:t>
      </w:r>
      <w:r w:rsidR="00BC2085">
        <w:rPr>
          <w:rFonts w:ascii="Times New Roman" w:hAnsi="Times New Roman" w:cs="Times New Roman"/>
          <w:sz w:val="28"/>
          <w:szCs w:val="28"/>
        </w:rPr>
        <w:t>], К. Маркса [</w:t>
      </w:r>
      <w:r w:rsidR="00BC2085" w:rsidRPr="00417383">
        <w:rPr>
          <w:rFonts w:ascii="Times New Roman" w:hAnsi="Times New Roman" w:cs="Times New Roman"/>
          <w:sz w:val="28"/>
          <w:szCs w:val="28"/>
        </w:rPr>
        <w:t>3</w:t>
      </w:r>
      <w:r w:rsidRPr="003371CA">
        <w:rPr>
          <w:rFonts w:ascii="Times New Roman" w:hAnsi="Times New Roman" w:cs="Times New Roman"/>
          <w:sz w:val="28"/>
          <w:szCs w:val="28"/>
        </w:rPr>
        <w:t xml:space="preserve">], Дж. Мілля [4] і до сучасних учених проблема ціноутворення на товари, в тому числі й продовольчі, була й залишається стрижневою в економічних дослідженнях, доводиться констатувати, вслід за Дж. </w:t>
      </w:r>
      <w:r w:rsidRPr="003371CA">
        <w:rPr>
          <w:rFonts w:ascii="Times New Roman" w:hAnsi="Times New Roman" w:cs="Times New Roman"/>
          <w:sz w:val="28"/>
          <w:szCs w:val="28"/>
        </w:rPr>
        <w:lastRenderedPageBreak/>
        <w:t>Гелбрейтом</w:t>
      </w:r>
      <w:r w:rsidRPr="003371CA">
        <w:rPr>
          <w:rStyle w:val="a6"/>
          <w:rFonts w:ascii="Times New Roman" w:hAnsi="Times New Roman" w:cs="Times New Roman"/>
          <w:sz w:val="28"/>
          <w:szCs w:val="28"/>
        </w:rPr>
        <w:footnoteReference w:id="2"/>
      </w:r>
      <w:r w:rsidRPr="003371CA">
        <w:rPr>
          <w:rFonts w:ascii="Times New Roman" w:hAnsi="Times New Roman" w:cs="Times New Roman"/>
          <w:sz w:val="28"/>
          <w:szCs w:val="28"/>
        </w:rPr>
        <w:t>: „Ні в одному іншому розділі настільки не очевидні протиріччя, ніде логічні неув’язки не викликають такої нудьги, як у теорії цін ..., і ні в одному з інших розділів перевірка фактами виявляється настільки плодотворною для ви</w:t>
      </w:r>
      <w:r w:rsidR="00590A44">
        <w:rPr>
          <w:rFonts w:ascii="Times New Roman" w:hAnsi="Times New Roman" w:cs="Times New Roman"/>
          <w:sz w:val="28"/>
          <w:szCs w:val="28"/>
        </w:rPr>
        <w:t>яснення істини” [5</w:t>
      </w:r>
      <w:r w:rsidRPr="003371CA">
        <w:rPr>
          <w:rFonts w:ascii="Times New Roman" w:hAnsi="Times New Roman" w:cs="Times New Roman"/>
          <w:sz w:val="28"/>
          <w:szCs w:val="28"/>
        </w:rPr>
        <w:t>, 162].</w:t>
      </w:r>
    </w:p>
    <w:p w:rsidR="00590A44" w:rsidRPr="00590A44" w:rsidRDefault="0080779D" w:rsidP="00590A44">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590A44" w:rsidRPr="00590A44">
        <w:rPr>
          <w:rFonts w:ascii="Times New Roman" w:hAnsi="Times New Roman" w:cs="Times New Roman"/>
          <w:b/>
          <w:sz w:val="28"/>
          <w:szCs w:val="28"/>
        </w:rPr>
        <w:t>Мета статті (постановка завдання)</w:t>
      </w:r>
    </w:p>
    <w:p w:rsidR="009F13BE" w:rsidRPr="0080779D" w:rsidRDefault="009F13BE" w:rsidP="0080779D">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Прагнення здійснити „перевірку фактами” причин того, що на практиці виникли розбіжності між теоретичними канонами щодо формування цін у ринковій економіці і їх</w:t>
      </w:r>
      <w:r w:rsidR="00E12E61">
        <w:rPr>
          <w:rFonts w:ascii="Times New Roman" w:hAnsi="Times New Roman" w:cs="Times New Roman"/>
          <w:sz w:val="28"/>
          <w:szCs w:val="28"/>
        </w:rPr>
        <w:t>німи</w:t>
      </w:r>
      <w:r w:rsidRPr="003371CA">
        <w:rPr>
          <w:rFonts w:ascii="Times New Roman" w:hAnsi="Times New Roman" w:cs="Times New Roman"/>
          <w:sz w:val="28"/>
          <w:szCs w:val="28"/>
        </w:rPr>
        <w:t xml:space="preserve"> фактичними значеннями на продовольчі товари, обумовило мету даної статті та визначило її завдання як аналіз фактографічного матеріалу про показники, що є системоутворю</w:t>
      </w:r>
      <w:r w:rsidRPr="00E12E61">
        <w:rPr>
          <w:rFonts w:ascii="Times New Roman" w:hAnsi="Times New Roman" w:cs="Times New Roman"/>
          <w:sz w:val="28"/>
          <w:szCs w:val="28"/>
        </w:rPr>
        <w:t>ю</w:t>
      </w:r>
      <w:r w:rsidRPr="003371CA">
        <w:rPr>
          <w:rFonts w:ascii="Times New Roman" w:hAnsi="Times New Roman" w:cs="Times New Roman"/>
          <w:sz w:val="28"/>
          <w:szCs w:val="28"/>
        </w:rPr>
        <w:t>чими у цін</w:t>
      </w:r>
      <w:r w:rsidR="00E12E61">
        <w:rPr>
          <w:rFonts w:ascii="Times New Roman" w:hAnsi="Times New Roman" w:cs="Times New Roman"/>
          <w:sz w:val="28"/>
          <w:szCs w:val="28"/>
        </w:rPr>
        <w:t>оутворенні</w:t>
      </w:r>
      <w:r w:rsidRPr="003371CA">
        <w:rPr>
          <w:rFonts w:ascii="Times New Roman" w:hAnsi="Times New Roman" w:cs="Times New Roman"/>
          <w:sz w:val="28"/>
          <w:szCs w:val="28"/>
        </w:rPr>
        <w:t xml:space="preserve"> на продовольчому ринку.</w:t>
      </w:r>
    </w:p>
    <w:p w:rsidR="009F13BE" w:rsidRPr="003371CA" w:rsidRDefault="00E12E61" w:rsidP="0080779D">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Виклад основного матеріалу</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Теорія ціноутворення в індустріальному суспільстві ґрунтується на сучасних відмінностях ринку від того періоду – початку ХХІ ст. – коли А. Маршалл обґрунтував свій знаменитий „хрест” як точки перетину кривих, що описують взаємодію пропозиції й попиту, у якій виникає їх</w:t>
      </w:r>
      <w:r w:rsidR="00E12E61">
        <w:rPr>
          <w:rFonts w:ascii="Times New Roman" w:hAnsi="Times New Roman" w:cs="Times New Roman"/>
          <w:sz w:val="28"/>
          <w:szCs w:val="28"/>
        </w:rPr>
        <w:t>ня</w:t>
      </w:r>
      <w:r w:rsidRPr="003371CA">
        <w:rPr>
          <w:rFonts w:ascii="Times New Roman" w:hAnsi="Times New Roman" w:cs="Times New Roman"/>
          <w:sz w:val="28"/>
          <w:szCs w:val="28"/>
        </w:rPr>
        <w:t xml:space="preserve"> рівновага, тобто ціна по</w:t>
      </w:r>
      <w:r w:rsidR="00E12E61">
        <w:rPr>
          <w:rFonts w:ascii="Times New Roman" w:hAnsi="Times New Roman" w:cs="Times New Roman"/>
          <w:sz w:val="28"/>
          <w:szCs w:val="28"/>
        </w:rPr>
        <w:t>питу дорівнює ціні пропозиції [6</w:t>
      </w:r>
      <w:r w:rsidRPr="003371CA">
        <w:rPr>
          <w:rFonts w:ascii="Times New Roman" w:hAnsi="Times New Roman" w:cs="Times New Roman"/>
          <w:sz w:val="28"/>
          <w:szCs w:val="28"/>
        </w:rPr>
        <w:t xml:space="preserve">, 354-355]. Адже на відміну від згаданого періоду, в якому на ринку діяло багато дрібних фірм, і таке ідеальне співвідношення могло виникати спонтанно, бо сила впливу кожної з них на </w:t>
      </w:r>
      <w:r w:rsidR="00E12E61">
        <w:rPr>
          <w:rFonts w:ascii="Times New Roman" w:hAnsi="Times New Roman" w:cs="Times New Roman"/>
          <w:sz w:val="28"/>
          <w:szCs w:val="28"/>
        </w:rPr>
        <w:t>ринок, як зауважив Дж. Гелбрейт, на типовому</w:t>
      </w:r>
      <w:r w:rsidRPr="003371CA">
        <w:rPr>
          <w:rFonts w:ascii="Times New Roman" w:hAnsi="Times New Roman" w:cs="Times New Roman"/>
          <w:sz w:val="28"/>
          <w:szCs w:val="28"/>
        </w:rPr>
        <w:t xml:space="preserve"> ринку індустріальної системи існує тільки жменька продавців. Зокрема, у США внутрішній ринок автомобілів поділений між чотирма фірмами, причому три панують на ньому. Такою ж є кількість пануючих фірм на ринку первинного алюмінію, міді, гуми, сигарет, мила та миючих засобів, віскі, важких електроприводів, конструкційної сталі, жерстяних банок, електронних обчислювальних пристосувань, авіаційних моторів, цукру, сухого печива, чавуну, заліза, жерсті, вантажних автомобілів і розмаїття інших товарів. Тобто, ринок є олігопольним [</w:t>
      </w:r>
      <w:r w:rsidR="00E12E61">
        <w:rPr>
          <w:rFonts w:ascii="Times New Roman" w:hAnsi="Times New Roman" w:cs="Times New Roman"/>
          <w:sz w:val="28"/>
          <w:szCs w:val="28"/>
        </w:rPr>
        <w:t>5</w:t>
      </w:r>
      <w:r w:rsidRPr="003371CA">
        <w:rPr>
          <w:rFonts w:ascii="Times New Roman" w:hAnsi="Times New Roman" w:cs="Times New Roman"/>
          <w:sz w:val="28"/>
          <w:szCs w:val="28"/>
        </w:rPr>
        <w:t>, 163].</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lastRenderedPageBreak/>
        <w:t>Стосовно вітчизняного ринку промислової продукції, на наш погляд, можна стверджувати те саме, звісно з поправкою на рівень як обсягів виробництва, так і його концентрації. При цьому найбільш дотичним до теми статті є становище на ринку сільськогосподарської техніки, нафтопродуктів, міндобрив, засобів захисту рослин, де ситуація щодо цін складаєть</w:t>
      </w:r>
      <w:r w:rsidR="00E12E61">
        <w:rPr>
          <w:rFonts w:ascii="Times New Roman" w:hAnsi="Times New Roman" w:cs="Times New Roman"/>
          <w:sz w:val="28"/>
          <w:szCs w:val="28"/>
        </w:rPr>
        <w:t>ся незмінно упродовж 1991 – 2011</w:t>
      </w:r>
      <w:r w:rsidRPr="003371CA">
        <w:rPr>
          <w:rFonts w:ascii="Times New Roman" w:hAnsi="Times New Roman" w:cs="Times New Roman"/>
          <w:sz w:val="28"/>
          <w:szCs w:val="28"/>
        </w:rPr>
        <w:t xml:space="preserve"> рр. цілком у відповідності з висновком цього вченого щодо США: „Коли говорять про олігополіста, мається на увазі, що при встановленні цін він почасти користується владою, властивою монополії, і почасти відчуває обмеження, що накладаються конкуренцією, ... можлива, хоч і рідко, таємна змова з метою встановлення ціни, найбільш під</w:t>
      </w:r>
      <w:r w:rsidR="00E12E61">
        <w:rPr>
          <w:rFonts w:ascii="Times New Roman" w:hAnsi="Times New Roman" w:cs="Times New Roman"/>
          <w:sz w:val="28"/>
          <w:szCs w:val="28"/>
        </w:rPr>
        <w:t>ходящої для всіх фірм галузі” [5</w:t>
      </w:r>
      <w:r w:rsidRPr="003371CA">
        <w:rPr>
          <w:rFonts w:ascii="Times New Roman" w:hAnsi="Times New Roman" w:cs="Times New Roman"/>
          <w:sz w:val="28"/>
          <w:szCs w:val="28"/>
        </w:rPr>
        <w:t>, 163].</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У той же час ситуація на ринку сільськогосподарської продукції продовжує залишатись такою, якою вона була у країнах ринкової економіки на початку ХХ ст.: ні окрема особа, ні підприємство не мають сили для того, аби здійснювати вплив на відповідний ринок сировини для переробної промисловості. Але вже на ринку продовольства становище є кардинально протилежним (табл. 1).</w:t>
      </w:r>
    </w:p>
    <w:p w:rsidR="009F13BE" w:rsidRPr="003371CA" w:rsidRDefault="009F13BE" w:rsidP="003371CA">
      <w:pPr>
        <w:spacing w:line="360" w:lineRule="auto"/>
        <w:ind w:firstLine="709"/>
        <w:contextualSpacing/>
        <w:jc w:val="right"/>
        <w:rPr>
          <w:rFonts w:ascii="Times New Roman" w:hAnsi="Times New Roman" w:cs="Times New Roman"/>
          <w:i/>
          <w:sz w:val="28"/>
          <w:szCs w:val="28"/>
        </w:rPr>
      </w:pPr>
      <w:r w:rsidRPr="003371CA">
        <w:rPr>
          <w:rFonts w:ascii="Times New Roman" w:hAnsi="Times New Roman" w:cs="Times New Roman"/>
          <w:i/>
          <w:sz w:val="28"/>
          <w:szCs w:val="28"/>
        </w:rPr>
        <w:t>Таблиця 1</w:t>
      </w:r>
    </w:p>
    <w:p w:rsidR="009F13BE" w:rsidRPr="003371CA" w:rsidRDefault="009F13BE" w:rsidP="00676B96">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 xml:space="preserve">Порівняння динаміки цін на сільськогосподарську продукцію, </w:t>
      </w:r>
    </w:p>
    <w:p w:rsidR="009F13BE" w:rsidRPr="003371CA" w:rsidRDefault="009F13BE" w:rsidP="00676B96">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 xml:space="preserve">продовольство та матеріально-технічні ресурси </w:t>
      </w:r>
    </w:p>
    <w:p w:rsidR="009F13BE" w:rsidRDefault="009F13BE" w:rsidP="00676B96">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за 2000-2011 роки (відсотків до попереднього року)</w:t>
      </w:r>
    </w:p>
    <w:p w:rsidR="0080779D" w:rsidRPr="003371CA" w:rsidRDefault="0080779D" w:rsidP="0080779D">
      <w:pPr>
        <w:spacing w:line="240" w:lineRule="auto"/>
        <w:ind w:firstLine="709"/>
        <w:contextualSpacing/>
        <w:jc w:val="center"/>
        <w:rPr>
          <w:rFonts w:ascii="Times New Roman" w:hAnsi="Times New Roman" w:cs="Times New Roman"/>
          <w:sz w:val="28"/>
          <w:szCs w:val="28"/>
        </w:rPr>
      </w:pPr>
    </w:p>
    <w:tbl>
      <w:tblPr>
        <w:tblStyle w:val="a3"/>
        <w:tblW w:w="9595" w:type="dxa"/>
        <w:tblLook w:val="01E0"/>
      </w:tblPr>
      <w:tblGrid>
        <w:gridCol w:w="2577"/>
        <w:gridCol w:w="749"/>
        <w:gridCol w:w="749"/>
        <w:gridCol w:w="749"/>
        <w:gridCol w:w="749"/>
        <w:gridCol w:w="749"/>
        <w:gridCol w:w="749"/>
        <w:gridCol w:w="749"/>
        <w:gridCol w:w="749"/>
        <w:gridCol w:w="1026"/>
      </w:tblGrid>
      <w:tr w:rsidR="0097090D" w:rsidRPr="003371CA" w:rsidTr="00F013F0">
        <w:tc>
          <w:tcPr>
            <w:tcW w:w="2577" w:type="dxa"/>
            <w:vMerge w:val="restart"/>
            <w:vAlign w:val="center"/>
          </w:tcPr>
          <w:p w:rsidR="0097090D" w:rsidRPr="003371CA" w:rsidRDefault="0097090D" w:rsidP="0097090D">
            <w:pPr>
              <w:ind w:left="-142" w:right="-127"/>
              <w:contextualSpacing/>
              <w:jc w:val="center"/>
              <w:rPr>
                <w:sz w:val="24"/>
                <w:szCs w:val="24"/>
              </w:rPr>
            </w:pPr>
            <w:r w:rsidRPr="003371CA">
              <w:rPr>
                <w:sz w:val="24"/>
                <w:szCs w:val="24"/>
              </w:rPr>
              <w:t>Індекси цін реалізації</w:t>
            </w:r>
          </w:p>
        </w:tc>
        <w:tc>
          <w:tcPr>
            <w:tcW w:w="7013" w:type="dxa"/>
            <w:gridSpan w:val="9"/>
            <w:vAlign w:val="center"/>
          </w:tcPr>
          <w:p w:rsidR="0097090D" w:rsidRPr="003371CA" w:rsidRDefault="0097090D" w:rsidP="003371CA">
            <w:pPr>
              <w:ind w:firstLine="709"/>
              <w:contextualSpacing/>
              <w:jc w:val="center"/>
              <w:rPr>
                <w:sz w:val="24"/>
                <w:szCs w:val="24"/>
              </w:rPr>
            </w:pPr>
            <w:r w:rsidRPr="003371CA">
              <w:rPr>
                <w:sz w:val="24"/>
                <w:szCs w:val="24"/>
              </w:rPr>
              <w:t>Роки</w:t>
            </w:r>
          </w:p>
        </w:tc>
      </w:tr>
      <w:tr w:rsidR="003371CA" w:rsidRPr="003371CA" w:rsidTr="00A16C10">
        <w:tc>
          <w:tcPr>
            <w:tcW w:w="2577" w:type="dxa"/>
            <w:vMerge/>
            <w:vAlign w:val="center"/>
          </w:tcPr>
          <w:p w:rsidR="009F13BE" w:rsidRPr="003371CA" w:rsidRDefault="009F13BE" w:rsidP="0097090D">
            <w:pPr>
              <w:ind w:left="-142" w:right="-127"/>
              <w:contextualSpacing/>
              <w:jc w:val="center"/>
              <w:rPr>
                <w:sz w:val="24"/>
                <w:szCs w:val="24"/>
              </w:rPr>
            </w:pP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2000</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2005</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2006</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2007</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2008</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2009</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2010</w:t>
            </w:r>
          </w:p>
        </w:tc>
        <w:tc>
          <w:tcPr>
            <w:tcW w:w="749" w:type="dxa"/>
            <w:vAlign w:val="center"/>
          </w:tcPr>
          <w:p w:rsidR="009F13BE" w:rsidRPr="003371CA" w:rsidRDefault="009F13BE" w:rsidP="00A16C10">
            <w:pPr>
              <w:ind w:left="-263" w:right="-53"/>
              <w:contextualSpacing/>
              <w:jc w:val="center"/>
              <w:rPr>
                <w:sz w:val="24"/>
                <w:szCs w:val="24"/>
              </w:rPr>
            </w:pPr>
            <w:r w:rsidRPr="003371CA">
              <w:rPr>
                <w:sz w:val="24"/>
                <w:szCs w:val="24"/>
              </w:rPr>
              <w:t>2011</w:t>
            </w:r>
          </w:p>
        </w:tc>
        <w:tc>
          <w:tcPr>
            <w:tcW w:w="1026" w:type="dxa"/>
            <w:vAlign w:val="center"/>
          </w:tcPr>
          <w:p w:rsidR="009F13BE" w:rsidRPr="003371CA" w:rsidRDefault="009F13BE" w:rsidP="0097090D">
            <w:pPr>
              <w:ind w:right="-53"/>
              <w:contextualSpacing/>
              <w:rPr>
                <w:sz w:val="24"/>
                <w:szCs w:val="24"/>
              </w:rPr>
            </w:pPr>
            <w:r w:rsidRPr="003371CA">
              <w:rPr>
                <w:sz w:val="24"/>
                <w:szCs w:val="24"/>
              </w:rPr>
              <w:t>Кумуля</w:t>
            </w:r>
            <w:r w:rsidR="0097090D">
              <w:rPr>
                <w:sz w:val="24"/>
                <w:szCs w:val="24"/>
              </w:rPr>
              <w:t>-</w:t>
            </w:r>
          </w:p>
          <w:p w:rsidR="009F13BE" w:rsidRPr="003371CA" w:rsidRDefault="009F13BE" w:rsidP="0097090D">
            <w:pPr>
              <w:ind w:right="-53"/>
              <w:contextualSpacing/>
              <w:rPr>
                <w:sz w:val="24"/>
                <w:szCs w:val="24"/>
              </w:rPr>
            </w:pPr>
            <w:r w:rsidRPr="003371CA">
              <w:rPr>
                <w:sz w:val="24"/>
                <w:szCs w:val="24"/>
              </w:rPr>
              <w:t>тивний індекс</w:t>
            </w:r>
          </w:p>
          <w:p w:rsidR="009F13BE" w:rsidRPr="003371CA" w:rsidRDefault="009F13BE" w:rsidP="0097090D">
            <w:pPr>
              <w:ind w:right="-53"/>
              <w:contextualSpacing/>
              <w:rPr>
                <w:sz w:val="24"/>
                <w:szCs w:val="24"/>
              </w:rPr>
            </w:pPr>
            <w:r w:rsidRPr="003371CA">
              <w:rPr>
                <w:sz w:val="24"/>
                <w:szCs w:val="24"/>
              </w:rPr>
              <w:t>2005-2011 р.</w:t>
            </w:r>
          </w:p>
        </w:tc>
      </w:tr>
      <w:tr w:rsidR="00F013F0" w:rsidRPr="003371CA" w:rsidTr="00F013F0">
        <w:tc>
          <w:tcPr>
            <w:tcW w:w="2577" w:type="dxa"/>
            <w:vAlign w:val="center"/>
          </w:tcPr>
          <w:p w:rsidR="009F13BE" w:rsidRPr="003371CA" w:rsidRDefault="009F13BE" w:rsidP="0097090D">
            <w:pPr>
              <w:ind w:left="-142" w:right="-127"/>
              <w:contextualSpacing/>
              <w:jc w:val="center"/>
              <w:rPr>
                <w:sz w:val="24"/>
                <w:szCs w:val="24"/>
              </w:rPr>
            </w:pPr>
            <w:r w:rsidRPr="003371CA">
              <w:rPr>
                <w:sz w:val="24"/>
                <w:szCs w:val="24"/>
              </w:rPr>
              <w:t>Сільськогосподарської продукції</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155,8</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108,1</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102,4</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138,0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110,3</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106,4</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130,0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113,6</w:t>
            </w:r>
          </w:p>
        </w:tc>
        <w:tc>
          <w:tcPr>
            <w:tcW w:w="1026" w:type="dxa"/>
            <w:vAlign w:val="center"/>
          </w:tcPr>
          <w:p w:rsidR="009F13BE" w:rsidRPr="003371CA" w:rsidRDefault="009F13BE" w:rsidP="00F013F0">
            <w:pPr>
              <w:ind w:left="-118" w:right="-53"/>
              <w:contextualSpacing/>
              <w:jc w:val="center"/>
              <w:rPr>
                <w:sz w:val="24"/>
                <w:szCs w:val="24"/>
              </w:rPr>
            </w:pPr>
            <w:r w:rsidRPr="003371CA">
              <w:rPr>
                <w:sz w:val="24"/>
                <w:szCs w:val="24"/>
              </w:rPr>
              <w:t>264,8</w:t>
            </w:r>
          </w:p>
        </w:tc>
      </w:tr>
      <w:tr w:rsidR="00F013F0" w:rsidRPr="003371CA" w:rsidTr="00F013F0">
        <w:tc>
          <w:tcPr>
            <w:tcW w:w="2577" w:type="dxa"/>
            <w:vAlign w:val="center"/>
          </w:tcPr>
          <w:p w:rsidR="009F13BE" w:rsidRPr="003371CA" w:rsidRDefault="009F13BE" w:rsidP="0097090D">
            <w:pPr>
              <w:ind w:left="-142" w:right="-127"/>
              <w:contextualSpacing/>
              <w:jc w:val="center"/>
              <w:rPr>
                <w:sz w:val="24"/>
                <w:szCs w:val="24"/>
              </w:rPr>
            </w:pPr>
            <w:r w:rsidRPr="003371CA">
              <w:rPr>
                <w:sz w:val="24"/>
                <w:szCs w:val="24"/>
              </w:rPr>
              <w:t>Промислової продукції</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120,8</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116,7</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109,6</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119,5</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135,5</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106,5</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120,9</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119,0</w:t>
            </w:r>
          </w:p>
        </w:tc>
        <w:tc>
          <w:tcPr>
            <w:tcW w:w="1026" w:type="dxa"/>
            <w:vAlign w:val="center"/>
          </w:tcPr>
          <w:p w:rsidR="009F13BE" w:rsidRPr="003371CA" w:rsidRDefault="009F13BE" w:rsidP="00F013F0">
            <w:pPr>
              <w:ind w:left="-118" w:right="-53"/>
              <w:contextualSpacing/>
              <w:jc w:val="center"/>
              <w:rPr>
                <w:sz w:val="24"/>
                <w:szCs w:val="24"/>
              </w:rPr>
            </w:pPr>
            <w:r w:rsidRPr="003371CA">
              <w:rPr>
                <w:sz w:val="24"/>
                <w:szCs w:val="24"/>
              </w:rPr>
              <w:t>317,2</w:t>
            </w:r>
          </w:p>
        </w:tc>
      </w:tr>
      <w:tr w:rsidR="00F013F0" w:rsidRPr="003371CA" w:rsidTr="00F013F0">
        <w:tc>
          <w:tcPr>
            <w:tcW w:w="2577" w:type="dxa"/>
            <w:vAlign w:val="center"/>
          </w:tcPr>
          <w:p w:rsidR="009F13BE" w:rsidRPr="003371CA" w:rsidRDefault="009F13BE" w:rsidP="0097090D">
            <w:pPr>
              <w:ind w:left="-142" w:right="-127"/>
              <w:contextualSpacing/>
              <w:jc w:val="center"/>
              <w:rPr>
                <w:sz w:val="24"/>
                <w:szCs w:val="24"/>
              </w:rPr>
            </w:pPr>
            <w:r w:rsidRPr="003371CA">
              <w:rPr>
                <w:sz w:val="24"/>
                <w:szCs w:val="24"/>
              </w:rPr>
              <w:t>Інвестицій в основний капітал</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117,7</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120,7</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113,0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116,0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127,0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111,3</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113,4</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113,7</w:t>
            </w:r>
          </w:p>
        </w:tc>
        <w:tc>
          <w:tcPr>
            <w:tcW w:w="1026" w:type="dxa"/>
            <w:vAlign w:val="center"/>
          </w:tcPr>
          <w:p w:rsidR="009F13BE" w:rsidRPr="003371CA" w:rsidRDefault="009F13BE" w:rsidP="00F013F0">
            <w:pPr>
              <w:ind w:left="-118" w:right="-53"/>
              <w:contextualSpacing/>
              <w:jc w:val="center"/>
              <w:rPr>
                <w:sz w:val="24"/>
                <w:szCs w:val="24"/>
              </w:rPr>
            </w:pPr>
            <w:r w:rsidRPr="003371CA">
              <w:rPr>
                <w:sz w:val="24"/>
                <w:szCs w:val="24"/>
              </w:rPr>
              <w:t>288,3</w:t>
            </w:r>
          </w:p>
        </w:tc>
      </w:tr>
      <w:tr w:rsidR="00F013F0" w:rsidRPr="003371CA" w:rsidTr="00F013F0">
        <w:tc>
          <w:tcPr>
            <w:tcW w:w="2577" w:type="dxa"/>
            <w:vAlign w:val="center"/>
          </w:tcPr>
          <w:p w:rsidR="009F13BE" w:rsidRPr="003371CA" w:rsidRDefault="009F13BE" w:rsidP="0097090D">
            <w:pPr>
              <w:ind w:left="-142" w:right="-127"/>
              <w:contextualSpacing/>
              <w:jc w:val="center"/>
              <w:rPr>
                <w:sz w:val="24"/>
                <w:szCs w:val="24"/>
              </w:rPr>
            </w:pPr>
            <w:r w:rsidRPr="003371CA">
              <w:rPr>
                <w:sz w:val="24"/>
                <w:szCs w:val="24"/>
              </w:rPr>
              <w:t>Будівельно-монтажних робіт</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118,0</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125,6</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123,5</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123,1</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135,3</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113,3</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115,8</w:t>
            </w:r>
          </w:p>
        </w:tc>
        <w:tc>
          <w:tcPr>
            <w:tcW w:w="749" w:type="dxa"/>
            <w:vAlign w:val="center"/>
          </w:tcPr>
          <w:p w:rsidR="009F13BE" w:rsidRPr="003371CA" w:rsidRDefault="009F13BE" w:rsidP="00F013F0">
            <w:pPr>
              <w:ind w:left="-118" w:right="-53"/>
              <w:contextualSpacing/>
              <w:jc w:val="center"/>
              <w:rPr>
                <w:sz w:val="24"/>
                <w:szCs w:val="24"/>
              </w:rPr>
            </w:pPr>
            <w:r w:rsidRPr="003371CA">
              <w:rPr>
                <w:sz w:val="24"/>
                <w:szCs w:val="24"/>
              </w:rPr>
              <w:t>119,4</w:t>
            </w:r>
          </w:p>
        </w:tc>
        <w:tc>
          <w:tcPr>
            <w:tcW w:w="1026" w:type="dxa"/>
            <w:vAlign w:val="center"/>
          </w:tcPr>
          <w:p w:rsidR="009F13BE" w:rsidRPr="003371CA" w:rsidRDefault="00894FD8" w:rsidP="00F013F0">
            <w:pPr>
              <w:ind w:left="-118" w:right="-53"/>
              <w:contextualSpacing/>
              <w:jc w:val="center"/>
              <w:rPr>
                <w:sz w:val="24"/>
                <w:szCs w:val="24"/>
              </w:rPr>
            </w:pPr>
            <w:r w:rsidRPr="003371CA">
              <w:rPr>
                <w:sz w:val="24"/>
                <w:szCs w:val="24"/>
              </w:rPr>
              <w:t>397,8</w:t>
            </w:r>
          </w:p>
        </w:tc>
      </w:tr>
    </w:tbl>
    <w:p w:rsidR="009F13BE" w:rsidRPr="00676B96" w:rsidRDefault="00894FD8" w:rsidP="00A16C10">
      <w:pPr>
        <w:spacing w:line="360" w:lineRule="auto"/>
        <w:contextualSpacing/>
        <w:jc w:val="both"/>
        <w:rPr>
          <w:rFonts w:ascii="Times New Roman" w:hAnsi="Times New Roman" w:cs="Times New Roman"/>
          <w:sz w:val="20"/>
          <w:szCs w:val="20"/>
        </w:rPr>
      </w:pPr>
      <w:r w:rsidRPr="00676B96">
        <w:rPr>
          <w:rFonts w:ascii="Times New Roman" w:hAnsi="Times New Roman" w:cs="Times New Roman"/>
          <w:sz w:val="20"/>
          <w:szCs w:val="20"/>
        </w:rPr>
        <w:t xml:space="preserve">Джерело: </w:t>
      </w:r>
      <w:r w:rsidR="009F13BE" w:rsidRPr="00676B96">
        <w:rPr>
          <w:rFonts w:ascii="Times New Roman" w:hAnsi="Times New Roman" w:cs="Times New Roman"/>
          <w:sz w:val="20"/>
          <w:szCs w:val="20"/>
        </w:rPr>
        <w:t xml:space="preserve">Україна </w:t>
      </w:r>
      <w:r w:rsidRPr="00676B96">
        <w:rPr>
          <w:rFonts w:ascii="Times New Roman" w:hAnsi="Times New Roman" w:cs="Times New Roman"/>
          <w:sz w:val="20"/>
          <w:szCs w:val="20"/>
        </w:rPr>
        <w:t>у</w:t>
      </w:r>
      <w:r w:rsidR="009F13BE" w:rsidRPr="00676B96">
        <w:rPr>
          <w:rFonts w:ascii="Times New Roman" w:hAnsi="Times New Roman" w:cs="Times New Roman"/>
          <w:sz w:val="20"/>
          <w:szCs w:val="20"/>
        </w:rPr>
        <w:t xml:space="preserve"> цифрах 20</w:t>
      </w:r>
      <w:r w:rsidRPr="00676B96">
        <w:rPr>
          <w:rFonts w:ascii="Times New Roman" w:hAnsi="Times New Roman" w:cs="Times New Roman"/>
          <w:sz w:val="20"/>
          <w:szCs w:val="20"/>
        </w:rPr>
        <w:t>11</w:t>
      </w:r>
      <w:r w:rsidR="00A16C10" w:rsidRPr="00676B96">
        <w:rPr>
          <w:rFonts w:ascii="Times New Roman" w:hAnsi="Times New Roman" w:cs="Times New Roman"/>
          <w:sz w:val="20"/>
          <w:szCs w:val="20"/>
        </w:rPr>
        <w:t xml:space="preserve">. </w:t>
      </w:r>
      <w:r w:rsidR="009F13BE" w:rsidRPr="00676B96">
        <w:rPr>
          <w:rFonts w:ascii="Times New Roman" w:hAnsi="Times New Roman" w:cs="Times New Roman"/>
          <w:sz w:val="20"/>
          <w:szCs w:val="20"/>
        </w:rPr>
        <w:t>Статистичний збірник.</w:t>
      </w:r>
      <w:r w:rsidRPr="00676B96">
        <w:rPr>
          <w:rFonts w:ascii="Times New Roman" w:hAnsi="Times New Roman" w:cs="Times New Roman"/>
          <w:sz w:val="20"/>
          <w:szCs w:val="20"/>
        </w:rPr>
        <w:t xml:space="preserve"> </w:t>
      </w:r>
      <w:r w:rsidRPr="00676B96">
        <w:rPr>
          <w:rFonts w:ascii="Times New Roman" w:hAnsi="Times New Roman" w:cs="Times New Roman"/>
          <w:sz w:val="20"/>
          <w:szCs w:val="20"/>
        </w:rPr>
        <w:sym w:font="Symbol" w:char="F02D"/>
      </w:r>
      <w:r w:rsidRPr="00676B96">
        <w:rPr>
          <w:rFonts w:ascii="Times New Roman" w:hAnsi="Times New Roman" w:cs="Times New Roman"/>
          <w:sz w:val="20"/>
          <w:szCs w:val="20"/>
        </w:rPr>
        <w:t xml:space="preserve"> К., 2012. – С. 50</w:t>
      </w:r>
      <w:r w:rsidR="00676B96">
        <w:rPr>
          <w:rFonts w:ascii="Times New Roman" w:hAnsi="Times New Roman" w:cs="Times New Roman"/>
          <w:sz w:val="20"/>
          <w:szCs w:val="20"/>
        </w:rPr>
        <w:t>.</w:t>
      </w:r>
    </w:p>
    <w:p w:rsidR="009F13BE" w:rsidRPr="003371CA" w:rsidRDefault="00676B96" w:rsidP="00A16C1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Відтак маємо п</w:t>
      </w:r>
      <w:r w:rsidR="00EC61DB" w:rsidRPr="003371CA">
        <w:rPr>
          <w:rFonts w:ascii="Times New Roman" w:hAnsi="Times New Roman" w:cs="Times New Roman"/>
          <w:sz w:val="28"/>
          <w:szCs w:val="28"/>
        </w:rPr>
        <w:t xml:space="preserve">арадокс: </w:t>
      </w:r>
      <w:r>
        <w:rPr>
          <w:rFonts w:ascii="Times New Roman" w:hAnsi="Times New Roman" w:cs="Times New Roman"/>
          <w:sz w:val="28"/>
          <w:szCs w:val="28"/>
        </w:rPr>
        <w:t>с</w:t>
      </w:r>
      <w:r w:rsidR="00EC61DB" w:rsidRPr="003371CA">
        <w:rPr>
          <w:rFonts w:ascii="Times New Roman" w:hAnsi="Times New Roman" w:cs="Times New Roman"/>
          <w:sz w:val="28"/>
          <w:szCs w:val="28"/>
        </w:rPr>
        <w:t xml:space="preserve">проби втримати помірні ціни приводить до </w:t>
      </w:r>
      <w:r>
        <w:rPr>
          <w:rFonts w:ascii="Times New Roman" w:hAnsi="Times New Roman" w:cs="Times New Roman"/>
          <w:sz w:val="28"/>
          <w:szCs w:val="28"/>
        </w:rPr>
        <w:t>їхнього</w:t>
      </w:r>
      <w:r w:rsidR="00EC61DB" w:rsidRPr="003371CA">
        <w:rPr>
          <w:rFonts w:ascii="Times New Roman" w:hAnsi="Times New Roman" w:cs="Times New Roman"/>
          <w:sz w:val="28"/>
          <w:szCs w:val="28"/>
        </w:rPr>
        <w:t xml:space="preserve"> „</w:t>
      </w:r>
      <w:r>
        <w:rPr>
          <w:rFonts w:ascii="Times New Roman" w:hAnsi="Times New Roman" w:cs="Times New Roman"/>
          <w:sz w:val="28"/>
          <w:szCs w:val="28"/>
        </w:rPr>
        <w:t>сплеску”</w:t>
      </w:r>
      <w:r w:rsidR="00554234" w:rsidRPr="003371CA">
        <w:rPr>
          <w:rFonts w:ascii="Times New Roman" w:hAnsi="Times New Roman" w:cs="Times New Roman"/>
          <w:sz w:val="28"/>
          <w:szCs w:val="28"/>
        </w:rPr>
        <w:t xml:space="preserve"> </w:t>
      </w:r>
      <w:r>
        <w:rPr>
          <w:rFonts w:ascii="Times New Roman" w:hAnsi="Times New Roman" w:cs="Times New Roman"/>
          <w:sz w:val="28"/>
          <w:szCs w:val="28"/>
        </w:rPr>
        <w:t>(</w:t>
      </w:r>
      <w:r w:rsidR="00554234" w:rsidRPr="003371CA">
        <w:rPr>
          <w:rFonts w:ascii="Times New Roman" w:hAnsi="Times New Roman" w:cs="Times New Roman"/>
          <w:sz w:val="28"/>
          <w:szCs w:val="28"/>
        </w:rPr>
        <w:t xml:space="preserve">див. </w:t>
      </w:r>
      <w:r w:rsidR="0009634E" w:rsidRPr="003371CA">
        <w:rPr>
          <w:rFonts w:ascii="Times New Roman" w:hAnsi="Times New Roman" w:cs="Times New Roman"/>
          <w:sz w:val="28"/>
          <w:szCs w:val="28"/>
        </w:rPr>
        <w:t>2007</w:t>
      </w:r>
      <w:r>
        <w:rPr>
          <w:rFonts w:ascii="Times New Roman" w:hAnsi="Times New Roman" w:cs="Times New Roman"/>
          <w:sz w:val="28"/>
          <w:szCs w:val="28"/>
        </w:rPr>
        <w:t xml:space="preserve"> </w:t>
      </w:r>
      <w:r w:rsidR="0009634E" w:rsidRPr="003371CA">
        <w:rPr>
          <w:rFonts w:ascii="Times New Roman" w:hAnsi="Times New Roman" w:cs="Times New Roman"/>
          <w:sz w:val="28"/>
          <w:szCs w:val="28"/>
        </w:rPr>
        <w:t>рік – 138,0; 2010 – 130,0 відсотків</w:t>
      </w:r>
      <w:r>
        <w:rPr>
          <w:rFonts w:ascii="Times New Roman" w:hAnsi="Times New Roman" w:cs="Times New Roman"/>
          <w:sz w:val="28"/>
          <w:szCs w:val="28"/>
        </w:rPr>
        <w:t>), а</w:t>
      </w:r>
      <w:r w:rsidR="0009634E" w:rsidRPr="003371CA">
        <w:rPr>
          <w:rFonts w:ascii="Times New Roman" w:hAnsi="Times New Roman" w:cs="Times New Roman"/>
          <w:sz w:val="28"/>
          <w:szCs w:val="28"/>
        </w:rPr>
        <w:t xml:space="preserve"> кумулятивний індекс їхнього зростання за 2005 – 2011 роки виявився не</w:t>
      </w:r>
      <w:r w:rsidR="005C7A14">
        <w:rPr>
          <w:rFonts w:ascii="Times New Roman" w:hAnsi="Times New Roman" w:cs="Times New Roman"/>
          <w:sz w:val="28"/>
          <w:szCs w:val="28"/>
        </w:rPr>
        <w:t>спів</w:t>
      </w:r>
      <w:r w:rsidR="0009634E" w:rsidRPr="003371CA">
        <w:rPr>
          <w:rFonts w:ascii="Times New Roman" w:hAnsi="Times New Roman" w:cs="Times New Roman"/>
          <w:sz w:val="28"/>
          <w:szCs w:val="28"/>
        </w:rPr>
        <w:t xml:space="preserve">мірним, причому, як завжди, </w:t>
      </w:r>
      <w:r>
        <w:rPr>
          <w:rFonts w:ascii="Times New Roman" w:hAnsi="Times New Roman" w:cs="Times New Roman"/>
          <w:sz w:val="28"/>
          <w:szCs w:val="28"/>
        </w:rPr>
        <w:t>не на користь аграрного сектору, оскільки</w:t>
      </w:r>
      <w:r w:rsidR="0009634E" w:rsidRPr="003371CA">
        <w:rPr>
          <w:rFonts w:ascii="Times New Roman" w:hAnsi="Times New Roman" w:cs="Times New Roman"/>
          <w:sz w:val="28"/>
          <w:szCs w:val="28"/>
        </w:rPr>
        <w:t xml:space="preserve"> ціни промислової продукції випереджали зростання їх </w:t>
      </w:r>
      <w:r w:rsidR="002C1FD0" w:rsidRPr="003371CA">
        <w:rPr>
          <w:rFonts w:ascii="Times New Roman" w:hAnsi="Times New Roman" w:cs="Times New Roman"/>
          <w:sz w:val="28"/>
          <w:szCs w:val="28"/>
        </w:rPr>
        <w:t>на сільськогосподарську у 1,2 разу. Таким чином вже наявний семикратний</w:t>
      </w:r>
      <w:r>
        <w:rPr>
          <w:rFonts w:ascii="Times New Roman" w:hAnsi="Times New Roman" w:cs="Times New Roman"/>
          <w:sz w:val="28"/>
          <w:szCs w:val="28"/>
        </w:rPr>
        <w:t xml:space="preserve"> </w:t>
      </w:r>
      <w:r w:rsidR="002C1FD0" w:rsidRPr="003371CA">
        <w:rPr>
          <w:rFonts w:ascii="Times New Roman" w:hAnsi="Times New Roman" w:cs="Times New Roman"/>
          <w:sz w:val="28"/>
          <w:szCs w:val="28"/>
        </w:rPr>
        <w:t xml:space="preserve"> диспаритет</w:t>
      </w:r>
      <w:r w:rsidR="005C7A14">
        <w:rPr>
          <w:rFonts w:ascii="Times New Roman" w:hAnsi="Times New Roman" w:cs="Times New Roman"/>
          <w:sz w:val="28"/>
          <w:szCs w:val="28"/>
        </w:rPr>
        <w:t xml:space="preserve"> [7, 8]</w:t>
      </w:r>
      <w:r w:rsidR="005C7A14" w:rsidRPr="003371CA">
        <w:rPr>
          <w:rFonts w:ascii="Times New Roman" w:hAnsi="Times New Roman" w:cs="Times New Roman"/>
          <w:sz w:val="28"/>
          <w:szCs w:val="28"/>
        </w:rPr>
        <w:t xml:space="preserve"> </w:t>
      </w:r>
      <w:r w:rsidR="002C1FD0" w:rsidRPr="003371CA">
        <w:rPr>
          <w:rFonts w:ascii="Times New Roman" w:hAnsi="Times New Roman" w:cs="Times New Roman"/>
          <w:sz w:val="28"/>
          <w:szCs w:val="28"/>
        </w:rPr>
        <w:t xml:space="preserve"> тут далі посилюється</w:t>
      </w:r>
      <w:r w:rsidR="003556C8" w:rsidRPr="003371CA">
        <w:rPr>
          <w:rFonts w:ascii="Times New Roman" w:hAnsi="Times New Roman" w:cs="Times New Roman"/>
          <w:sz w:val="28"/>
          <w:szCs w:val="28"/>
        </w:rPr>
        <w:t>.</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Так, на ринку аграрної продукції лише в окремі роки (2003 та 2007) ціни зростали у відповідності з динамікою витрат сільськогосподарських підприємств на придбання матеріально-технічних ресурсів. Якщо ж унаслідок сприятливих погодних умов пропозиція зростає, то ціни на сільськогосподарську продукцію відразу знижуються, а інколи – як це було у 2002 р., – навіть стають меншими від попереднього року, не дивлячись на те, що вони мали би збільшуватись хоча б у відповідності з індексом інфляції.</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На ринку ж продовольства та матеріально-технічних ресурсів</w:t>
      </w:r>
      <w:r w:rsidR="00676B96">
        <w:rPr>
          <w:rFonts w:ascii="Times New Roman" w:hAnsi="Times New Roman" w:cs="Times New Roman"/>
          <w:sz w:val="28"/>
          <w:szCs w:val="28"/>
        </w:rPr>
        <w:t xml:space="preserve"> таких</w:t>
      </w:r>
      <w:r w:rsidRPr="003371CA">
        <w:rPr>
          <w:rFonts w:ascii="Times New Roman" w:hAnsi="Times New Roman" w:cs="Times New Roman"/>
          <w:sz w:val="28"/>
          <w:szCs w:val="28"/>
        </w:rPr>
        <w:t xml:space="preserve"> коливань немає і ціни тут не корелюють з динамікою закупівельних цін на сільськогосподарську сировину, а стабільно зростають. В результаті диспаритет цін не тільки не згладжується, а навпаки – збільшується. Приміром, у 2000-2005 рр. диспаритет цін міжгалузевого обміну сільськогосподарської й промислової продукції становив 1 </w:t>
      </w:r>
      <w:r w:rsidR="00676B96">
        <w:rPr>
          <w:rFonts w:ascii="Times New Roman" w:hAnsi="Times New Roman" w:cs="Times New Roman"/>
          <w:sz w:val="28"/>
          <w:szCs w:val="28"/>
        </w:rPr>
        <w:t>до 5, а зараз 1 до 7 [7</w:t>
      </w:r>
      <w:r w:rsidRPr="003371CA">
        <w:rPr>
          <w:rFonts w:ascii="Times New Roman" w:hAnsi="Times New Roman" w:cs="Times New Roman"/>
          <w:sz w:val="28"/>
          <w:szCs w:val="28"/>
        </w:rPr>
        <w:t>, 8].</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 xml:space="preserve">Саме така невідповідність ціноутворення, коли на засоби виробництва для аграрного сектору економіки ціни є олігопольними, як і на продовольство, але це не розповсюджується на сільськогосподарські підприємства, котрі формують ціни на власну продукцію в умовах жорсткої конкуренції, якраз і є причиною того, що перманентний дефіцит продовольства, сформований в надрах адміністративно-командного способу регулювання виробництва, продовжує залишатись хронічним явищем в умовах ринкових відносин. Адже протилежна дія векторів цін виробників промислової продукції та закупівельних цін переробних підприємств </w:t>
      </w:r>
      <w:r w:rsidRPr="003371CA">
        <w:rPr>
          <w:rFonts w:ascii="Times New Roman" w:hAnsi="Times New Roman" w:cs="Times New Roman"/>
          <w:sz w:val="28"/>
          <w:szCs w:val="28"/>
        </w:rPr>
        <w:lastRenderedPageBreak/>
        <w:t>зумовлює те, що основний чинник стимулювання діяльності сільськогосподарських підприємств – прибуток – не діє. В результаті замість нарощування обсягів виробництва з метою максимізації прибутку</w:t>
      </w:r>
      <w:r w:rsidR="00676B96">
        <w:rPr>
          <w:rFonts w:ascii="Times New Roman" w:hAnsi="Times New Roman" w:cs="Times New Roman"/>
          <w:sz w:val="28"/>
          <w:szCs w:val="28"/>
        </w:rPr>
        <w:t>,</w:t>
      </w:r>
      <w:r w:rsidRPr="003371CA">
        <w:rPr>
          <w:rFonts w:ascii="Times New Roman" w:hAnsi="Times New Roman" w:cs="Times New Roman"/>
          <w:sz w:val="28"/>
          <w:szCs w:val="28"/>
        </w:rPr>
        <w:t xml:space="preserve"> сільськогосподарські підприємства вимушені його згортати, оскільки витрати діяльності тут не завжди покриваються доходами, або ж рентабельність є надто мізерною, аби можна було забезпечити вкладення більш-менш суттєвої маси капіталу у їх</w:t>
      </w:r>
      <w:r w:rsidR="00676B96">
        <w:rPr>
          <w:rFonts w:ascii="Times New Roman" w:hAnsi="Times New Roman" w:cs="Times New Roman"/>
          <w:sz w:val="28"/>
          <w:szCs w:val="28"/>
        </w:rPr>
        <w:t>ній</w:t>
      </w:r>
      <w:r w:rsidRPr="003371CA">
        <w:rPr>
          <w:rFonts w:ascii="Times New Roman" w:hAnsi="Times New Roman" w:cs="Times New Roman"/>
          <w:sz w:val="28"/>
          <w:szCs w:val="28"/>
        </w:rPr>
        <w:t xml:space="preserve"> розвиток (табл. 2).</w:t>
      </w:r>
    </w:p>
    <w:p w:rsidR="009F13BE" w:rsidRPr="003371CA" w:rsidRDefault="009F13BE" w:rsidP="003371CA">
      <w:pPr>
        <w:spacing w:line="360" w:lineRule="auto"/>
        <w:ind w:firstLine="709"/>
        <w:contextualSpacing/>
        <w:jc w:val="right"/>
        <w:rPr>
          <w:rFonts w:ascii="Times New Roman" w:hAnsi="Times New Roman" w:cs="Times New Roman"/>
          <w:i/>
          <w:sz w:val="28"/>
          <w:szCs w:val="28"/>
        </w:rPr>
      </w:pPr>
      <w:r w:rsidRPr="003371CA">
        <w:rPr>
          <w:rFonts w:ascii="Times New Roman" w:hAnsi="Times New Roman" w:cs="Times New Roman"/>
          <w:i/>
          <w:sz w:val="28"/>
          <w:szCs w:val="28"/>
        </w:rPr>
        <w:t>Таблиця 2</w:t>
      </w:r>
    </w:p>
    <w:p w:rsidR="009F13BE" w:rsidRPr="003371CA" w:rsidRDefault="009F13BE" w:rsidP="00676B96">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 xml:space="preserve">Фінансові результати та рівень рентабельності </w:t>
      </w:r>
    </w:p>
    <w:p w:rsidR="009F13BE" w:rsidRDefault="009F13BE" w:rsidP="00676B96">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діяльності сільськогоспод</w:t>
      </w:r>
      <w:r w:rsidR="00A16C10">
        <w:rPr>
          <w:rFonts w:ascii="Times New Roman" w:hAnsi="Times New Roman" w:cs="Times New Roman"/>
          <w:sz w:val="28"/>
          <w:szCs w:val="28"/>
        </w:rPr>
        <w:t>арських підприємств за 2000-2010 роки</w:t>
      </w:r>
    </w:p>
    <w:p w:rsidR="0080779D" w:rsidRPr="003371CA" w:rsidRDefault="0080779D" w:rsidP="00676B96">
      <w:pPr>
        <w:spacing w:line="240" w:lineRule="auto"/>
        <w:ind w:firstLine="709"/>
        <w:contextualSpacing/>
        <w:jc w:val="center"/>
        <w:rPr>
          <w:rFonts w:ascii="Times New Roman" w:hAnsi="Times New Roman" w:cs="Times New Roman"/>
          <w:sz w:val="28"/>
          <w:szCs w:val="28"/>
        </w:rPr>
      </w:pPr>
    </w:p>
    <w:tbl>
      <w:tblPr>
        <w:tblStyle w:val="a3"/>
        <w:tblW w:w="0" w:type="auto"/>
        <w:tblInd w:w="250" w:type="dxa"/>
        <w:tblLayout w:type="fixed"/>
        <w:tblLook w:val="01E0"/>
      </w:tblPr>
      <w:tblGrid>
        <w:gridCol w:w="2802"/>
        <w:gridCol w:w="850"/>
        <w:gridCol w:w="851"/>
        <w:gridCol w:w="850"/>
        <w:gridCol w:w="851"/>
        <w:gridCol w:w="850"/>
        <w:gridCol w:w="851"/>
        <w:gridCol w:w="1026"/>
      </w:tblGrid>
      <w:tr w:rsidR="00894FD8" w:rsidRPr="003902AE" w:rsidTr="00A16C10">
        <w:tc>
          <w:tcPr>
            <w:tcW w:w="2802" w:type="dxa"/>
            <w:vMerge w:val="restart"/>
            <w:vAlign w:val="center"/>
          </w:tcPr>
          <w:p w:rsidR="00894FD8" w:rsidRPr="003902AE" w:rsidRDefault="00894FD8" w:rsidP="003902AE">
            <w:pPr>
              <w:ind w:left="-108" w:firstLine="142"/>
              <w:contextualSpacing/>
              <w:jc w:val="center"/>
              <w:rPr>
                <w:sz w:val="24"/>
                <w:szCs w:val="24"/>
              </w:rPr>
            </w:pPr>
            <w:r w:rsidRPr="003902AE">
              <w:rPr>
                <w:sz w:val="24"/>
                <w:szCs w:val="24"/>
              </w:rPr>
              <w:t xml:space="preserve"> Показники </w:t>
            </w:r>
          </w:p>
        </w:tc>
        <w:tc>
          <w:tcPr>
            <w:tcW w:w="6129" w:type="dxa"/>
            <w:gridSpan w:val="7"/>
            <w:vAlign w:val="center"/>
          </w:tcPr>
          <w:p w:rsidR="00894FD8" w:rsidRPr="003902AE" w:rsidRDefault="00894FD8" w:rsidP="003902AE">
            <w:pPr>
              <w:ind w:firstLine="709"/>
              <w:contextualSpacing/>
              <w:jc w:val="center"/>
              <w:rPr>
                <w:sz w:val="24"/>
                <w:szCs w:val="24"/>
              </w:rPr>
            </w:pPr>
            <w:r w:rsidRPr="003902AE">
              <w:rPr>
                <w:sz w:val="24"/>
                <w:szCs w:val="24"/>
              </w:rPr>
              <w:t>Роки</w:t>
            </w:r>
          </w:p>
        </w:tc>
      </w:tr>
      <w:tr w:rsidR="00894FD8" w:rsidRPr="003902AE" w:rsidTr="00A16C10">
        <w:tc>
          <w:tcPr>
            <w:tcW w:w="2802" w:type="dxa"/>
            <w:vMerge/>
          </w:tcPr>
          <w:p w:rsidR="00894FD8" w:rsidRPr="003902AE" w:rsidRDefault="00894FD8" w:rsidP="003902AE">
            <w:pPr>
              <w:ind w:firstLine="709"/>
              <w:contextualSpacing/>
              <w:jc w:val="both"/>
              <w:rPr>
                <w:sz w:val="24"/>
                <w:szCs w:val="24"/>
              </w:rPr>
            </w:pPr>
          </w:p>
        </w:tc>
        <w:tc>
          <w:tcPr>
            <w:tcW w:w="850" w:type="dxa"/>
          </w:tcPr>
          <w:p w:rsidR="00894FD8" w:rsidRPr="003902AE" w:rsidRDefault="00894FD8" w:rsidP="003902AE">
            <w:pPr>
              <w:tabs>
                <w:tab w:val="left" w:pos="0"/>
                <w:tab w:val="left" w:pos="67"/>
              </w:tabs>
              <w:contextualSpacing/>
              <w:jc w:val="both"/>
              <w:rPr>
                <w:sz w:val="24"/>
                <w:szCs w:val="24"/>
              </w:rPr>
            </w:pPr>
            <w:r w:rsidRPr="003902AE">
              <w:rPr>
                <w:sz w:val="24"/>
                <w:szCs w:val="24"/>
              </w:rPr>
              <w:t>2000</w:t>
            </w:r>
          </w:p>
        </w:tc>
        <w:tc>
          <w:tcPr>
            <w:tcW w:w="851" w:type="dxa"/>
          </w:tcPr>
          <w:p w:rsidR="00894FD8" w:rsidRPr="003902AE" w:rsidRDefault="00894FD8" w:rsidP="003902AE">
            <w:pPr>
              <w:contextualSpacing/>
              <w:jc w:val="both"/>
              <w:rPr>
                <w:sz w:val="24"/>
                <w:szCs w:val="24"/>
              </w:rPr>
            </w:pPr>
            <w:r w:rsidRPr="003902AE">
              <w:rPr>
                <w:sz w:val="24"/>
                <w:szCs w:val="24"/>
              </w:rPr>
              <w:t>2005</w:t>
            </w:r>
          </w:p>
        </w:tc>
        <w:tc>
          <w:tcPr>
            <w:tcW w:w="850" w:type="dxa"/>
          </w:tcPr>
          <w:p w:rsidR="00894FD8" w:rsidRPr="003902AE" w:rsidRDefault="00894FD8" w:rsidP="003902AE">
            <w:pPr>
              <w:contextualSpacing/>
              <w:jc w:val="both"/>
              <w:rPr>
                <w:sz w:val="24"/>
                <w:szCs w:val="24"/>
              </w:rPr>
            </w:pPr>
            <w:r w:rsidRPr="003902AE">
              <w:rPr>
                <w:sz w:val="24"/>
                <w:szCs w:val="24"/>
              </w:rPr>
              <w:t>2006</w:t>
            </w:r>
          </w:p>
        </w:tc>
        <w:tc>
          <w:tcPr>
            <w:tcW w:w="851" w:type="dxa"/>
          </w:tcPr>
          <w:p w:rsidR="00894FD8" w:rsidRPr="003902AE" w:rsidRDefault="00894FD8" w:rsidP="003902AE">
            <w:pPr>
              <w:contextualSpacing/>
              <w:jc w:val="both"/>
              <w:rPr>
                <w:sz w:val="24"/>
                <w:szCs w:val="24"/>
              </w:rPr>
            </w:pPr>
            <w:r w:rsidRPr="003902AE">
              <w:rPr>
                <w:sz w:val="24"/>
                <w:szCs w:val="24"/>
              </w:rPr>
              <w:t>2007</w:t>
            </w:r>
          </w:p>
        </w:tc>
        <w:tc>
          <w:tcPr>
            <w:tcW w:w="850" w:type="dxa"/>
          </w:tcPr>
          <w:p w:rsidR="00894FD8" w:rsidRPr="003902AE" w:rsidRDefault="00894FD8" w:rsidP="003902AE">
            <w:pPr>
              <w:contextualSpacing/>
              <w:jc w:val="both"/>
              <w:rPr>
                <w:sz w:val="24"/>
                <w:szCs w:val="24"/>
              </w:rPr>
            </w:pPr>
            <w:r w:rsidRPr="003902AE">
              <w:rPr>
                <w:sz w:val="24"/>
                <w:szCs w:val="24"/>
              </w:rPr>
              <w:t>2008</w:t>
            </w:r>
          </w:p>
        </w:tc>
        <w:tc>
          <w:tcPr>
            <w:tcW w:w="851" w:type="dxa"/>
          </w:tcPr>
          <w:p w:rsidR="00894FD8" w:rsidRPr="003902AE" w:rsidRDefault="00894FD8" w:rsidP="003902AE">
            <w:pPr>
              <w:contextualSpacing/>
              <w:jc w:val="both"/>
              <w:rPr>
                <w:sz w:val="24"/>
                <w:szCs w:val="24"/>
              </w:rPr>
            </w:pPr>
            <w:r w:rsidRPr="003902AE">
              <w:rPr>
                <w:sz w:val="24"/>
                <w:szCs w:val="24"/>
              </w:rPr>
              <w:t>2009</w:t>
            </w:r>
          </w:p>
        </w:tc>
        <w:tc>
          <w:tcPr>
            <w:tcW w:w="1026" w:type="dxa"/>
          </w:tcPr>
          <w:p w:rsidR="00894FD8" w:rsidRPr="003902AE" w:rsidRDefault="00894FD8" w:rsidP="003902AE">
            <w:pPr>
              <w:contextualSpacing/>
              <w:jc w:val="both"/>
              <w:rPr>
                <w:sz w:val="24"/>
                <w:szCs w:val="24"/>
              </w:rPr>
            </w:pPr>
            <w:r w:rsidRPr="003902AE">
              <w:rPr>
                <w:sz w:val="24"/>
                <w:szCs w:val="24"/>
              </w:rPr>
              <w:t>2010</w:t>
            </w:r>
          </w:p>
        </w:tc>
      </w:tr>
      <w:tr w:rsidR="00894FD8" w:rsidRPr="003902AE" w:rsidTr="00A16C10">
        <w:tc>
          <w:tcPr>
            <w:tcW w:w="2802" w:type="dxa"/>
            <w:vAlign w:val="center"/>
          </w:tcPr>
          <w:p w:rsidR="00894FD8" w:rsidRPr="003902AE" w:rsidRDefault="00894FD8" w:rsidP="003902AE">
            <w:pPr>
              <w:ind w:firstLine="34"/>
              <w:contextualSpacing/>
              <w:jc w:val="center"/>
              <w:rPr>
                <w:sz w:val="24"/>
                <w:szCs w:val="24"/>
              </w:rPr>
            </w:pPr>
            <w:r w:rsidRPr="003902AE">
              <w:rPr>
                <w:sz w:val="24"/>
                <w:szCs w:val="24"/>
              </w:rPr>
              <w:t>Фінансові результати, млн. грн.</w:t>
            </w:r>
          </w:p>
        </w:tc>
        <w:tc>
          <w:tcPr>
            <w:tcW w:w="850" w:type="dxa"/>
            <w:vAlign w:val="center"/>
          </w:tcPr>
          <w:p w:rsidR="00894FD8" w:rsidRPr="003902AE" w:rsidRDefault="00894FD8" w:rsidP="003902AE">
            <w:pPr>
              <w:ind w:left="-108" w:right="-108"/>
              <w:contextualSpacing/>
              <w:jc w:val="center"/>
              <w:rPr>
                <w:sz w:val="24"/>
                <w:szCs w:val="24"/>
              </w:rPr>
            </w:pPr>
            <w:r w:rsidRPr="003902AE">
              <w:rPr>
                <w:sz w:val="24"/>
                <w:szCs w:val="24"/>
              </w:rPr>
              <w:t>–121,4</w:t>
            </w:r>
          </w:p>
        </w:tc>
        <w:tc>
          <w:tcPr>
            <w:tcW w:w="851" w:type="dxa"/>
            <w:vAlign w:val="center"/>
          </w:tcPr>
          <w:p w:rsidR="00894FD8" w:rsidRPr="003902AE" w:rsidRDefault="00894FD8" w:rsidP="003902AE">
            <w:pPr>
              <w:ind w:left="-108" w:right="-108"/>
              <w:contextualSpacing/>
              <w:jc w:val="center"/>
              <w:rPr>
                <w:sz w:val="24"/>
                <w:szCs w:val="24"/>
              </w:rPr>
            </w:pPr>
            <w:r w:rsidRPr="003902AE">
              <w:rPr>
                <w:sz w:val="24"/>
                <w:szCs w:val="24"/>
              </w:rPr>
              <w:t>1253,2</w:t>
            </w:r>
          </w:p>
        </w:tc>
        <w:tc>
          <w:tcPr>
            <w:tcW w:w="850" w:type="dxa"/>
            <w:vAlign w:val="center"/>
          </w:tcPr>
          <w:p w:rsidR="00894FD8" w:rsidRPr="003902AE" w:rsidRDefault="00894FD8" w:rsidP="003902AE">
            <w:pPr>
              <w:ind w:left="-108" w:right="-108"/>
              <w:contextualSpacing/>
              <w:jc w:val="center"/>
              <w:rPr>
                <w:sz w:val="24"/>
                <w:szCs w:val="24"/>
              </w:rPr>
            </w:pPr>
            <w:r w:rsidRPr="003902AE">
              <w:rPr>
                <w:sz w:val="24"/>
                <w:szCs w:val="24"/>
              </w:rPr>
              <w:t>630,4</w:t>
            </w:r>
          </w:p>
        </w:tc>
        <w:tc>
          <w:tcPr>
            <w:tcW w:w="851" w:type="dxa"/>
            <w:vAlign w:val="center"/>
          </w:tcPr>
          <w:p w:rsidR="00894FD8" w:rsidRPr="003902AE" w:rsidRDefault="00894FD8" w:rsidP="003902AE">
            <w:pPr>
              <w:ind w:left="-108" w:right="-108"/>
              <w:contextualSpacing/>
              <w:jc w:val="center"/>
              <w:rPr>
                <w:sz w:val="24"/>
                <w:szCs w:val="24"/>
              </w:rPr>
            </w:pPr>
            <w:r w:rsidRPr="003902AE">
              <w:rPr>
                <w:sz w:val="24"/>
                <w:szCs w:val="24"/>
              </w:rPr>
              <w:t>4168,9</w:t>
            </w:r>
          </w:p>
        </w:tc>
        <w:tc>
          <w:tcPr>
            <w:tcW w:w="850" w:type="dxa"/>
            <w:vAlign w:val="center"/>
          </w:tcPr>
          <w:p w:rsidR="00894FD8" w:rsidRPr="003902AE" w:rsidRDefault="00894FD8" w:rsidP="003902AE">
            <w:pPr>
              <w:ind w:left="-108" w:right="-108"/>
              <w:contextualSpacing/>
              <w:jc w:val="center"/>
              <w:rPr>
                <w:sz w:val="24"/>
                <w:szCs w:val="24"/>
              </w:rPr>
            </w:pPr>
            <w:r w:rsidRPr="003902AE">
              <w:rPr>
                <w:sz w:val="24"/>
                <w:szCs w:val="24"/>
              </w:rPr>
              <w:t>5462,8</w:t>
            </w:r>
          </w:p>
        </w:tc>
        <w:tc>
          <w:tcPr>
            <w:tcW w:w="851" w:type="dxa"/>
            <w:vAlign w:val="center"/>
          </w:tcPr>
          <w:p w:rsidR="00894FD8" w:rsidRPr="003902AE" w:rsidRDefault="00894FD8" w:rsidP="003902AE">
            <w:pPr>
              <w:ind w:left="-108" w:right="-108"/>
              <w:contextualSpacing/>
              <w:jc w:val="center"/>
              <w:rPr>
                <w:sz w:val="24"/>
                <w:szCs w:val="24"/>
              </w:rPr>
            </w:pPr>
            <w:r w:rsidRPr="003902AE">
              <w:rPr>
                <w:sz w:val="24"/>
                <w:szCs w:val="24"/>
              </w:rPr>
              <w:t>7120,0</w:t>
            </w:r>
          </w:p>
        </w:tc>
        <w:tc>
          <w:tcPr>
            <w:tcW w:w="1026" w:type="dxa"/>
            <w:vAlign w:val="center"/>
          </w:tcPr>
          <w:p w:rsidR="00894FD8" w:rsidRPr="003902AE" w:rsidRDefault="00894FD8" w:rsidP="003902AE">
            <w:pPr>
              <w:ind w:left="-108" w:right="-108"/>
              <w:contextualSpacing/>
              <w:jc w:val="center"/>
              <w:rPr>
                <w:sz w:val="24"/>
                <w:szCs w:val="24"/>
              </w:rPr>
            </w:pPr>
            <w:r w:rsidRPr="003902AE">
              <w:rPr>
                <w:sz w:val="24"/>
                <w:szCs w:val="24"/>
              </w:rPr>
              <w:t>12750,5</w:t>
            </w:r>
          </w:p>
        </w:tc>
      </w:tr>
      <w:tr w:rsidR="00894FD8" w:rsidRPr="003902AE" w:rsidTr="00A16C10">
        <w:tc>
          <w:tcPr>
            <w:tcW w:w="2802" w:type="dxa"/>
            <w:vAlign w:val="center"/>
          </w:tcPr>
          <w:p w:rsidR="00894FD8" w:rsidRPr="003902AE" w:rsidRDefault="00894FD8" w:rsidP="003902AE">
            <w:pPr>
              <w:ind w:firstLine="709"/>
              <w:contextualSpacing/>
              <w:rPr>
                <w:sz w:val="24"/>
                <w:szCs w:val="24"/>
              </w:rPr>
            </w:pPr>
            <w:r w:rsidRPr="003902AE">
              <w:rPr>
                <w:sz w:val="24"/>
                <w:szCs w:val="24"/>
              </w:rPr>
              <w:t>Рівень рентабельності, %</w:t>
            </w:r>
          </w:p>
        </w:tc>
        <w:tc>
          <w:tcPr>
            <w:tcW w:w="850" w:type="dxa"/>
            <w:vAlign w:val="center"/>
          </w:tcPr>
          <w:p w:rsidR="00894FD8" w:rsidRPr="003902AE" w:rsidRDefault="00894FD8" w:rsidP="003902AE">
            <w:pPr>
              <w:contextualSpacing/>
              <w:jc w:val="center"/>
              <w:rPr>
                <w:sz w:val="24"/>
                <w:szCs w:val="24"/>
              </w:rPr>
            </w:pPr>
            <w:r w:rsidRPr="003902AE">
              <w:rPr>
                <w:sz w:val="24"/>
                <w:szCs w:val="24"/>
              </w:rPr>
              <w:t>–1,0</w:t>
            </w:r>
          </w:p>
        </w:tc>
        <w:tc>
          <w:tcPr>
            <w:tcW w:w="851" w:type="dxa"/>
            <w:vAlign w:val="center"/>
          </w:tcPr>
          <w:p w:rsidR="00894FD8" w:rsidRPr="003902AE" w:rsidRDefault="00894FD8" w:rsidP="003902AE">
            <w:pPr>
              <w:contextualSpacing/>
              <w:jc w:val="center"/>
              <w:rPr>
                <w:sz w:val="24"/>
                <w:szCs w:val="24"/>
              </w:rPr>
            </w:pPr>
            <w:r w:rsidRPr="003902AE">
              <w:rPr>
                <w:sz w:val="24"/>
                <w:szCs w:val="24"/>
              </w:rPr>
              <w:t>6,8</w:t>
            </w:r>
          </w:p>
        </w:tc>
        <w:tc>
          <w:tcPr>
            <w:tcW w:w="850" w:type="dxa"/>
            <w:vAlign w:val="center"/>
          </w:tcPr>
          <w:p w:rsidR="00894FD8" w:rsidRPr="003902AE" w:rsidRDefault="00894FD8" w:rsidP="003902AE">
            <w:pPr>
              <w:contextualSpacing/>
              <w:jc w:val="center"/>
              <w:rPr>
                <w:sz w:val="24"/>
                <w:szCs w:val="24"/>
              </w:rPr>
            </w:pPr>
            <w:r w:rsidRPr="003902AE">
              <w:rPr>
                <w:sz w:val="24"/>
                <w:szCs w:val="24"/>
              </w:rPr>
              <w:t>2,8</w:t>
            </w:r>
          </w:p>
        </w:tc>
        <w:tc>
          <w:tcPr>
            <w:tcW w:w="851" w:type="dxa"/>
            <w:vAlign w:val="center"/>
          </w:tcPr>
          <w:p w:rsidR="00894FD8" w:rsidRPr="003902AE" w:rsidRDefault="00894FD8" w:rsidP="003902AE">
            <w:pPr>
              <w:contextualSpacing/>
              <w:jc w:val="center"/>
              <w:rPr>
                <w:sz w:val="24"/>
                <w:szCs w:val="24"/>
              </w:rPr>
            </w:pPr>
            <w:r w:rsidRPr="003902AE">
              <w:rPr>
                <w:sz w:val="24"/>
                <w:szCs w:val="24"/>
              </w:rPr>
              <w:t>15,6</w:t>
            </w:r>
          </w:p>
        </w:tc>
        <w:tc>
          <w:tcPr>
            <w:tcW w:w="850" w:type="dxa"/>
            <w:vAlign w:val="center"/>
          </w:tcPr>
          <w:p w:rsidR="00894FD8" w:rsidRPr="003902AE" w:rsidRDefault="00894FD8" w:rsidP="003902AE">
            <w:pPr>
              <w:contextualSpacing/>
              <w:jc w:val="center"/>
              <w:rPr>
                <w:sz w:val="24"/>
                <w:szCs w:val="24"/>
              </w:rPr>
            </w:pPr>
            <w:r w:rsidRPr="003902AE">
              <w:rPr>
                <w:sz w:val="24"/>
                <w:szCs w:val="24"/>
              </w:rPr>
              <w:t>13,4</w:t>
            </w:r>
          </w:p>
        </w:tc>
        <w:tc>
          <w:tcPr>
            <w:tcW w:w="851" w:type="dxa"/>
            <w:vAlign w:val="center"/>
          </w:tcPr>
          <w:p w:rsidR="00894FD8" w:rsidRPr="003902AE" w:rsidRDefault="00894FD8" w:rsidP="003902AE">
            <w:pPr>
              <w:contextualSpacing/>
              <w:jc w:val="center"/>
              <w:rPr>
                <w:sz w:val="24"/>
                <w:szCs w:val="24"/>
              </w:rPr>
            </w:pPr>
            <w:r w:rsidRPr="003902AE">
              <w:rPr>
                <w:sz w:val="24"/>
                <w:szCs w:val="24"/>
              </w:rPr>
              <w:t>13,8</w:t>
            </w:r>
          </w:p>
        </w:tc>
        <w:tc>
          <w:tcPr>
            <w:tcW w:w="1026" w:type="dxa"/>
            <w:vAlign w:val="center"/>
          </w:tcPr>
          <w:p w:rsidR="00894FD8" w:rsidRPr="003902AE" w:rsidRDefault="00894FD8" w:rsidP="003902AE">
            <w:pPr>
              <w:contextualSpacing/>
              <w:jc w:val="center"/>
              <w:rPr>
                <w:sz w:val="24"/>
                <w:szCs w:val="24"/>
              </w:rPr>
            </w:pPr>
            <w:r w:rsidRPr="003902AE">
              <w:rPr>
                <w:sz w:val="24"/>
                <w:szCs w:val="24"/>
              </w:rPr>
              <w:t>21,1</w:t>
            </w:r>
          </w:p>
        </w:tc>
      </w:tr>
    </w:tbl>
    <w:p w:rsidR="009F13BE" w:rsidRPr="00676B96" w:rsidRDefault="009F13BE" w:rsidP="00676B96">
      <w:pPr>
        <w:spacing w:line="360" w:lineRule="auto"/>
        <w:ind w:firstLine="709"/>
        <w:contextualSpacing/>
        <w:jc w:val="both"/>
        <w:rPr>
          <w:rFonts w:ascii="Times New Roman" w:hAnsi="Times New Roman" w:cs="Times New Roman"/>
          <w:sz w:val="20"/>
          <w:szCs w:val="20"/>
        </w:rPr>
      </w:pPr>
      <w:r w:rsidRPr="00676B96">
        <w:rPr>
          <w:rFonts w:ascii="Times New Roman" w:hAnsi="Times New Roman" w:cs="Times New Roman"/>
          <w:sz w:val="20"/>
          <w:szCs w:val="20"/>
        </w:rPr>
        <w:t>Джерело: Сільське господарство України 200</w:t>
      </w:r>
      <w:r w:rsidR="00894FD8" w:rsidRPr="00676B96">
        <w:rPr>
          <w:rFonts w:ascii="Times New Roman" w:hAnsi="Times New Roman" w:cs="Times New Roman"/>
          <w:sz w:val="20"/>
          <w:szCs w:val="20"/>
        </w:rPr>
        <w:t>8</w:t>
      </w:r>
      <w:r w:rsidRPr="00676B96">
        <w:rPr>
          <w:rFonts w:ascii="Times New Roman" w:hAnsi="Times New Roman" w:cs="Times New Roman"/>
          <w:sz w:val="20"/>
          <w:szCs w:val="20"/>
        </w:rPr>
        <w:t>.</w:t>
      </w:r>
      <w:r w:rsidR="00894FD8" w:rsidRPr="00676B96">
        <w:rPr>
          <w:rFonts w:ascii="Times New Roman" w:hAnsi="Times New Roman" w:cs="Times New Roman"/>
          <w:sz w:val="20"/>
          <w:szCs w:val="20"/>
        </w:rPr>
        <w:t xml:space="preserve"> – К., 2009. – С. 52.</w:t>
      </w:r>
      <w:r w:rsidRPr="00676B96">
        <w:rPr>
          <w:rFonts w:ascii="Times New Roman" w:hAnsi="Times New Roman" w:cs="Times New Roman"/>
          <w:sz w:val="20"/>
          <w:szCs w:val="20"/>
        </w:rPr>
        <w:t xml:space="preserve"> </w:t>
      </w:r>
      <w:r w:rsidR="00081CFB" w:rsidRPr="00676B96">
        <w:rPr>
          <w:rFonts w:ascii="Times New Roman" w:hAnsi="Times New Roman" w:cs="Times New Roman"/>
          <w:sz w:val="20"/>
          <w:szCs w:val="20"/>
        </w:rPr>
        <w:t>Сільське господарство 2010. – К., 2011. – С. 52</w:t>
      </w:r>
      <w:r w:rsidR="00AF6B54">
        <w:rPr>
          <w:rFonts w:ascii="Times New Roman" w:hAnsi="Times New Roman" w:cs="Times New Roman"/>
          <w:sz w:val="20"/>
          <w:szCs w:val="20"/>
        </w:rPr>
        <w:t>.</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Приміром, упродовж 2000-2006 рр. маса прибутку на сільськогосподарських підприємствах лише у 2001 р. перевищувала 2 млрд. грн., що теж не може вважатись оптимальною сумою такого джерела формування їх</w:t>
      </w:r>
      <w:r w:rsidR="00676B96">
        <w:rPr>
          <w:rFonts w:ascii="Times New Roman" w:hAnsi="Times New Roman" w:cs="Times New Roman"/>
          <w:sz w:val="28"/>
          <w:szCs w:val="28"/>
        </w:rPr>
        <w:t>нього</w:t>
      </w:r>
      <w:r w:rsidRPr="003371CA">
        <w:rPr>
          <w:rFonts w:ascii="Times New Roman" w:hAnsi="Times New Roman" w:cs="Times New Roman"/>
          <w:sz w:val="28"/>
          <w:szCs w:val="28"/>
        </w:rPr>
        <w:t xml:space="preserve"> власного капіталу, особливо з огляду на те, що при цьому третина господарств є хронічно збитковою, а рівень рентабельності у прибуткових був набагато нижчим від оптимального, який мав би становити 30-35 відсотків. Але у наступні роки навіть такий рівень прибутковості, як і маса прибутку, вже не забезпечувались. Винятком є 2007 р., але це не означає перелому, бо збільшення прибутку до 4,2 млрд. грн., відтак рівня рентабельності, відбулось за рахунок рослинництва, зокрема, цукрових буряків.  </w:t>
      </w:r>
    </w:p>
    <w:p w:rsidR="0080779D" w:rsidRDefault="009F13BE" w:rsidP="0080779D">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У висліді маємо стійку тенденцію зниження темпів виробництва сільськогосподарської продукції та особливо поголів’я тварин, хоч попит на вироблені з тваринницької сировини продовольчі товари є найменш забезпеченим (табл. 3).</w:t>
      </w:r>
    </w:p>
    <w:p w:rsidR="009F13BE" w:rsidRPr="0080779D" w:rsidRDefault="009F13BE" w:rsidP="0080779D">
      <w:pPr>
        <w:spacing w:line="360" w:lineRule="auto"/>
        <w:ind w:firstLine="709"/>
        <w:contextualSpacing/>
        <w:jc w:val="right"/>
        <w:rPr>
          <w:rFonts w:ascii="Times New Roman" w:hAnsi="Times New Roman" w:cs="Times New Roman"/>
          <w:sz w:val="28"/>
          <w:szCs w:val="28"/>
        </w:rPr>
      </w:pPr>
      <w:r w:rsidRPr="003371CA">
        <w:rPr>
          <w:rFonts w:ascii="Times New Roman" w:hAnsi="Times New Roman" w:cs="Times New Roman"/>
          <w:i/>
          <w:sz w:val="28"/>
          <w:szCs w:val="28"/>
        </w:rPr>
        <w:lastRenderedPageBreak/>
        <w:t xml:space="preserve">Таблиця 3 </w:t>
      </w:r>
    </w:p>
    <w:p w:rsidR="009F13BE" w:rsidRDefault="009F13BE" w:rsidP="0080779D">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 xml:space="preserve">Динаміка виробництва сільськогосподарської продукції, зміни поголів’я тварин та споживання окремих продуктів харчування </w:t>
      </w:r>
      <w:r w:rsidR="00676B96">
        <w:rPr>
          <w:rFonts w:ascii="Times New Roman" w:hAnsi="Times New Roman" w:cs="Times New Roman"/>
          <w:sz w:val="28"/>
          <w:szCs w:val="28"/>
        </w:rPr>
        <w:t xml:space="preserve">                               </w:t>
      </w:r>
      <w:r w:rsidRPr="003371CA">
        <w:rPr>
          <w:rFonts w:ascii="Times New Roman" w:hAnsi="Times New Roman" w:cs="Times New Roman"/>
          <w:sz w:val="28"/>
          <w:szCs w:val="28"/>
        </w:rPr>
        <w:t>за 2000-20</w:t>
      </w:r>
      <w:r w:rsidR="00676B96">
        <w:rPr>
          <w:rFonts w:ascii="Times New Roman" w:hAnsi="Times New Roman" w:cs="Times New Roman"/>
          <w:sz w:val="28"/>
          <w:szCs w:val="28"/>
        </w:rPr>
        <w:t>11</w:t>
      </w:r>
      <w:r w:rsidRPr="003371CA">
        <w:rPr>
          <w:rFonts w:ascii="Times New Roman" w:hAnsi="Times New Roman" w:cs="Times New Roman"/>
          <w:sz w:val="28"/>
          <w:szCs w:val="28"/>
        </w:rPr>
        <w:t xml:space="preserve"> роки</w:t>
      </w:r>
    </w:p>
    <w:p w:rsidR="0080779D" w:rsidRPr="003371CA" w:rsidRDefault="0080779D" w:rsidP="0080779D">
      <w:pPr>
        <w:spacing w:after="0" w:line="240" w:lineRule="auto"/>
        <w:ind w:firstLine="709"/>
        <w:contextualSpacing/>
        <w:jc w:val="center"/>
        <w:rPr>
          <w:rFonts w:ascii="Times New Roman" w:hAnsi="Times New Roman" w:cs="Times New Roman"/>
          <w:sz w:val="28"/>
          <w:szCs w:val="28"/>
        </w:rPr>
      </w:pPr>
    </w:p>
    <w:tbl>
      <w:tblPr>
        <w:tblStyle w:val="a3"/>
        <w:tblW w:w="9636" w:type="dxa"/>
        <w:tblLayout w:type="fixed"/>
        <w:tblLook w:val="01E0"/>
      </w:tblPr>
      <w:tblGrid>
        <w:gridCol w:w="2518"/>
        <w:gridCol w:w="851"/>
        <w:gridCol w:w="850"/>
        <w:gridCol w:w="709"/>
        <w:gridCol w:w="1843"/>
        <w:gridCol w:w="1417"/>
        <w:gridCol w:w="1448"/>
      </w:tblGrid>
      <w:tr w:rsidR="009F13BE" w:rsidRPr="003902AE" w:rsidTr="003902AE">
        <w:tc>
          <w:tcPr>
            <w:tcW w:w="2518" w:type="dxa"/>
            <w:vMerge w:val="restart"/>
            <w:vAlign w:val="center"/>
          </w:tcPr>
          <w:p w:rsidR="009F13BE" w:rsidRPr="003902AE" w:rsidRDefault="009F13BE" w:rsidP="0080779D">
            <w:pPr>
              <w:contextualSpacing/>
              <w:jc w:val="center"/>
              <w:rPr>
                <w:sz w:val="24"/>
                <w:szCs w:val="24"/>
              </w:rPr>
            </w:pPr>
            <w:r w:rsidRPr="003902AE">
              <w:rPr>
                <w:sz w:val="24"/>
                <w:szCs w:val="24"/>
              </w:rPr>
              <w:t>Індекси</w:t>
            </w:r>
          </w:p>
        </w:tc>
        <w:tc>
          <w:tcPr>
            <w:tcW w:w="2410" w:type="dxa"/>
            <w:gridSpan w:val="3"/>
            <w:vAlign w:val="center"/>
          </w:tcPr>
          <w:p w:rsidR="009F13BE" w:rsidRPr="003902AE" w:rsidRDefault="009F13BE" w:rsidP="0080779D">
            <w:pPr>
              <w:contextualSpacing/>
              <w:jc w:val="center"/>
              <w:rPr>
                <w:sz w:val="24"/>
                <w:szCs w:val="24"/>
              </w:rPr>
            </w:pPr>
            <w:r w:rsidRPr="003902AE">
              <w:rPr>
                <w:sz w:val="24"/>
                <w:szCs w:val="24"/>
              </w:rPr>
              <w:t>До попереднього року</w:t>
            </w:r>
          </w:p>
        </w:tc>
        <w:tc>
          <w:tcPr>
            <w:tcW w:w="4708" w:type="dxa"/>
            <w:gridSpan w:val="3"/>
            <w:vAlign w:val="center"/>
          </w:tcPr>
          <w:p w:rsidR="009F13BE" w:rsidRPr="003902AE" w:rsidRDefault="009F13BE" w:rsidP="0080779D">
            <w:pPr>
              <w:contextualSpacing/>
              <w:jc w:val="center"/>
              <w:rPr>
                <w:sz w:val="24"/>
                <w:szCs w:val="24"/>
              </w:rPr>
            </w:pPr>
            <w:r w:rsidRPr="003902AE">
              <w:rPr>
                <w:sz w:val="24"/>
                <w:szCs w:val="24"/>
              </w:rPr>
              <w:t>Довідково: споживання на одну особу</w:t>
            </w:r>
          </w:p>
        </w:tc>
      </w:tr>
      <w:tr w:rsidR="009F13BE" w:rsidRPr="003902AE" w:rsidTr="003902AE">
        <w:tc>
          <w:tcPr>
            <w:tcW w:w="2518" w:type="dxa"/>
            <w:vMerge/>
            <w:vAlign w:val="center"/>
          </w:tcPr>
          <w:p w:rsidR="009F13BE" w:rsidRPr="003902AE" w:rsidRDefault="009F13BE" w:rsidP="0080779D">
            <w:pPr>
              <w:ind w:firstLine="709"/>
              <w:contextualSpacing/>
              <w:jc w:val="center"/>
              <w:rPr>
                <w:sz w:val="24"/>
                <w:szCs w:val="24"/>
              </w:rPr>
            </w:pPr>
          </w:p>
        </w:tc>
        <w:tc>
          <w:tcPr>
            <w:tcW w:w="851" w:type="dxa"/>
            <w:vAlign w:val="center"/>
          </w:tcPr>
          <w:p w:rsidR="009F13BE" w:rsidRPr="003902AE" w:rsidRDefault="009F13BE" w:rsidP="0080779D">
            <w:pPr>
              <w:contextualSpacing/>
              <w:jc w:val="center"/>
              <w:rPr>
                <w:sz w:val="24"/>
                <w:szCs w:val="24"/>
              </w:rPr>
            </w:pPr>
            <w:r w:rsidRPr="003902AE">
              <w:rPr>
                <w:sz w:val="24"/>
                <w:szCs w:val="24"/>
              </w:rPr>
              <w:t>2000</w:t>
            </w:r>
          </w:p>
        </w:tc>
        <w:tc>
          <w:tcPr>
            <w:tcW w:w="850" w:type="dxa"/>
            <w:vAlign w:val="center"/>
          </w:tcPr>
          <w:p w:rsidR="009F13BE" w:rsidRPr="003902AE" w:rsidRDefault="009F13BE" w:rsidP="0080779D">
            <w:pPr>
              <w:contextualSpacing/>
              <w:jc w:val="center"/>
              <w:rPr>
                <w:sz w:val="24"/>
                <w:szCs w:val="24"/>
              </w:rPr>
            </w:pPr>
            <w:r w:rsidRPr="003902AE">
              <w:rPr>
                <w:sz w:val="24"/>
                <w:szCs w:val="24"/>
              </w:rPr>
              <w:t>2005</w:t>
            </w:r>
          </w:p>
        </w:tc>
        <w:tc>
          <w:tcPr>
            <w:tcW w:w="709" w:type="dxa"/>
            <w:vAlign w:val="center"/>
          </w:tcPr>
          <w:p w:rsidR="009F13BE" w:rsidRPr="003902AE" w:rsidRDefault="00081CFB" w:rsidP="0080779D">
            <w:pPr>
              <w:ind w:left="-108"/>
              <w:contextualSpacing/>
              <w:jc w:val="center"/>
              <w:rPr>
                <w:sz w:val="24"/>
                <w:szCs w:val="24"/>
              </w:rPr>
            </w:pPr>
            <w:r w:rsidRPr="003902AE">
              <w:rPr>
                <w:sz w:val="24"/>
                <w:szCs w:val="24"/>
              </w:rPr>
              <w:t>2011</w:t>
            </w:r>
          </w:p>
        </w:tc>
        <w:tc>
          <w:tcPr>
            <w:tcW w:w="1843" w:type="dxa"/>
            <w:vAlign w:val="center"/>
          </w:tcPr>
          <w:p w:rsidR="009F13BE" w:rsidRPr="003902AE" w:rsidRDefault="009F13BE" w:rsidP="0080779D">
            <w:pPr>
              <w:ind w:left="-108" w:right="-108"/>
              <w:contextualSpacing/>
              <w:jc w:val="center"/>
              <w:rPr>
                <w:sz w:val="24"/>
                <w:szCs w:val="24"/>
              </w:rPr>
            </w:pPr>
            <w:r w:rsidRPr="003902AE">
              <w:rPr>
                <w:sz w:val="24"/>
                <w:szCs w:val="24"/>
              </w:rPr>
              <w:t>Види продовольства</w:t>
            </w:r>
          </w:p>
        </w:tc>
        <w:tc>
          <w:tcPr>
            <w:tcW w:w="1417" w:type="dxa"/>
            <w:vAlign w:val="center"/>
          </w:tcPr>
          <w:p w:rsidR="009F13BE" w:rsidRPr="003902AE" w:rsidRDefault="009F13BE" w:rsidP="0080779D">
            <w:pPr>
              <w:ind w:left="-108"/>
              <w:contextualSpacing/>
              <w:jc w:val="center"/>
              <w:rPr>
                <w:sz w:val="24"/>
                <w:szCs w:val="24"/>
              </w:rPr>
            </w:pPr>
            <w:r w:rsidRPr="003902AE">
              <w:rPr>
                <w:sz w:val="24"/>
                <w:szCs w:val="24"/>
              </w:rPr>
              <w:t>Раціональна норма, кг</w:t>
            </w:r>
          </w:p>
        </w:tc>
        <w:tc>
          <w:tcPr>
            <w:tcW w:w="1448" w:type="dxa"/>
            <w:vAlign w:val="center"/>
          </w:tcPr>
          <w:p w:rsidR="009F13BE" w:rsidRPr="003902AE" w:rsidRDefault="00081CFB" w:rsidP="0080779D">
            <w:pPr>
              <w:ind w:left="-108" w:right="-78"/>
              <w:contextualSpacing/>
              <w:jc w:val="center"/>
              <w:rPr>
                <w:sz w:val="24"/>
                <w:szCs w:val="24"/>
              </w:rPr>
            </w:pPr>
            <w:r w:rsidRPr="003902AE">
              <w:rPr>
                <w:sz w:val="24"/>
                <w:szCs w:val="24"/>
              </w:rPr>
              <w:t>Спожито у 2011</w:t>
            </w:r>
            <w:r w:rsidR="009F13BE" w:rsidRPr="003902AE">
              <w:rPr>
                <w:sz w:val="24"/>
                <w:szCs w:val="24"/>
              </w:rPr>
              <w:t xml:space="preserve"> р., кг</w:t>
            </w:r>
          </w:p>
        </w:tc>
      </w:tr>
      <w:tr w:rsidR="009F13BE" w:rsidRPr="003902AE" w:rsidTr="003902AE">
        <w:tc>
          <w:tcPr>
            <w:tcW w:w="2518" w:type="dxa"/>
            <w:vAlign w:val="center"/>
          </w:tcPr>
          <w:p w:rsidR="009F13BE" w:rsidRPr="003902AE" w:rsidRDefault="009F13BE" w:rsidP="0080779D">
            <w:pPr>
              <w:contextualSpacing/>
              <w:jc w:val="center"/>
              <w:rPr>
                <w:sz w:val="24"/>
                <w:szCs w:val="24"/>
              </w:rPr>
            </w:pPr>
            <w:r w:rsidRPr="003902AE">
              <w:rPr>
                <w:sz w:val="24"/>
                <w:szCs w:val="24"/>
              </w:rPr>
              <w:t>Валової продукції</w:t>
            </w:r>
          </w:p>
        </w:tc>
        <w:tc>
          <w:tcPr>
            <w:tcW w:w="851" w:type="dxa"/>
            <w:vAlign w:val="center"/>
          </w:tcPr>
          <w:p w:rsidR="009F13BE" w:rsidRPr="003902AE" w:rsidRDefault="009F13BE" w:rsidP="0080779D">
            <w:pPr>
              <w:contextualSpacing/>
              <w:jc w:val="center"/>
              <w:rPr>
                <w:sz w:val="24"/>
                <w:szCs w:val="24"/>
              </w:rPr>
            </w:pPr>
            <w:r w:rsidRPr="003902AE">
              <w:rPr>
                <w:sz w:val="24"/>
                <w:szCs w:val="24"/>
              </w:rPr>
              <w:t>1,10</w:t>
            </w:r>
          </w:p>
        </w:tc>
        <w:tc>
          <w:tcPr>
            <w:tcW w:w="850" w:type="dxa"/>
            <w:vAlign w:val="center"/>
          </w:tcPr>
          <w:p w:rsidR="009F13BE" w:rsidRPr="003902AE" w:rsidRDefault="009F13BE" w:rsidP="0080779D">
            <w:pPr>
              <w:contextualSpacing/>
              <w:jc w:val="center"/>
              <w:rPr>
                <w:sz w:val="24"/>
                <w:szCs w:val="24"/>
              </w:rPr>
            </w:pPr>
            <w:r w:rsidRPr="003902AE">
              <w:rPr>
                <w:sz w:val="24"/>
                <w:szCs w:val="24"/>
              </w:rPr>
              <w:t>1,00</w:t>
            </w:r>
          </w:p>
        </w:tc>
        <w:tc>
          <w:tcPr>
            <w:tcW w:w="709" w:type="dxa"/>
            <w:vAlign w:val="center"/>
          </w:tcPr>
          <w:p w:rsidR="009F13BE" w:rsidRPr="003902AE" w:rsidRDefault="009F13BE" w:rsidP="0080779D">
            <w:pPr>
              <w:contextualSpacing/>
              <w:jc w:val="center"/>
              <w:rPr>
                <w:sz w:val="24"/>
                <w:szCs w:val="24"/>
              </w:rPr>
            </w:pPr>
            <w:r w:rsidRPr="003902AE">
              <w:rPr>
                <w:sz w:val="24"/>
                <w:szCs w:val="24"/>
              </w:rPr>
              <w:t>0,9</w:t>
            </w:r>
            <w:r w:rsidR="00081CFB" w:rsidRPr="003902AE">
              <w:rPr>
                <w:sz w:val="24"/>
                <w:szCs w:val="24"/>
              </w:rPr>
              <w:t>8</w:t>
            </w:r>
          </w:p>
        </w:tc>
        <w:tc>
          <w:tcPr>
            <w:tcW w:w="1843" w:type="dxa"/>
            <w:vAlign w:val="center"/>
          </w:tcPr>
          <w:p w:rsidR="009F13BE" w:rsidRPr="003902AE" w:rsidRDefault="009F13BE" w:rsidP="0080779D">
            <w:pPr>
              <w:contextualSpacing/>
              <w:jc w:val="center"/>
              <w:rPr>
                <w:sz w:val="24"/>
                <w:szCs w:val="24"/>
              </w:rPr>
            </w:pPr>
            <w:r w:rsidRPr="003902AE">
              <w:rPr>
                <w:sz w:val="24"/>
                <w:szCs w:val="24"/>
              </w:rPr>
              <w:t>М’ясо</w:t>
            </w:r>
          </w:p>
        </w:tc>
        <w:tc>
          <w:tcPr>
            <w:tcW w:w="1417" w:type="dxa"/>
            <w:vAlign w:val="center"/>
          </w:tcPr>
          <w:p w:rsidR="009F13BE" w:rsidRPr="003902AE" w:rsidRDefault="009F13BE" w:rsidP="0080779D">
            <w:pPr>
              <w:contextualSpacing/>
              <w:jc w:val="center"/>
              <w:rPr>
                <w:sz w:val="24"/>
                <w:szCs w:val="24"/>
              </w:rPr>
            </w:pPr>
            <w:r w:rsidRPr="003902AE">
              <w:rPr>
                <w:sz w:val="24"/>
                <w:szCs w:val="24"/>
              </w:rPr>
              <w:t>75</w:t>
            </w:r>
          </w:p>
        </w:tc>
        <w:tc>
          <w:tcPr>
            <w:tcW w:w="1448" w:type="dxa"/>
            <w:vAlign w:val="center"/>
          </w:tcPr>
          <w:p w:rsidR="009F13BE" w:rsidRPr="003902AE" w:rsidRDefault="00081CFB" w:rsidP="0080779D">
            <w:pPr>
              <w:contextualSpacing/>
              <w:jc w:val="center"/>
              <w:rPr>
                <w:sz w:val="24"/>
                <w:szCs w:val="24"/>
              </w:rPr>
            </w:pPr>
            <w:r w:rsidRPr="003902AE">
              <w:rPr>
                <w:sz w:val="24"/>
                <w:szCs w:val="24"/>
              </w:rPr>
              <w:t>75,51</w:t>
            </w:r>
          </w:p>
        </w:tc>
      </w:tr>
      <w:tr w:rsidR="009F13BE" w:rsidRPr="003902AE" w:rsidTr="003902AE">
        <w:tc>
          <w:tcPr>
            <w:tcW w:w="2518" w:type="dxa"/>
            <w:vAlign w:val="center"/>
          </w:tcPr>
          <w:p w:rsidR="009F13BE" w:rsidRPr="003902AE" w:rsidRDefault="009F13BE" w:rsidP="0080779D">
            <w:pPr>
              <w:contextualSpacing/>
              <w:jc w:val="center"/>
              <w:rPr>
                <w:sz w:val="24"/>
                <w:szCs w:val="24"/>
              </w:rPr>
            </w:pPr>
            <w:r w:rsidRPr="003902AE">
              <w:rPr>
                <w:sz w:val="24"/>
                <w:szCs w:val="24"/>
              </w:rPr>
              <w:t>Поголів’я тварин, у тому числі:</w:t>
            </w:r>
          </w:p>
          <w:p w:rsidR="009F13BE" w:rsidRPr="003902AE" w:rsidRDefault="009F13BE" w:rsidP="0080779D">
            <w:pPr>
              <w:pStyle w:val="a7"/>
              <w:numPr>
                <w:ilvl w:val="0"/>
                <w:numId w:val="5"/>
              </w:numPr>
              <w:rPr>
                <w:sz w:val="24"/>
                <w:szCs w:val="24"/>
              </w:rPr>
            </w:pPr>
            <w:r w:rsidRPr="003902AE">
              <w:rPr>
                <w:sz w:val="24"/>
                <w:szCs w:val="24"/>
              </w:rPr>
              <w:t>ВРХ, усього</w:t>
            </w:r>
          </w:p>
        </w:tc>
        <w:tc>
          <w:tcPr>
            <w:tcW w:w="851"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1,0</w:t>
            </w:r>
          </w:p>
        </w:tc>
        <w:tc>
          <w:tcPr>
            <w:tcW w:w="850"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0,94</w:t>
            </w:r>
          </w:p>
        </w:tc>
        <w:tc>
          <w:tcPr>
            <w:tcW w:w="709"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0,</w:t>
            </w:r>
            <w:r w:rsidR="00081CFB" w:rsidRPr="003902AE">
              <w:rPr>
                <w:sz w:val="24"/>
                <w:szCs w:val="24"/>
              </w:rPr>
              <w:t>9</w:t>
            </w:r>
            <w:r w:rsidRPr="003902AE">
              <w:rPr>
                <w:sz w:val="24"/>
                <w:szCs w:val="24"/>
              </w:rPr>
              <w:t>8</w:t>
            </w:r>
          </w:p>
        </w:tc>
        <w:tc>
          <w:tcPr>
            <w:tcW w:w="1843"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Молоко</w:t>
            </w:r>
          </w:p>
        </w:tc>
        <w:tc>
          <w:tcPr>
            <w:tcW w:w="1417"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370</w:t>
            </w:r>
          </w:p>
        </w:tc>
        <w:tc>
          <w:tcPr>
            <w:tcW w:w="1448" w:type="dxa"/>
            <w:vAlign w:val="center"/>
          </w:tcPr>
          <w:p w:rsidR="009F13BE" w:rsidRPr="003902AE" w:rsidRDefault="009F13BE" w:rsidP="0080779D">
            <w:pPr>
              <w:ind w:firstLine="709"/>
              <w:contextualSpacing/>
              <w:jc w:val="center"/>
              <w:rPr>
                <w:sz w:val="24"/>
                <w:szCs w:val="24"/>
              </w:rPr>
            </w:pPr>
          </w:p>
          <w:p w:rsidR="009F13BE" w:rsidRPr="003902AE" w:rsidRDefault="009F13BE" w:rsidP="0080779D">
            <w:pPr>
              <w:ind w:firstLine="709"/>
              <w:contextualSpacing/>
              <w:jc w:val="center"/>
              <w:rPr>
                <w:sz w:val="24"/>
                <w:szCs w:val="24"/>
              </w:rPr>
            </w:pPr>
          </w:p>
          <w:p w:rsidR="009F13BE" w:rsidRPr="003902AE" w:rsidRDefault="009F13BE" w:rsidP="0080779D">
            <w:pPr>
              <w:contextualSpacing/>
              <w:jc w:val="center"/>
              <w:rPr>
                <w:sz w:val="24"/>
                <w:szCs w:val="24"/>
              </w:rPr>
            </w:pPr>
            <w:r w:rsidRPr="003902AE">
              <w:rPr>
                <w:sz w:val="24"/>
                <w:szCs w:val="24"/>
              </w:rPr>
              <w:t>2</w:t>
            </w:r>
            <w:r w:rsidR="00081CFB" w:rsidRPr="003902AE">
              <w:rPr>
                <w:sz w:val="24"/>
                <w:szCs w:val="24"/>
              </w:rPr>
              <w:t>05</w:t>
            </w:r>
          </w:p>
        </w:tc>
      </w:tr>
      <w:tr w:rsidR="009F13BE" w:rsidRPr="003902AE" w:rsidTr="003902AE">
        <w:tc>
          <w:tcPr>
            <w:tcW w:w="2518" w:type="dxa"/>
            <w:vAlign w:val="center"/>
          </w:tcPr>
          <w:p w:rsidR="009F13BE" w:rsidRPr="003902AE" w:rsidRDefault="009F13BE" w:rsidP="0080779D">
            <w:pPr>
              <w:pStyle w:val="a7"/>
              <w:numPr>
                <w:ilvl w:val="0"/>
                <w:numId w:val="4"/>
              </w:numPr>
              <w:tabs>
                <w:tab w:val="left" w:pos="426"/>
              </w:tabs>
              <w:rPr>
                <w:sz w:val="24"/>
                <w:szCs w:val="24"/>
              </w:rPr>
            </w:pPr>
            <w:r w:rsidRPr="003902AE">
              <w:rPr>
                <w:sz w:val="24"/>
                <w:szCs w:val="24"/>
              </w:rPr>
              <w:t>з них корів</w:t>
            </w:r>
          </w:p>
        </w:tc>
        <w:tc>
          <w:tcPr>
            <w:tcW w:w="851" w:type="dxa"/>
            <w:vAlign w:val="center"/>
          </w:tcPr>
          <w:p w:rsidR="009F13BE" w:rsidRPr="003902AE" w:rsidRDefault="009F13BE" w:rsidP="0080779D">
            <w:pPr>
              <w:contextualSpacing/>
              <w:jc w:val="center"/>
              <w:rPr>
                <w:sz w:val="24"/>
                <w:szCs w:val="24"/>
              </w:rPr>
            </w:pPr>
            <w:r w:rsidRPr="003902AE">
              <w:rPr>
                <w:sz w:val="24"/>
                <w:szCs w:val="24"/>
              </w:rPr>
              <w:t>0,99</w:t>
            </w:r>
          </w:p>
        </w:tc>
        <w:tc>
          <w:tcPr>
            <w:tcW w:w="850" w:type="dxa"/>
            <w:vAlign w:val="center"/>
          </w:tcPr>
          <w:p w:rsidR="009F13BE" w:rsidRPr="003902AE" w:rsidRDefault="009F13BE" w:rsidP="0080779D">
            <w:pPr>
              <w:contextualSpacing/>
              <w:jc w:val="center"/>
              <w:rPr>
                <w:sz w:val="24"/>
                <w:szCs w:val="24"/>
              </w:rPr>
            </w:pPr>
            <w:r w:rsidRPr="003902AE">
              <w:rPr>
                <w:sz w:val="24"/>
                <w:szCs w:val="24"/>
              </w:rPr>
              <w:t>0,93</w:t>
            </w:r>
          </w:p>
        </w:tc>
        <w:tc>
          <w:tcPr>
            <w:tcW w:w="709" w:type="dxa"/>
            <w:vAlign w:val="center"/>
          </w:tcPr>
          <w:p w:rsidR="009F13BE" w:rsidRPr="003902AE" w:rsidRDefault="009F13BE" w:rsidP="0080779D">
            <w:pPr>
              <w:contextualSpacing/>
              <w:jc w:val="center"/>
              <w:rPr>
                <w:sz w:val="24"/>
                <w:szCs w:val="24"/>
              </w:rPr>
            </w:pPr>
            <w:r w:rsidRPr="003902AE">
              <w:rPr>
                <w:sz w:val="24"/>
                <w:szCs w:val="24"/>
              </w:rPr>
              <w:t>0,9</w:t>
            </w:r>
            <w:r w:rsidR="00081CFB" w:rsidRPr="003902AE">
              <w:rPr>
                <w:sz w:val="24"/>
                <w:szCs w:val="24"/>
              </w:rPr>
              <w:t>8</w:t>
            </w:r>
          </w:p>
        </w:tc>
        <w:tc>
          <w:tcPr>
            <w:tcW w:w="1843" w:type="dxa"/>
            <w:vAlign w:val="center"/>
          </w:tcPr>
          <w:p w:rsidR="009F13BE" w:rsidRPr="003902AE" w:rsidRDefault="009F13BE" w:rsidP="0080779D">
            <w:pPr>
              <w:contextualSpacing/>
              <w:jc w:val="center"/>
              <w:rPr>
                <w:sz w:val="24"/>
                <w:szCs w:val="24"/>
              </w:rPr>
            </w:pPr>
            <w:r w:rsidRPr="003902AE">
              <w:rPr>
                <w:sz w:val="24"/>
                <w:szCs w:val="24"/>
              </w:rPr>
              <w:t>Яйця (шт.)</w:t>
            </w:r>
          </w:p>
        </w:tc>
        <w:tc>
          <w:tcPr>
            <w:tcW w:w="1417" w:type="dxa"/>
            <w:vAlign w:val="center"/>
          </w:tcPr>
          <w:p w:rsidR="009F13BE" w:rsidRPr="003902AE" w:rsidRDefault="009F13BE" w:rsidP="0080779D">
            <w:pPr>
              <w:contextualSpacing/>
              <w:jc w:val="center"/>
              <w:rPr>
                <w:sz w:val="24"/>
                <w:szCs w:val="24"/>
              </w:rPr>
            </w:pPr>
            <w:r w:rsidRPr="003902AE">
              <w:rPr>
                <w:sz w:val="24"/>
                <w:szCs w:val="24"/>
              </w:rPr>
              <w:t>275</w:t>
            </w:r>
          </w:p>
        </w:tc>
        <w:tc>
          <w:tcPr>
            <w:tcW w:w="1448" w:type="dxa"/>
            <w:vAlign w:val="center"/>
          </w:tcPr>
          <w:p w:rsidR="009F13BE" w:rsidRPr="003902AE" w:rsidRDefault="00081CFB" w:rsidP="0080779D">
            <w:pPr>
              <w:contextualSpacing/>
              <w:jc w:val="center"/>
              <w:rPr>
                <w:sz w:val="24"/>
                <w:szCs w:val="24"/>
              </w:rPr>
            </w:pPr>
            <w:r w:rsidRPr="003902AE">
              <w:rPr>
                <w:sz w:val="24"/>
                <w:szCs w:val="24"/>
              </w:rPr>
              <w:t>310</w:t>
            </w:r>
          </w:p>
        </w:tc>
      </w:tr>
      <w:tr w:rsidR="009F13BE" w:rsidRPr="003902AE" w:rsidTr="003902AE">
        <w:tc>
          <w:tcPr>
            <w:tcW w:w="2518" w:type="dxa"/>
            <w:vAlign w:val="center"/>
          </w:tcPr>
          <w:p w:rsidR="009F13BE" w:rsidRPr="003902AE" w:rsidRDefault="009F13BE" w:rsidP="0080779D">
            <w:pPr>
              <w:pStyle w:val="a7"/>
              <w:numPr>
                <w:ilvl w:val="0"/>
                <w:numId w:val="3"/>
              </w:numPr>
              <w:tabs>
                <w:tab w:val="left" w:pos="579"/>
              </w:tabs>
              <w:rPr>
                <w:sz w:val="24"/>
                <w:szCs w:val="24"/>
              </w:rPr>
            </w:pPr>
            <w:r w:rsidRPr="003902AE">
              <w:rPr>
                <w:sz w:val="24"/>
                <w:szCs w:val="24"/>
              </w:rPr>
              <w:t>свиней</w:t>
            </w:r>
          </w:p>
        </w:tc>
        <w:tc>
          <w:tcPr>
            <w:tcW w:w="851" w:type="dxa"/>
            <w:vAlign w:val="center"/>
          </w:tcPr>
          <w:p w:rsidR="009F13BE" w:rsidRPr="003902AE" w:rsidRDefault="009F13BE" w:rsidP="0080779D">
            <w:pPr>
              <w:contextualSpacing/>
              <w:jc w:val="center"/>
              <w:rPr>
                <w:sz w:val="24"/>
                <w:szCs w:val="24"/>
              </w:rPr>
            </w:pPr>
            <w:r w:rsidRPr="003902AE">
              <w:rPr>
                <w:sz w:val="24"/>
                <w:szCs w:val="24"/>
              </w:rPr>
              <w:t>1,09</w:t>
            </w:r>
          </w:p>
        </w:tc>
        <w:tc>
          <w:tcPr>
            <w:tcW w:w="850" w:type="dxa"/>
            <w:vAlign w:val="center"/>
          </w:tcPr>
          <w:p w:rsidR="009F13BE" w:rsidRPr="003902AE" w:rsidRDefault="009F13BE" w:rsidP="0080779D">
            <w:pPr>
              <w:contextualSpacing/>
              <w:jc w:val="center"/>
              <w:rPr>
                <w:sz w:val="24"/>
                <w:szCs w:val="24"/>
              </w:rPr>
            </w:pPr>
            <w:r w:rsidRPr="003902AE">
              <w:rPr>
                <w:sz w:val="24"/>
                <w:szCs w:val="24"/>
              </w:rPr>
              <w:t>1,09</w:t>
            </w:r>
          </w:p>
        </w:tc>
        <w:tc>
          <w:tcPr>
            <w:tcW w:w="709" w:type="dxa"/>
            <w:vAlign w:val="center"/>
          </w:tcPr>
          <w:p w:rsidR="009F13BE" w:rsidRPr="003902AE" w:rsidRDefault="009F13BE" w:rsidP="0080779D">
            <w:pPr>
              <w:contextualSpacing/>
              <w:jc w:val="center"/>
              <w:rPr>
                <w:sz w:val="24"/>
                <w:szCs w:val="24"/>
              </w:rPr>
            </w:pPr>
            <w:r w:rsidRPr="003902AE">
              <w:rPr>
                <w:sz w:val="24"/>
                <w:szCs w:val="24"/>
              </w:rPr>
              <w:t>0,</w:t>
            </w:r>
            <w:r w:rsidR="00081CFB" w:rsidRPr="003902AE">
              <w:rPr>
                <w:sz w:val="24"/>
                <w:szCs w:val="24"/>
              </w:rPr>
              <w:t>93</w:t>
            </w:r>
          </w:p>
        </w:tc>
        <w:tc>
          <w:tcPr>
            <w:tcW w:w="1843" w:type="dxa"/>
            <w:vAlign w:val="center"/>
          </w:tcPr>
          <w:p w:rsidR="009F13BE" w:rsidRPr="003902AE" w:rsidRDefault="009F13BE" w:rsidP="0080779D">
            <w:pPr>
              <w:contextualSpacing/>
              <w:jc w:val="center"/>
              <w:rPr>
                <w:sz w:val="24"/>
                <w:szCs w:val="24"/>
              </w:rPr>
            </w:pPr>
            <w:r w:rsidRPr="003902AE">
              <w:rPr>
                <w:sz w:val="24"/>
                <w:szCs w:val="24"/>
              </w:rPr>
              <w:t>х</w:t>
            </w:r>
          </w:p>
        </w:tc>
        <w:tc>
          <w:tcPr>
            <w:tcW w:w="1417" w:type="dxa"/>
            <w:vAlign w:val="center"/>
          </w:tcPr>
          <w:p w:rsidR="009F13BE" w:rsidRPr="003902AE" w:rsidRDefault="009F13BE" w:rsidP="0080779D">
            <w:pPr>
              <w:contextualSpacing/>
              <w:jc w:val="center"/>
              <w:rPr>
                <w:sz w:val="24"/>
                <w:szCs w:val="24"/>
              </w:rPr>
            </w:pPr>
            <w:r w:rsidRPr="003902AE">
              <w:rPr>
                <w:sz w:val="24"/>
                <w:szCs w:val="24"/>
              </w:rPr>
              <w:t>х</w:t>
            </w:r>
          </w:p>
        </w:tc>
        <w:tc>
          <w:tcPr>
            <w:tcW w:w="1448" w:type="dxa"/>
            <w:vAlign w:val="center"/>
          </w:tcPr>
          <w:p w:rsidR="009F13BE" w:rsidRPr="003902AE" w:rsidRDefault="009F13BE" w:rsidP="0080779D">
            <w:pPr>
              <w:contextualSpacing/>
              <w:jc w:val="center"/>
              <w:rPr>
                <w:sz w:val="24"/>
                <w:szCs w:val="24"/>
              </w:rPr>
            </w:pPr>
            <w:r w:rsidRPr="003902AE">
              <w:rPr>
                <w:sz w:val="24"/>
                <w:szCs w:val="24"/>
              </w:rPr>
              <w:t>х</w:t>
            </w:r>
          </w:p>
        </w:tc>
      </w:tr>
    </w:tbl>
    <w:p w:rsidR="009F13BE" w:rsidRPr="00676B96" w:rsidRDefault="009F13BE" w:rsidP="003371CA">
      <w:pPr>
        <w:spacing w:line="360" w:lineRule="auto"/>
        <w:ind w:firstLine="709"/>
        <w:contextualSpacing/>
        <w:jc w:val="both"/>
        <w:rPr>
          <w:rFonts w:ascii="Times New Roman" w:hAnsi="Times New Roman" w:cs="Times New Roman"/>
          <w:sz w:val="20"/>
          <w:szCs w:val="20"/>
        </w:rPr>
      </w:pPr>
      <w:r w:rsidRPr="00676B96">
        <w:rPr>
          <w:rFonts w:ascii="Times New Roman" w:hAnsi="Times New Roman" w:cs="Times New Roman"/>
          <w:sz w:val="20"/>
          <w:szCs w:val="20"/>
        </w:rPr>
        <w:t>Джерело: Україна</w:t>
      </w:r>
      <w:r w:rsidR="00372C4C" w:rsidRPr="00676B96">
        <w:rPr>
          <w:rFonts w:ascii="Times New Roman" w:hAnsi="Times New Roman" w:cs="Times New Roman"/>
          <w:sz w:val="20"/>
          <w:szCs w:val="20"/>
        </w:rPr>
        <w:t xml:space="preserve"> в цифрах </w:t>
      </w:r>
      <w:r w:rsidRPr="00676B96">
        <w:rPr>
          <w:rFonts w:ascii="Times New Roman" w:hAnsi="Times New Roman" w:cs="Times New Roman"/>
          <w:sz w:val="20"/>
          <w:szCs w:val="20"/>
        </w:rPr>
        <w:t xml:space="preserve"> </w:t>
      </w:r>
      <w:r w:rsidR="00372C4C" w:rsidRPr="00676B96">
        <w:rPr>
          <w:rFonts w:ascii="Times New Roman" w:hAnsi="Times New Roman" w:cs="Times New Roman"/>
          <w:sz w:val="20"/>
          <w:szCs w:val="20"/>
        </w:rPr>
        <w:t xml:space="preserve">2011 р. </w:t>
      </w:r>
      <w:r w:rsidR="00372C4C" w:rsidRPr="00676B96">
        <w:rPr>
          <w:rFonts w:ascii="Times New Roman" w:hAnsi="Times New Roman" w:cs="Times New Roman"/>
          <w:sz w:val="20"/>
          <w:szCs w:val="20"/>
        </w:rPr>
        <w:sym w:font="Symbol" w:char="F02D"/>
      </w:r>
      <w:r w:rsidR="00676B96" w:rsidRPr="00676B96">
        <w:rPr>
          <w:rFonts w:ascii="Times New Roman" w:hAnsi="Times New Roman" w:cs="Times New Roman"/>
          <w:sz w:val="20"/>
          <w:szCs w:val="20"/>
        </w:rPr>
        <w:t xml:space="preserve"> К., 2011. – С. 84, 99;</w:t>
      </w:r>
      <w:r w:rsidR="00372C4C" w:rsidRPr="00676B96">
        <w:rPr>
          <w:rFonts w:ascii="Times New Roman" w:hAnsi="Times New Roman" w:cs="Times New Roman"/>
          <w:sz w:val="20"/>
          <w:szCs w:val="20"/>
        </w:rPr>
        <w:t xml:space="preserve"> Сільське господарство України 2010. – К., 2011. – С. 158. </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При цьому треба врахувати, що значну частку споживання за наведеними видами продукції, окрім імпорту, забезпечують особисті підсобні домогосподарства населення, що з позицій ціноутворення виглядає на перший погляд нібито алогічно, особливо якщо зважити на нижчі закупівельні ціни на продукцію цих господарств, відсутність стосовно них цільових дотацій з бюджету для стимулювання збільшення поголів’я корів хоча б на тому рівні, який  мають сільськогосподарські підприємства.</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 xml:space="preserve">Звісно, це певною мірою позначається на виробництві, оскільки відсутність економічної заінтересованості не сприяє нарощуванню його обсягів, безвідносно до того, хто це здійснює. Тому-то і в особистих підсобних домогосподарствах населення приріст виробництва сільськогосподарської продукції спочатку зупинився, а  починаючи з 2005 р. воно навіть скорочується. Зокрема, починаючи з 2002 р., темпи приросту продукції рослинництва й тваринництва почали знижуватись, а з 2003 р. намітилась тенденція скорочення загальних обсягів її виробництва. </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 xml:space="preserve">Але треба зважити на те, що основною метою виробництва в особистих підсобних домогосподарствах населення є забезпечення продуктами харчування членів власної сім’ї. Тільки надлишки виробленої продукції тут стають товарною. Саме в цьому полягає основна відмінність щодо ставлення </w:t>
      </w:r>
      <w:r w:rsidRPr="003371CA">
        <w:rPr>
          <w:rFonts w:ascii="Times New Roman" w:hAnsi="Times New Roman" w:cs="Times New Roman"/>
          <w:sz w:val="28"/>
          <w:szCs w:val="28"/>
        </w:rPr>
        <w:lastRenderedPageBreak/>
        <w:t xml:space="preserve">до виробленої продукції на сільськогосподарських підприємствах та в особистих підсобних домогосподарствах населення, яке непрямо впливає на рівень цін: на перших основною метою є виробництво товарної продукції. У других першорядним є забезпечення власних потреб у продуктах харчування, а товарна продукція тут розглядається як джерело побічних неосновних доходів. </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До того ж за такою продукцією, як молоко, яйця, птиця є досить суттєві сезонні коливання щодо обсягів виробництва в особистих підсобних домогосподарствах населення у весняно-літній, та осінньо-зимовий періоди і тому близько 30 відсотків виробленого тут м’яса й молока, а також більше 50 відсотків яєць постачається на ринок, не зважаючи, що з позицій окупності витрат це суперечить економічним законам. Проте психологічний чинник</w:t>
      </w:r>
      <w:r w:rsidRPr="003371CA">
        <w:rPr>
          <w:rStyle w:val="a6"/>
          <w:rFonts w:ascii="Times New Roman" w:hAnsi="Times New Roman" w:cs="Times New Roman"/>
          <w:sz w:val="28"/>
          <w:szCs w:val="28"/>
        </w:rPr>
        <w:footnoteReference w:id="3"/>
      </w:r>
      <w:r w:rsidRPr="003371CA">
        <w:rPr>
          <w:rFonts w:ascii="Times New Roman" w:hAnsi="Times New Roman" w:cs="Times New Roman"/>
          <w:sz w:val="28"/>
          <w:szCs w:val="28"/>
        </w:rPr>
        <w:t xml:space="preserve">, як і те, що тут не калькулюється собівартість виробленої продукції, дає можливість особистим підсобним господарством </w:t>
      </w:r>
      <w:r w:rsidR="00676B96">
        <w:rPr>
          <w:rFonts w:ascii="Times New Roman" w:hAnsi="Times New Roman" w:cs="Times New Roman"/>
          <w:sz w:val="28"/>
          <w:szCs w:val="28"/>
        </w:rPr>
        <w:t>наразі</w:t>
      </w:r>
      <w:r w:rsidRPr="003371CA">
        <w:rPr>
          <w:rFonts w:ascii="Times New Roman" w:hAnsi="Times New Roman" w:cs="Times New Roman"/>
          <w:sz w:val="28"/>
          <w:szCs w:val="28"/>
        </w:rPr>
        <w:t xml:space="preserve"> бути головним виробником перш за все тваринницької продукції (крім яєць), а також картоплі, овочів, плодів і ягід.</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І хоч загалом особисті підсобні господарства населення продовжують виробляти поки що майже 60 відсотків валової продукції сільського господарства, що з позицій цінового фактора виглядає нібито й нелогічним, так не може тривати безкінечно, оскільки демографічні процеси на селі та урбанізація неминуче призведуть до зменшення виробництва сільськогосподарської продукції в особистих підсобних домогосподарствах населення</w:t>
      </w:r>
      <w:r w:rsidRPr="003371CA">
        <w:rPr>
          <w:rStyle w:val="a6"/>
          <w:rFonts w:ascii="Times New Roman" w:hAnsi="Times New Roman" w:cs="Times New Roman"/>
          <w:sz w:val="28"/>
          <w:szCs w:val="28"/>
        </w:rPr>
        <w:footnoteReference w:id="4"/>
      </w:r>
      <w:r w:rsidRPr="003371CA">
        <w:rPr>
          <w:rFonts w:ascii="Times New Roman" w:hAnsi="Times New Roman" w:cs="Times New Roman"/>
          <w:sz w:val="28"/>
          <w:szCs w:val="28"/>
        </w:rPr>
        <w:t xml:space="preserve">. Тому не існує жодної дилеми щодо подальшого розвитку агарного виробництва, як це іноді проголошується на основі динаміки обсягів валової продукції за категоріями господарств, а висновок має бути </w:t>
      </w:r>
      <w:r w:rsidRPr="003371CA">
        <w:rPr>
          <w:rFonts w:ascii="Times New Roman" w:hAnsi="Times New Roman" w:cs="Times New Roman"/>
          <w:sz w:val="28"/>
          <w:szCs w:val="28"/>
        </w:rPr>
        <w:lastRenderedPageBreak/>
        <w:t xml:space="preserve">однозначним: поряд із всілякою підтримкою особистих підсобних господарств, оскільки їх потенціал ще не вичерпаний, прорив на ринку продовольства у напрямі досягнення науково обґрунтованих раціональних норм споживання – верхньої межі дійсного попиту громадян держави – можливий за умови суттєвого нарощування виробництва продукції на сільськогосподарських підприємствах. Бо не дивлячись на те, що особисті підсобні господарства населення після 1990 р. стрімко наростили виробництво продукції, особливо тваринницької, так і не вдалось вийти на уже досягнутий у минулому рівень і загалом виробництво майже всіх видів продукції сільського господарства є меншим, ніж у 90-ті роки ХХ ст. </w:t>
      </w:r>
    </w:p>
    <w:p w:rsidR="003902AE" w:rsidRPr="00676B96" w:rsidRDefault="009F13BE" w:rsidP="00676B96">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 xml:space="preserve">У першу чергу поки що недосяжними є показники 1990 р. щодо виробництва молока і м’яса, де невідповідність цін і собівартості є </w:t>
      </w:r>
      <w:r w:rsidR="00676B96">
        <w:rPr>
          <w:rFonts w:ascii="Times New Roman" w:hAnsi="Times New Roman" w:cs="Times New Roman"/>
          <w:sz w:val="28"/>
          <w:szCs w:val="28"/>
        </w:rPr>
        <w:t>найбільшою. П</w:t>
      </w:r>
      <w:r w:rsidRPr="003371CA">
        <w:rPr>
          <w:rFonts w:ascii="Times New Roman" w:hAnsi="Times New Roman" w:cs="Times New Roman"/>
          <w:sz w:val="28"/>
          <w:szCs w:val="28"/>
        </w:rPr>
        <w:t>риміром, виробництво соняшнику перевищило рубіж 1990 р. і його обсяги далі зростають, що підтверджує тезу про головну роль у стимулюванні цінового чинника, адже за цим видом продукції (як і ріпаком) окупність витрат сільськогосподарських п</w:t>
      </w:r>
      <w:r w:rsidR="00676B96">
        <w:rPr>
          <w:rFonts w:ascii="Times New Roman" w:hAnsi="Times New Roman" w:cs="Times New Roman"/>
          <w:sz w:val="28"/>
          <w:szCs w:val="28"/>
        </w:rPr>
        <w:t>ідприємств упродовж                 2000-2011</w:t>
      </w:r>
      <w:r w:rsidRPr="003371CA">
        <w:rPr>
          <w:rFonts w:ascii="Times New Roman" w:hAnsi="Times New Roman" w:cs="Times New Roman"/>
          <w:sz w:val="28"/>
          <w:szCs w:val="28"/>
        </w:rPr>
        <w:t xml:space="preserve"> рр. була найвищою (табл. 4).</w:t>
      </w:r>
    </w:p>
    <w:p w:rsidR="00930303" w:rsidRPr="006B105F" w:rsidRDefault="009F13BE" w:rsidP="006B105F">
      <w:pPr>
        <w:spacing w:line="360" w:lineRule="auto"/>
        <w:ind w:firstLine="709"/>
        <w:contextualSpacing/>
        <w:jc w:val="right"/>
        <w:rPr>
          <w:rFonts w:ascii="Times New Roman" w:hAnsi="Times New Roman" w:cs="Times New Roman"/>
          <w:i/>
          <w:sz w:val="28"/>
          <w:szCs w:val="28"/>
        </w:rPr>
      </w:pPr>
      <w:r w:rsidRPr="003371CA">
        <w:rPr>
          <w:rFonts w:ascii="Times New Roman" w:hAnsi="Times New Roman" w:cs="Times New Roman"/>
          <w:i/>
          <w:sz w:val="28"/>
          <w:szCs w:val="28"/>
        </w:rPr>
        <w:t>Таблиця 4</w:t>
      </w:r>
    </w:p>
    <w:p w:rsidR="009F13BE" w:rsidRPr="003371CA" w:rsidRDefault="009F13BE" w:rsidP="006B105F">
      <w:pPr>
        <w:spacing w:line="240" w:lineRule="auto"/>
        <w:ind w:firstLine="709"/>
        <w:contextualSpacing/>
        <w:jc w:val="center"/>
        <w:rPr>
          <w:rFonts w:ascii="Times New Roman" w:hAnsi="Times New Roman" w:cs="Times New Roman"/>
          <w:sz w:val="28"/>
          <w:szCs w:val="28"/>
          <w:lang w:val="ru-RU"/>
        </w:rPr>
      </w:pPr>
      <w:r w:rsidRPr="003371CA">
        <w:rPr>
          <w:rFonts w:ascii="Times New Roman" w:hAnsi="Times New Roman" w:cs="Times New Roman"/>
          <w:sz w:val="28"/>
          <w:szCs w:val="28"/>
        </w:rPr>
        <w:t xml:space="preserve">Виробництво основних видів сільськогосподарської продукції </w:t>
      </w:r>
    </w:p>
    <w:p w:rsidR="009F13BE" w:rsidRPr="003371CA" w:rsidRDefault="00372C4C" w:rsidP="006B105F">
      <w:pPr>
        <w:spacing w:line="240" w:lineRule="auto"/>
        <w:ind w:firstLine="709"/>
        <w:contextualSpacing/>
        <w:jc w:val="center"/>
        <w:rPr>
          <w:rFonts w:ascii="Times New Roman" w:hAnsi="Times New Roman" w:cs="Times New Roman"/>
          <w:sz w:val="28"/>
          <w:szCs w:val="28"/>
        </w:rPr>
      </w:pPr>
      <w:r w:rsidRPr="003371CA">
        <w:rPr>
          <w:rFonts w:ascii="Times New Roman" w:hAnsi="Times New Roman" w:cs="Times New Roman"/>
          <w:sz w:val="28"/>
          <w:szCs w:val="28"/>
        </w:rPr>
        <w:t>за 1990-2011</w:t>
      </w:r>
      <w:r w:rsidR="009F13BE" w:rsidRPr="003371CA">
        <w:rPr>
          <w:rFonts w:ascii="Times New Roman" w:hAnsi="Times New Roman" w:cs="Times New Roman"/>
          <w:sz w:val="28"/>
          <w:szCs w:val="28"/>
        </w:rPr>
        <w:t xml:space="preserve"> роки</w:t>
      </w:r>
    </w:p>
    <w:p w:rsidR="009F13BE" w:rsidRPr="003371CA" w:rsidRDefault="009F13BE" w:rsidP="006B105F">
      <w:pPr>
        <w:spacing w:line="240" w:lineRule="auto"/>
        <w:ind w:firstLine="709"/>
        <w:contextualSpacing/>
        <w:jc w:val="right"/>
        <w:rPr>
          <w:rFonts w:ascii="Times New Roman" w:hAnsi="Times New Roman" w:cs="Times New Roman"/>
          <w:sz w:val="28"/>
          <w:szCs w:val="28"/>
        </w:rPr>
      </w:pPr>
      <w:r w:rsidRPr="003371CA">
        <w:rPr>
          <w:rFonts w:ascii="Times New Roman" w:hAnsi="Times New Roman" w:cs="Times New Roman"/>
          <w:sz w:val="28"/>
          <w:szCs w:val="28"/>
        </w:rPr>
        <w:t>(тис. т)</w:t>
      </w:r>
    </w:p>
    <w:tbl>
      <w:tblPr>
        <w:tblStyle w:val="a3"/>
        <w:tblW w:w="0" w:type="auto"/>
        <w:tblLook w:val="01E0"/>
      </w:tblPr>
      <w:tblGrid>
        <w:gridCol w:w="2938"/>
        <w:gridCol w:w="884"/>
        <w:gridCol w:w="883"/>
        <w:gridCol w:w="883"/>
        <w:gridCol w:w="883"/>
        <w:gridCol w:w="816"/>
        <w:gridCol w:w="1211"/>
        <w:gridCol w:w="1072"/>
      </w:tblGrid>
      <w:tr w:rsidR="003902AE" w:rsidRPr="003902AE" w:rsidTr="003902AE">
        <w:tc>
          <w:tcPr>
            <w:tcW w:w="3122" w:type="dxa"/>
            <w:vMerge w:val="restart"/>
            <w:vAlign w:val="center"/>
          </w:tcPr>
          <w:p w:rsidR="003902AE" w:rsidRPr="003902AE" w:rsidRDefault="003902AE" w:rsidP="003902AE">
            <w:pPr>
              <w:contextualSpacing/>
              <w:jc w:val="center"/>
              <w:rPr>
                <w:sz w:val="24"/>
                <w:szCs w:val="24"/>
              </w:rPr>
            </w:pPr>
            <w:r w:rsidRPr="003902AE">
              <w:rPr>
                <w:sz w:val="24"/>
                <w:szCs w:val="24"/>
              </w:rPr>
              <w:t>Показники</w:t>
            </w:r>
          </w:p>
        </w:tc>
        <w:tc>
          <w:tcPr>
            <w:tcW w:w="5637" w:type="dxa"/>
            <w:gridSpan w:val="6"/>
            <w:vAlign w:val="center"/>
          </w:tcPr>
          <w:p w:rsidR="003902AE" w:rsidRPr="003902AE" w:rsidRDefault="003902AE" w:rsidP="003902AE">
            <w:pPr>
              <w:ind w:firstLine="709"/>
              <w:contextualSpacing/>
              <w:jc w:val="center"/>
              <w:rPr>
                <w:sz w:val="24"/>
                <w:szCs w:val="24"/>
              </w:rPr>
            </w:pPr>
            <w:r w:rsidRPr="003902AE">
              <w:rPr>
                <w:sz w:val="24"/>
                <w:szCs w:val="24"/>
              </w:rPr>
              <w:t>Роки</w:t>
            </w:r>
          </w:p>
        </w:tc>
        <w:tc>
          <w:tcPr>
            <w:tcW w:w="1095" w:type="dxa"/>
            <w:vMerge w:val="restart"/>
            <w:vAlign w:val="center"/>
          </w:tcPr>
          <w:p w:rsidR="003902AE" w:rsidRPr="003902AE" w:rsidRDefault="003902AE" w:rsidP="003902AE">
            <w:pPr>
              <w:contextualSpacing/>
              <w:jc w:val="center"/>
              <w:rPr>
                <w:sz w:val="24"/>
                <w:szCs w:val="24"/>
              </w:rPr>
            </w:pPr>
            <w:r w:rsidRPr="003902AE">
              <w:rPr>
                <w:sz w:val="24"/>
                <w:szCs w:val="24"/>
              </w:rPr>
              <w:t>2011 р. до 1990р. %</w:t>
            </w:r>
          </w:p>
        </w:tc>
      </w:tr>
      <w:tr w:rsidR="003902AE" w:rsidRPr="003902AE" w:rsidTr="003902AE">
        <w:tc>
          <w:tcPr>
            <w:tcW w:w="3122" w:type="dxa"/>
            <w:vMerge/>
            <w:vAlign w:val="center"/>
          </w:tcPr>
          <w:p w:rsidR="003902AE" w:rsidRPr="003902AE" w:rsidRDefault="003902AE" w:rsidP="003902AE">
            <w:pPr>
              <w:ind w:firstLine="709"/>
              <w:contextualSpacing/>
              <w:jc w:val="center"/>
              <w:rPr>
                <w:sz w:val="24"/>
                <w:szCs w:val="24"/>
              </w:rPr>
            </w:pPr>
          </w:p>
        </w:tc>
        <w:tc>
          <w:tcPr>
            <w:tcW w:w="891" w:type="dxa"/>
            <w:vAlign w:val="center"/>
          </w:tcPr>
          <w:p w:rsidR="003902AE" w:rsidRPr="003902AE" w:rsidRDefault="003902AE" w:rsidP="003902AE">
            <w:pPr>
              <w:contextualSpacing/>
              <w:jc w:val="center"/>
              <w:rPr>
                <w:sz w:val="24"/>
                <w:szCs w:val="24"/>
              </w:rPr>
            </w:pPr>
            <w:r w:rsidRPr="003902AE">
              <w:rPr>
                <w:sz w:val="24"/>
                <w:szCs w:val="24"/>
              </w:rPr>
              <w:t>1990</w:t>
            </w:r>
          </w:p>
        </w:tc>
        <w:tc>
          <w:tcPr>
            <w:tcW w:w="891" w:type="dxa"/>
            <w:vAlign w:val="center"/>
          </w:tcPr>
          <w:p w:rsidR="003902AE" w:rsidRPr="003902AE" w:rsidRDefault="003902AE" w:rsidP="003902AE">
            <w:pPr>
              <w:contextualSpacing/>
              <w:jc w:val="center"/>
              <w:rPr>
                <w:sz w:val="24"/>
                <w:szCs w:val="24"/>
              </w:rPr>
            </w:pPr>
            <w:r w:rsidRPr="003902AE">
              <w:rPr>
                <w:sz w:val="24"/>
                <w:szCs w:val="24"/>
              </w:rPr>
              <w:t>1995</w:t>
            </w:r>
          </w:p>
        </w:tc>
        <w:tc>
          <w:tcPr>
            <w:tcW w:w="891" w:type="dxa"/>
            <w:vAlign w:val="center"/>
          </w:tcPr>
          <w:p w:rsidR="003902AE" w:rsidRPr="003902AE" w:rsidRDefault="003902AE" w:rsidP="003902AE">
            <w:pPr>
              <w:contextualSpacing/>
              <w:jc w:val="center"/>
              <w:rPr>
                <w:sz w:val="24"/>
                <w:szCs w:val="24"/>
              </w:rPr>
            </w:pPr>
            <w:r w:rsidRPr="003902AE">
              <w:rPr>
                <w:sz w:val="24"/>
                <w:szCs w:val="24"/>
              </w:rPr>
              <w:t>2000</w:t>
            </w:r>
          </w:p>
        </w:tc>
        <w:tc>
          <w:tcPr>
            <w:tcW w:w="891" w:type="dxa"/>
            <w:vAlign w:val="center"/>
          </w:tcPr>
          <w:p w:rsidR="003902AE" w:rsidRPr="003902AE" w:rsidRDefault="003902AE" w:rsidP="003902AE">
            <w:pPr>
              <w:contextualSpacing/>
              <w:jc w:val="center"/>
              <w:rPr>
                <w:sz w:val="24"/>
                <w:szCs w:val="24"/>
              </w:rPr>
            </w:pPr>
            <w:r w:rsidRPr="003902AE">
              <w:rPr>
                <w:sz w:val="24"/>
                <w:szCs w:val="24"/>
              </w:rPr>
              <w:t>2005</w:t>
            </w:r>
          </w:p>
        </w:tc>
        <w:tc>
          <w:tcPr>
            <w:tcW w:w="816" w:type="dxa"/>
            <w:vAlign w:val="center"/>
          </w:tcPr>
          <w:p w:rsidR="003902AE" w:rsidRPr="003902AE" w:rsidRDefault="003902AE" w:rsidP="003902AE">
            <w:pPr>
              <w:contextualSpacing/>
              <w:jc w:val="center"/>
              <w:rPr>
                <w:sz w:val="24"/>
                <w:szCs w:val="24"/>
              </w:rPr>
            </w:pPr>
            <w:r w:rsidRPr="003902AE">
              <w:rPr>
                <w:sz w:val="24"/>
                <w:szCs w:val="24"/>
              </w:rPr>
              <w:t>2007</w:t>
            </w:r>
          </w:p>
        </w:tc>
        <w:tc>
          <w:tcPr>
            <w:tcW w:w="1257" w:type="dxa"/>
            <w:vAlign w:val="center"/>
          </w:tcPr>
          <w:p w:rsidR="003902AE" w:rsidRPr="003902AE" w:rsidRDefault="003902AE" w:rsidP="003902AE">
            <w:pPr>
              <w:contextualSpacing/>
              <w:jc w:val="center"/>
              <w:rPr>
                <w:sz w:val="24"/>
                <w:szCs w:val="24"/>
              </w:rPr>
            </w:pPr>
            <w:r w:rsidRPr="003902AE">
              <w:rPr>
                <w:sz w:val="24"/>
                <w:szCs w:val="24"/>
              </w:rPr>
              <w:t>2011</w:t>
            </w:r>
          </w:p>
        </w:tc>
        <w:tc>
          <w:tcPr>
            <w:tcW w:w="1095" w:type="dxa"/>
            <w:vMerge/>
            <w:vAlign w:val="center"/>
          </w:tcPr>
          <w:p w:rsidR="003902AE" w:rsidRPr="003902AE" w:rsidRDefault="003902AE" w:rsidP="003902AE">
            <w:pPr>
              <w:contextualSpacing/>
              <w:jc w:val="center"/>
              <w:rPr>
                <w:sz w:val="24"/>
                <w:szCs w:val="24"/>
              </w:rPr>
            </w:pP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Зернові культури</w:t>
            </w:r>
          </w:p>
        </w:tc>
        <w:tc>
          <w:tcPr>
            <w:tcW w:w="891" w:type="dxa"/>
            <w:vAlign w:val="center"/>
          </w:tcPr>
          <w:p w:rsidR="00372C4C" w:rsidRPr="003902AE" w:rsidRDefault="00372C4C" w:rsidP="003902AE">
            <w:pPr>
              <w:contextualSpacing/>
              <w:jc w:val="center"/>
              <w:rPr>
                <w:sz w:val="24"/>
                <w:szCs w:val="24"/>
              </w:rPr>
            </w:pPr>
            <w:r w:rsidRPr="003902AE">
              <w:rPr>
                <w:sz w:val="24"/>
                <w:szCs w:val="24"/>
              </w:rPr>
              <w:t>51009</w:t>
            </w:r>
          </w:p>
        </w:tc>
        <w:tc>
          <w:tcPr>
            <w:tcW w:w="891" w:type="dxa"/>
            <w:vAlign w:val="center"/>
          </w:tcPr>
          <w:p w:rsidR="00372C4C" w:rsidRPr="003902AE" w:rsidRDefault="00372C4C" w:rsidP="003902AE">
            <w:pPr>
              <w:contextualSpacing/>
              <w:jc w:val="center"/>
              <w:rPr>
                <w:sz w:val="24"/>
                <w:szCs w:val="24"/>
              </w:rPr>
            </w:pPr>
            <w:r w:rsidRPr="003902AE">
              <w:rPr>
                <w:sz w:val="24"/>
                <w:szCs w:val="24"/>
              </w:rPr>
              <w:t>33930</w:t>
            </w:r>
          </w:p>
        </w:tc>
        <w:tc>
          <w:tcPr>
            <w:tcW w:w="891" w:type="dxa"/>
            <w:vAlign w:val="center"/>
          </w:tcPr>
          <w:p w:rsidR="00372C4C" w:rsidRPr="003902AE" w:rsidRDefault="00372C4C" w:rsidP="003902AE">
            <w:pPr>
              <w:contextualSpacing/>
              <w:jc w:val="center"/>
              <w:rPr>
                <w:sz w:val="24"/>
                <w:szCs w:val="24"/>
              </w:rPr>
            </w:pPr>
            <w:r w:rsidRPr="003902AE">
              <w:rPr>
                <w:sz w:val="24"/>
                <w:szCs w:val="24"/>
              </w:rPr>
              <w:t>24459</w:t>
            </w:r>
          </w:p>
        </w:tc>
        <w:tc>
          <w:tcPr>
            <w:tcW w:w="891" w:type="dxa"/>
            <w:vAlign w:val="center"/>
          </w:tcPr>
          <w:p w:rsidR="00372C4C" w:rsidRPr="003902AE" w:rsidRDefault="00372C4C" w:rsidP="003902AE">
            <w:pPr>
              <w:contextualSpacing/>
              <w:jc w:val="center"/>
              <w:rPr>
                <w:sz w:val="24"/>
                <w:szCs w:val="24"/>
              </w:rPr>
            </w:pPr>
            <w:r w:rsidRPr="003902AE">
              <w:rPr>
                <w:sz w:val="24"/>
                <w:szCs w:val="24"/>
              </w:rPr>
              <w:t>38016</w:t>
            </w:r>
          </w:p>
        </w:tc>
        <w:tc>
          <w:tcPr>
            <w:tcW w:w="816" w:type="dxa"/>
            <w:vAlign w:val="center"/>
          </w:tcPr>
          <w:p w:rsidR="00372C4C" w:rsidRPr="003902AE" w:rsidRDefault="00372C4C" w:rsidP="003902AE">
            <w:pPr>
              <w:contextualSpacing/>
              <w:jc w:val="center"/>
              <w:rPr>
                <w:sz w:val="24"/>
                <w:szCs w:val="24"/>
              </w:rPr>
            </w:pPr>
            <w:r w:rsidRPr="003902AE">
              <w:rPr>
                <w:sz w:val="24"/>
                <w:szCs w:val="24"/>
              </w:rPr>
              <w:t>29295</w:t>
            </w:r>
          </w:p>
        </w:tc>
        <w:tc>
          <w:tcPr>
            <w:tcW w:w="1257" w:type="dxa"/>
            <w:vAlign w:val="center"/>
          </w:tcPr>
          <w:p w:rsidR="00372C4C" w:rsidRPr="003902AE" w:rsidRDefault="002B0FBC" w:rsidP="003902AE">
            <w:pPr>
              <w:contextualSpacing/>
              <w:jc w:val="center"/>
              <w:rPr>
                <w:sz w:val="24"/>
                <w:szCs w:val="24"/>
              </w:rPr>
            </w:pPr>
            <w:r w:rsidRPr="003902AE">
              <w:rPr>
                <w:sz w:val="24"/>
                <w:szCs w:val="24"/>
              </w:rPr>
              <w:t>56747</w:t>
            </w:r>
          </w:p>
        </w:tc>
        <w:tc>
          <w:tcPr>
            <w:tcW w:w="1095" w:type="dxa"/>
            <w:vAlign w:val="center"/>
          </w:tcPr>
          <w:p w:rsidR="00372C4C" w:rsidRPr="003902AE" w:rsidRDefault="002B0FBC" w:rsidP="003902AE">
            <w:pPr>
              <w:contextualSpacing/>
              <w:jc w:val="center"/>
              <w:rPr>
                <w:sz w:val="24"/>
                <w:szCs w:val="24"/>
              </w:rPr>
            </w:pPr>
            <w:r w:rsidRPr="003902AE">
              <w:rPr>
                <w:sz w:val="24"/>
                <w:szCs w:val="24"/>
              </w:rPr>
              <w:t>111,2</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Цукрові буряки (фабричні)</w:t>
            </w:r>
          </w:p>
        </w:tc>
        <w:tc>
          <w:tcPr>
            <w:tcW w:w="891" w:type="dxa"/>
            <w:vAlign w:val="center"/>
          </w:tcPr>
          <w:p w:rsidR="00372C4C" w:rsidRPr="003902AE" w:rsidRDefault="00372C4C" w:rsidP="003902AE">
            <w:pPr>
              <w:contextualSpacing/>
              <w:jc w:val="center"/>
              <w:rPr>
                <w:sz w:val="24"/>
                <w:szCs w:val="24"/>
              </w:rPr>
            </w:pPr>
            <w:r w:rsidRPr="003902AE">
              <w:rPr>
                <w:sz w:val="24"/>
                <w:szCs w:val="24"/>
              </w:rPr>
              <w:t>44264</w:t>
            </w:r>
          </w:p>
        </w:tc>
        <w:tc>
          <w:tcPr>
            <w:tcW w:w="891" w:type="dxa"/>
            <w:vAlign w:val="center"/>
          </w:tcPr>
          <w:p w:rsidR="00372C4C" w:rsidRPr="003902AE" w:rsidRDefault="00372C4C" w:rsidP="003902AE">
            <w:pPr>
              <w:contextualSpacing/>
              <w:jc w:val="center"/>
              <w:rPr>
                <w:sz w:val="24"/>
                <w:szCs w:val="24"/>
              </w:rPr>
            </w:pPr>
            <w:r w:rsidRPr="003902AE">
              <w:rPr>
                <w:sz w:val="24"/>
                <w:szCs w:val="24"/>
              </w:rPr>
              <w:t>29650</w:t>
            </w:r>
          </w:p>
        </w:tc>
        <w:tc>
          <w:tcPr>
            <w:tcW w:w="891" w:type="dxa"/>
            <w:vAlign w:val="center"/>
          </w:tcPr>
          <w:p w:rsidR="00372C4C" w:rsidRPr="003902AE" w:rsidRDefault="00372C4C" w:rsidP="003902AE">
            <w:pPr>
              <w:contextualSpacing/>
              <w:jc w:val="center"/>
              <w:rPr>
                <w:sz w:val="24"/>
                <w:szCs w:val="24"/>
              </w:rPr>
            </w:pPr>
            <w:r w:rsidRPr="003902AE">
              <w:rPr>
                <w:sz w:val="24"/>
                <w:szCs w:val="24"/>
              </w:rPr>
              <w:t>13199</w:t>
            </w:r>
          </w:p>
        </w:tc>
        <w:tc>
          <w:tcPr>
            <w:tcW w:w="891" w:type="dxa"/>
            <w:vAlign w:val="center"/>
          </w:tcPr>
          <w:p w:rsidR="00372C4C" w:rsidRPr="003902AE" w:rsidRDefault="00372C4C" w:rsidP="003902AE">
            <w:pPr>
              <w:contextualSpacing/>
              <w:jc w:val="center"/>
              <w:rPr>
                <w:sz w:val="24"/>
                <w:szCs w:val="24"/>
              </w:rPr>
            </w:pPr>
            <w:r w:rsidRPr="003902AE">
              <w:rPr>
                <w:sz w:val="24"/>
                <w:szCs w:val="24"/>
              </w:rPr>
              <w:t>15468</w:t>
            </w:r>
          </w:p>
        </w:tc>
        <w:tc>
          <w:tcPr>
            <w:tcW w:w="816" w:type="dxa"/>
            <w:vAlign w:val="center"/>
          </w:tcPr>
          <w:p w:rsidR="00372C4C" w:rsidRPr="003902AE" w:rsidRDefault="00372C4C" w:rsidP="003902AE">
            <w:pPr>
              <w:contextualSpacing/>
              <w:jc w:val="center"/>
              <w:rPr>
                <w:sz w:val="24"/>
                <w:szCs w:val="24"/>
              </w:rPr>
            </w:pPr>
            <w:r w:rsidRPr="003902AE">
              <w:rPr>
                <w:sz w:val="24"/>
                <w:szCs w:val="24"/>
              </w:rPr>
              <w:t>16978</w:t>
            </w:r>
          </w:p>
        </w:tc>
        <w:tc>
          <w:tcPr>
            <w:tcW w:w="1257" w:type="dxa"/>
            <w:vAlign w:val="center"/>
          </w:tcPr>
          <w:p w:rsidR="00372C4C" w:rsidRPr="003902AE" w:rsidRDefault="002B0FBC" w:rsidP="003902AE">
            <w:pPr>
              <w:contextualSpacing/>
              <w:jc w:val="center"/>
              <w:rPr>
                <w:sz w:val="24"/>
                <w:szCs w:val="24"/>
              </w:rPr>
            </w:pPr>
            <w:r w:rsidRPr="003902AE">
              <w:rPr>
                <w:sz w:val="24"/>
                <w:szCs w:val="24"/>
              </w:rPr>
              <w:t>18740</w:t>
            </w:r>
          </w:p>
        </w:tc>
        <w:tc>
          <w:tcPr>
            <w:tcW w:w="1095" w:type="dxa"/>
            <w:vAlign w:val="center"/>
          </w:tcPr>
          <w:p w:rsidR="00372C4C" w:rsidRPr="003902AE" w:rsidRDefault="00FE3272" w:rsidP="003902AE">
            <w:pPr>
              <w:contextualSpacing/>
              <w:jc w:val="center"/>
              <w:rPr>
                <w:sz w:val="24"/>
                <w:szCs w:val="24"/>
              </w:rPr>
            </w:pPr>
            <w:r w:rsidRPr="003902AE">
              <w:rPr>
                <w:sz w:val="24"/>
                <w:szCs w:val="24"/>
              </w:rPr>
              <w:t>42,3</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Соняшник</w:t>
            </w:r>
          </w:p>
        </w:tc>
        <w:tc>
          <w:tcPr>
            <w:tcW w:w="891" w:type="dxa"/>
            <w:vAlign w:val="center"/>
          </w:tcPr>
          <w:p w:rsidR="00372C4C" w:rsidRPr="003902AE" w:rsidRDefault="00372C4C" w:rsidP="003902AE">
            <w:pPr>
              <w:contextualSpacing/>
              <w:jc w:val="center"/>
              <w:rPr>
                <w:sz w:val="24"/>
                <w:szCs w:val="24"/>
              </w:rPr>
            </w:pPr>
            <w:r w:rsidRPr="003902AE">
              <w:rPr>
                <w:sz w:val="24"/>
                <w:szCs w:val="24"/>
              </w:rPr>
              <w:t>2571</w:t>
            </w:r>
          </w:p>
        </w:tc>
        <w:tc>
          <w:tcPr>
            <w:tcW w:w="891" w:type="dxa"/>
            <w:vAlign w:val="center"/>
          </w:tcPr>
          <w:p w:rsidR="00372C4C" w:rsidRPr="003902AE" w:rsidRDefault="00372C4C" w:rsidP="003902AE">
            <w:pPr>
              <w:contextualSpacing/>
              <w:jc w:val="center"/>
              <w:rPr>
                <w:sz w:val="24"/>
                <w:szCs w:val="24"/>
              </w:rPr>
            </w:pPr>
            <w:r w:rsidRPr="003902AE">
              <w:rPr>
                <w:sz w:val="24"/>
                <w:szCs w:val="24"/>
              </w:rPr>
              <w:t>2860</w:t>
            </w:r>
          </w:p>
        </w:tc>
        <w:tc>
          <w:tcPr>
            <w:tcW w:w="891" w:type="dxa"/>
            <w:vAlign w:val="center"/>
          </w:tcPr>
          <w:p w:rsidR="00372C4C" w:rsidRPr="003902AE" w:rsidRDefault="00372C4C" w:rsidP="003902AE">
            <w:pPr>
              <w:contextualSpacing/>
              <w:jc w:val="center"/>
              <w:rPr>
                <w:sz w:val="24"/>
                <w:szCs w:val="24"/>
              </w:rPr>
            </w:pPr>
            <w:r w:rsidRPr="003902AE">
              <w:rPr>
                <w:sz w:val="24"/>
                <w:szCs w:val="24"/>
              </w:rPr>
              <w:t>3457</w:t>
            </w:r>
          </w:p>
        </w:tc>
        <w:tc>
          <w:tcPr>
            <w:tcW w:w="891" w:type="dxa"/>
            <w:vAlign w:val="center"/>
          </w:tcPr>
          <w:p w:rsidR="00372C4C" w:rsidRPr="003902AE" w:rsidRDefault="00372C4C" w:rsidP="003902AE">
            <w:pPr>
              <w:contextualSpacing/>
              <w:jc w:val="center"/>
              <w:rPr>
                <w:sz w:val="24"/>
                <w:szCs w:val="24"/>
              </w:rPr>
            </w:pPr>
            <w:r w:rsidRPr="003902AE">
              <w:rPr>
                <w:sz w:val="24"/>
                <w:szCs w:val="24"/>
              </w:rPr>
              <w:t>4706</w:t>
            </w:r>
          </w:p>
        </w:tc>
        <w:tc>
          <w:tcPr>
            <w:tcW w:w="816" w:type="dxa"/>
            <w:vAlign w:val="center"/>
          </w:tcPr>
          <w:p w:rsidR="00372C4C" w:rsidRPr="003902AE" w:rsidRDefault="00372C4C" w:rsidP="003902AE">
            <w:pPr>
              <w:contextualSpacing/>
              <w:jc w:val="center"/>
              <w:rPr>
                <w:sz w:val="24"/>
                <w:szCs w:val="24"/>
              </w:rPr>
            </w:pPr>
            <w:r w:rsidRPr="003902AE">
              <w:rPr>
                <w:sz w:val="24"/>
                <w:szCs w:val="24"/>
              </w:rPr>
              <w:t>4174</w:t>
            </w:r>
          </w:p>
        </w:tc>
        <w:tc>
          <w:tcPr>
            <w:tcW w:w="1257" w:type="dxa"/>
            <w:vAlign w:val="center"/>
          </w:tcPr>
          <w:p w:rsidR="00372C4C" w:rsidRPr="003902AE" w:rsidRDefault="00FE3272" w:rsidP="003902AE">
            <w:pPr>
              <w:contextualSpacing/>
              <w:jc w:val="center"/>
              <w:rPr>
                <w:sz w:val="24"/>
                <w:szCs w:val="24"/>
              </w:rPr>
            </w:pPr>
            <w:r w:rsidRPr="003902AE">
              <w:rPr>
                <w:sz w:val="24"/>
                <w:szCs w:val="24"/>
              </w:rPr>
              <w:t>8671</w:t>
            </w:r>
          </w:p>
        </w:tc>
        <w:tc>
          <w:tcPr>
            <w:tcW w:w="1095" w:type="dxa"/>
            <w:vAlign w:val="center"/>
          </w:tcPr>
          <w:p w:rsidR="00372C4C" w:rsidRPr="003902AE" w:rsidRDefault="00FE3272" w:rsidP="003902AE">
            <w:pPr>
              <w:contextualSpacing/>
              <w:jc w:val="center"/>
              <w:rPr>
                <w:sz w:val="24"/>
                <w:szCs w:val="24"/>
              </w:rPr>
            </w:pPr>
            <w:r w:rsidRPr="003902AE">
              <w:rPr>
                <w:sz w:val="24"/>
                <w:szCs w:val="24"/>
              </w:rPr>
              <w:t>337,3</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Картопля</w:t>
            </w:r>
          </w:p>
        </w:tc>
        <w:tc>
          <w:tcPr>
            <w:tcW w:w="891" w:type="dxa"/>
            <w:vAlign w:val="center"/>
          </w:tcPr>
          <w:p w:rsidR="00372C4C" w:rsidRPr="003902AE" w:rsidRDefault="00372C4C" w:rsidP="003902AE">
            <w:pPr>
              <w:contextualSpacing/>
              <w:jc w:val="center"/>
              <w:rPr>
                <w:sz w:val="24"/>
                <w:szCs w:val="24"/>
              </w:rPr>
            </w:pPr>
            <w:r w:rsidRPr="003902AE">
              <w:rPr>
                <w:sz w:val="24"/>
                <w:szCs w:val="24"/>
              </w:rPr>
              <w:t>16732</w:t>
            </w:r>
          </w:p>
        </w:tc>
        <w:tc>
          <w:tcPr>
            <w:tcW w:w="891" w:type="dxa"/>
            <w:vAlign w:val="center"/>
          </w:tcPr>
          <w:p w:rsidR="00372C4C" w:rsidRPr="003902AE" w:rsidRDefault="00372C4C" w:rsidP="003902AE">
            <w:pPr>
              <w:contextualSpacing/>
              <w:jc w:val="center"/>
              <w:rPr>
                <w:sz w:val="24"/>
                <w:szCs w:val="24"/>
              </w:rPr>
            </w:pPr>
            <w:r w:rsidRPr="003902AE">
              <w:rPr>
                <w:sz w:val="24"/>
                <w:szCs w:val="24"/>
              </w:rPr>
              <w:t>14729</w:t>
            </w:r>
          </w:p>
        </w:tc>
        <w:tc>
          <w:tcPr>
            <w:tcW w:w="891" w:type="dxa"/>
            <w:vAlign w:val="center"/>
          </w:tcPr>
          <w:p w:rsidR="00372C4C" w:rsidRPr="003902AE" w:rsidRDefault="00372C4C" w:rsidP="003902AE">
            <w:pPr>
              <w:contextualSpacing/>
              <w:jc w:val="center"/>
              <w:rPr>
                <w:sz w:val="24"/>
                <w:szCs w:val="24"/>
              </w:rPr>
            </w:pPr>
            <w:r w:rsidRPr="003902AE">
              <w:rPr>
                <w:sz w:val="24"/>
                <w:szCs w:val="24"/>
              </w:rPr>
              <w:t>19838</w:t>
            </w:r>
          </w:p>
        </w:tc>
        <w:tc>
          <w:tcPr>
            <w:tcW w:w="891" w:type="dxa"/>
            <w:vAlign w:val="center"/>
          </w:tcPr>
          <w:p w:rsidR="00372C4C" w:rsidRPr="003902AE" w:rsidRDefault="00372C4C" w:rsidP="003902AE">
            <w:pPr>
              <w:contextualSpacing/>
              <w:jc w:val="center"/>
              <w:rPr>
                <w:sz w:val="24"/>
                <w:szCs w:val="24"/>
              </w:rPr>
            </w:pPr>
            <w:r w:rsidRPr="003902AE">
              <w:rPr>
                <w:sz w:val="24"/>
                <w:szCs w:val="24"/>
              </w:rPr>
              <w:t>19462</w:t>
            </w:r>
          </w:p>
        </w:tc>
        <w:tc>
          <w:tcPr>
            <w:tcW w:w="816" w:type="dxa"/>
            <w:vAlign w:val="center"/>
          </w:tcPr>
          <w:p w:rsidR="00372C4C" w:rsidRPr="003902AE" w:rsidRDefault="00372C4C" w:rsidP="003902AE">
            <w:pPr>
              <w:contextualSpacing/>
              <w:jc w:val="center"/>
              <w:rPr>
                <w:sz w:val="24"/>
                <w:szCs w:val="24"/>
              </w:rPr>
            </w:pPr>
            <w:r w:rsidRPr="003902AE">
              <w:rPr>
                <w:sz w:val="24"/>
                <w:szCs w:val="24"/>
              </w:rPr>
              <w:t>19102</w:t>
            </w:r>
          </w:p>
        </w:tc>
        <w:tc>
          <w:tcPr>
            <w:tcW w:w="1257" w:type="dxa"/>
            <w:vAlign w:val="center"/>
          </w:tcPr>
          <w:p w:rsidR="00372C4C" w:rsidRPr="003902AE" w:rsidRDefault="004B73C2" w:rsidP="003902AE">
            <w:pPr>
              <w:contextualSpacing/>
              <w:jc w:val="center"/>
              <w:rPr>
                <w:sz w:val="24"/>
                <w:szCs w:val="24"/>
              </w:rPr>
            </w:pPr>
            <w:r w:rsidRPr="003902AE">
              <w:rPr>
                <w:sz w:val="24"/>
                <w:szCs w:val="24"/>
              </w:rPr>
              <w:t>24248</w:t>
            </w:r>
          </w:p>
        </w:tc>
        <w:tc>
          <w:tcPr>
            <w:tcW w:w="1095" w:type="dxa"/>
            <w:vAlign w:val="center"/>
          </w:tcPr>
          <w:p w:rsidR="00372C4C" w:rsidRPr="003902AE" w:rsidRDefault="004B73C2" w:rsidP="003902AE">
            <w:pPr>
              <w:contextualSpacing/>
              <w:jc w:val="center"/>
              <w:rPr>
                <w:sz w:val="24"/>
                <w:szCs w:val="24"/>
              </w:rPr>
            </w:pPr>
            <w:r w:rsidRPr="003902AE">
              <w:rPr>
                <w:sz w:val="24"/>
                <w:szCs w:val="24"/>
              </w:rPr>
              <w:t>144,9</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Овочі</w:t>
            </w:r>
          </w:p>
        </w:tc>
        <w:tc>
          <w:tcPr>
            <w:tcW w:w="891" w:type="dxa"/>
            <w:vAlign w:val="center"/>
          </w:tcPr>
          <w:p w:rsidR="00372C4C" w:rsidRPr="003902AE" w:rsidRDefault="00372C4C" w:rsidP="003902AE">
            <w:pPr>
              <w:contextualSpacing/>
              <w:jc w:val="center"/>
              <w:rPr>
                <w:sz w:val="24"/>
                <w:szCs w:val="24"/>
              </w:rPr>
            </w:pPr>
            <w:r w:rsidRPr="003902AE">
              <w:rPr>
                <w:sz w:val="24"/>
                <w:szCs w:val="24"/>
              </w:rPr>
              <w:t>6666</w:t>
            </w:r>
          </w:p>
        </w:tc>
        <w:tc>
          <w:tcPr>
            <w:tcW w:w="891" w:type="dxa"/>
            <w:vAlign w:val="center"/>
          </w:tcPr>
          <w:p w:rsidR="00372C4C" w:rsidRPr="003902AE" w:rsidRDefault="00372C4C" w:rsidP="003902AE">
            <w:pPr>
              <w:contextualSpacing/>
              <w:jc w:val="center"/>
              <w:rPr>
                <w:sz w:val="24"/>
                <w:szCs w:val="24"/>
              </w:rPr>
            </w:pPr>
            <w:r w:rsidRPr="003902AE">
              <w:rPr>
                <w:sz w:val="24"/>
                <w:szCs w:val="24"/>
              </w:rPr>
              <w:t>5880</w:t>
            </w:r>
          </w:p>
        </w:tc>
        <w:tc>
          <w:tcPr>
            <w:tcW w:w="891" w:type="dxa"/>
            <w:vAlign w:val="center"/>
          </w:tcPr>
          <w:p w:rsidR="00372C4C" w:rsidRPr="003902AE" w:rsidRDefault="00372C4C" w:rsidP="003902AE">
            <w:pPr>
              <w:contextualSpacing/>
              <w:jc w:val="center"/>
              <w:rPr>
                <w:sz w:val="24"/>
                <w:szCs w:val="24"/>
              </w:rPr>
            </w:pPr>
            <w:r w:rsidRPr="003902AE">
              <w:rPr>
                <w:sz w:val="24"/>
                <w:szCs w:val="24"/>
              </w:rPr>
              <w:t>5821</w:t>
            </w:r>
          </w:p>
        </w:tc>
        <w:tc>
          <w:tcPr>
            <w:tcW w:w="891" w:type="dxa"/>
            <w:vAlign w:val="center"/>
          </w:tcPr>
          <w:p w:rsidR="00372C4C" w:rsidRPr="003902AE" w:rsidRDefault="00372C4C" w:rsidP="003902AE">
            <w:pPr>
              <w:contextualSpacing/>
              <w:jc w:val="center"/>
              <w:rPr>
                <w:sz w:val="24"/>
                <w:szCs w:val="24"/>
              </w:rPr>
            </w:pPr>
            <w:r w:rsidRPr="003902AE">
              <w:rPr>
                <w:sz w:val="24"/>
                <w:szCs w:val="24"/>
              </w:rPr>
              <w:t>7295</w:t>
            </w:r>
          </w:p>
        </w:tc>
        <w:tc>
          <w:tcPr>
            <w:tcW w:w="816" w:type="dxa"/>
            <w:vAlign w:val="center"/>
          </w:tcPr>
          <w:p w:rsidR="00372C4C" w:rsidRPr="003902AE" w:rsidRDefault="00372C4C" w:rsidP="003902AE">
            <w:pPr>
              <w:contextualSpacing/>
              <w:jc w:val="center"/>
              <w:rPr>
                <w:sz w:val="24"/>
                <w:szCs w:val="24"/>
              </w:rPr>
            </w:pPr>
            <w:r w:rsidRPr="003902AE">
              <w:rPr>
                <w:sz w:val="24"/>
                <w:szCs w:val="24"/>
              </w:rPr>
              <w:t>6835</w:t>
            </w:r>
          </w:p>
        </w:tc>
        <w:tc>
          <w:tcPr>
            <w:tcW w:w="1257" w:type="dxa"/>
            <w:vAlign w:val="center"/>
          </w:tcPr>
          <w:p w:rsidR="00372C4C" w:rsidRPr="003902AE" w:rsidRDefault="004B73C2" w:rsidP="003902AE">
            <w:pPr>
              <w:contextualSpacing/>
              <w:jc w:val="center"/>
              <w:rPr>
                <w:sz w:val="24"/>
                <w:szCs w:val="24"/>
              </w:rPr>
            </w:pPr>
            <w:r w:rsidRPr="003902AE">
              <w:rPr>
                <w:sz w:val="24"/>
                <w:szCs w:val="24"/>
              </w:rPr>
              <w:t>9833</w:t>
            </w:r>
          </w:p>
        </w:tc>
        <w:tc>
          <w:tcPr>
            <w:tcW w:w="1095" w:type="dxa"/>
            <w:vAlign w:val="center"/>
          </w:tcPr>
          <w:p w:rsidR="00372C4C" w:rsidRPr="003902AE" w:rsidRDefault="004B73C2" w:rsidP="003902AE">
            <w:pPr>
              <w:contextualSpacing/>
              <w:jc w:val="center"/>
              <w:rPr>
                <w:sz w:val="24"/>
                <w:szCs w:val="24"/>
              </w:rPr>
            </w:pPr>
            <w:r w:rsidRPr="003902AE">
              <w:rPr>
                <w:sz w:val="24"/>
                <w:szCs w:val="24"/>
              </w:rPr>
              <w:t>147,5</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М’ясо всіх видів (у забійній вазі)</w:t>
            </w:r>
          </w:p>
        </w:tc>
        <w:tc>
          <w:tcPr>
            <w:tcW w:w="891" w:type="dxa"/>
            <w:vAlign w:val="center"/>
          </w:tcPr>
          <w:p w:rsidR="00372C4C" w:rsidRPr="003902AE" w:rsidRDefault="00372C4C" w:rsidP="003902AE">
            <w:pPr>
              <w:contextualSpacing/>
              <w:jc w:val="center"/>
              <w:rPr>
                <w:sz w:val="24"/>
                <w:szCs w:val="24"/>
              </w:rPr>
            </w:pPr>
            <w:r w:rsidRPr="003902AE">
              <w:rPr>
                <w:sz w:val="24"/>
                <w:szCs w:val="24"/>
              </w:rPr>
              <w:t>4858</w:t>
            </w:r>
          </w:p>
        </w:tc>
        <w:tc>
          <w:tcPr>
            <w:tcW w:w="891" w:type="dxa"/>
            <w:vAlign w:val="center"/>
          </w:tcPr>
          <w:p w:rsidR="00372C4C" w:rsidRPr="003902AE" w:rsidRDefault="00372C4C" w:rsidP="003902AE">
            <w:pPr>
              <w:contextualSpacing/>
              <w:jc w:val="center"/>
              <w:rPr>
                <w:sz w:val="24"/>
                <w:szCs w:val="24"/>
              </w:rPr>
            </w:pPr>
            <w:r w:rsidRPr="003902AE">
              <w:rPr>
                <w:sz w:val="24"/>
                <w:szCs w:val="24"/>
              </w:rPr>
              <w:t>2294</w:t>
            </w:r>
          </w:p>
        </w:tc>
        <w:tc>
          <w:tcPr>
            <w:tcW w:w="891" w:type="dxa"/>
            <w:vAlign w:val="center"/>
          </w:tcPr>
          <w:p w:rsidR="00372C4C" w:rsidRPr="003902AE" w:rsidRDefault="00372C4C" w:rsidP="003902AE">
            <w:pPr>
              <w:contextualSpacing/>
              <w:jc w:val="center"/>
              <w:rPr>
                <w:sz w:val="24"/>
                <w:szCs w:val="24"/>
              </w:rPr>
            </w:pPr>
            <w:r w:rsidRPr="003902AE">
              <w:rPr>
                <w:sz w:val="24"/>
                <w:szCs w:val="24"/>
              </w:rPr>
              <w:t>1663</w:t>
            </w:r>
          </w:p>
        </w:tc>
        <w:tc>
          <w:tcPr>
            <w:tcW w:w="891" w:type="dxa"/>
            <w:vAlign w:val="center"/>
          </w:tcPr>
          <w:p w:rsidR="00372C4C" w:rsidRPr="003902AE" w:rsidRDefault="00372C4C" w:rsidP="003902AE">
            <w:pPr>
              <w:contextualSpacing/>
              <w:jc w:val="center"/>
              <w:rPr>
                <w:sz w:val="24"/>
                <w:szCs w:val="24"/>
              </w:rPr>
            </w:pPr>
            <w:r w:rsidRPr="003902AE">
              <w:rPr>
                <w:sz w:val="24"/>
                <w:szCs w:val="24"/>
              </w:rPr>
              <w:t>1597</w:t>
            </w:r>
          </w:p>
        </w:tc>
        <w:tc>
          <w:tcPr>
            <w:tcW w:w="816" w:type="dxa"/>
            <w:vAlign w:val="center"/>
          </w:tcPr>
          <w:p w:rsidR="00372C4C" w:rsidRPr="003902AE" w:rsidRDefault="00372C4C" w:rsidP="003902AE">
            <w:pPr>
              <w:contextualSpacing/>
              <w:jc w:val="center"/>
              <w:rPr>
                <w:sz w:val="24"/>
                <w:szCs w:val="24"/>
              </w:rPr>
            </w:pPr>
            <w:r w:rsidRPr="003902AE">
              <w:rPr>
                <w:sz w:val="24"/>
                <w:szCs w:val="24"/>
              </w:rPr>
              <w:t>1912</w:t>
            </w:r>
          </w:p>
        </w:tc>
        <w:tc>
          <w:tcPr>
            <w:tcW w:w="1257" w:type="dxa"/>
            <w:vAlign w:val="center"/>
          </w:tcPr>
          <w:p w:rsidR="00372C4C" w:rsidRPr="003902AE" w:rsidRDefault="004B73C2" w:rsidP="003902AE">
            <w:pPr>
              <w:contextualSpacing/>
              <w:jc w:val="center"/>
              <w:rPr>
                <w:sz w:val="24"/>
                <w:szCs w:val="24"/>
              </w:rPr>
            </w:pPr>
            <w:r w:rsidRPr="003902AE">
              <w:rPr>
                <w:sz w:val="24"/>
                <w:szCs w:val="24"/>
              </w:rPr>
              <w:t>2144</w:t>
            </w:r>
          </w:p>
        </w:tc>
        <w:tc>
          <w:tcPr>
            <w:tcW w:w="1095" w:type="dxa"/>
            <w:vAlign w:val="center"/>
          </w:tcPr>
          <w:p w:rsidR="00372C4C" w:rsidRPr="003902AE" w:rsidRDefault="004B73C2" w:rsidP="003902AE">
            <w:pPr>
              <w:contextualSpacing/>
              <w:jc w:val="center"/>
              <w:rPr>
                <w:sz w:val="24"/>
                <w:szCs w:val="24"/>
              </w:rPr>
            </w:pPr>
            <w:r w:rsidRPr="003902AE">
              <w:rPr>
                <w:sz w:val="24"/>
                <w:szCs w:val="24"/>
              </w:rPr>
              <w:t>44,1</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Молоко</w:t>
            </w:r>
          </w:p>
        </w:tc>
        <w:tc>
          <w:tcPr>
            <w:tcW w:w="891" w:type="dxa"/>
            <w:vAlign w:val="center"/>
          </w:tcPr>
          <w:p w:rsidR="00372C4C" w:rsidRPr="003902AE" w:rsidRDefault="00372C4C" w:rsidP="003902AE">
            <w:pPr>
              <w:contextualSpacing/>
              <w:jc w:val="center"/>
              <w:rPr>
                <w:sz w:val="24"/>
                <w:szCs w:val="24"/>
              </w:rPr>
            </w:pPr>
            <w:r w:rsidRPr="003902AE">
              <w:rPr>
                <w:sz w:val="24"/>
                <w:szCs w:val="24"/>
              </w:rPr>
              <w:t>24500</w:t>
            </w:r>
          </w:p>
        </w:tc>
        <w:tc>
          <w:tcPr>
            <w:tcW w:w="891" w:type="dxa"/>
            <w:vAlign w:val="center"/>
          </w:tcPr>
          <w:p w:rsidR="00372C4C" w:rsidRPr="003902AE" w:rsidRDefault="00372C4C" w:rsidP="003902AE">
            <w:pPr>
              <w:contextualSpacing/>
              <w:jc w:val="center"/>
              <w:rPr>
                <w:sz w:val="24"/>
                <w:szCs w:val="24"/>
              </w:rPr>
            </w:pPr>
            <w:r w:rsidRPr="003902AE">
              <w:rPr>
                <w:sz w:val="24"/>
                <w:szCs w:val="24"/>
              </w:rPr>
              <w:t>17300</w:t>
            </w:r>
          </w:p>
        </w:tc>
        <w:tc>
          <w:tcPr>
            <w:tcW w:w="891" w:type="dxa"/>
            <w:vAlign w:val="center"/>
          </w:tcPr>
          <w:p w:rsidR="00372C4C" w:rsidRPr="003902AE" w:rsidRDefault="00372C4C" w:rsidP="003902AE">
            <w:pPr>
              <w:contextualSpacing/>
              <w:jc w:val="center"/>
              <w:rPr>
                <w:sz w:val="24"/>
                <w:szCs w:val="24"/>
              </w:rPr>
            </w:pPr>
            <w:r w:rsidRPr="003902AE">
              <w:rPr>
                <w:sz w:val="24"/>
                <w:szCs w:val="24"/>
              </w:rPr>
              <w:t>12658</w:t>
            </w:r>
          </w:p>
        </w:tc>
        <w:tc>
          <w:tcPr>
            <w:tcW w:w="891" w:type="dxa"/>
            <w:vAlign w:val="center"/>
          </w:tcPr>
          <w:p w:rsidR="00372C4C" w:rsidRPr="003902AE" w:rsidRDefault="00372C4C" w:rsidP="003902AE">
            <w:pPr>
              <w:contextualSpacing/>
              <w:jc w:val="center"/>
              <w:rPr>
                <w:sz w:val="24"/>
                <w:szCs w:val="24"/>
              </w:rPr>
            </w:pPr>
            <w:r w:rsidRPr="003902AE">
              <w:rPr>
                <w:sz w:val="24"/>
                <w:szCs w:val="24"/>
              </w:rPr>
              <w:t>13714</w:t>
            </w:r>
          </w:p>
        </w:tc>
        <w:tc>
          <w:tcPr>
            <w:tcW w:w="816" w:type="dxa"/>
            <w:vAlign w:val="center"/>
          </w:tcPr>
          <w:p w:rsidR="00372C4C" w:rsidRPr="003902AE" w:rsidRDefault="00372C4C" w:rsidP="003902AE">
            <w:pPr>
              <w:contextualSpacing/>
              <w:jc w:val="center"/>
              <w:rPr>
                <w:sz w:val="24"/>
                <w:szCs w:val="24"/>
              </w:rPr>
            </w:pPr>
            <w:r w:rsidRPr="003902AE">
              <w:rPr>
                <w:sz w:val="24"/>
                <w:szCs w:val="24"/>
              </w:rPr>
              <w:t>12262</w:t>
            </w:r>
          </w:p>
        </w:tc>
        <w:tc>
          <w:tcPr>
            <w:tcW w:w="1257" w:type="dxa"/>
            <w:vAlign w:val="center"/>
          </w:tcPr>
          <w:p w:rsidR="00372C4C" w:rsidRPr="003902AE" w:rsidRDefault="004B73C2" w:rsidP="003902AE">
            <w:pPr>
              <w:contextualSpacing/>
              <w:jc w:val="center"/>
              <w:rPr>
                <w:sz w:val="24"/>
                <w:szCs w:val="24"/>
              </w:rPr>
            </w:pPr>
            <w:r w:rsidRPr="003902AE">
              <w:rPr>
                <w:sz w:val="24"/>
                <w:szCs w:val="24"/>
              </w:rPr>
              <w:t>11086</w:t>
            </w:r>
          </w:p>
        </w:tc>
        <w:tc>
          <w:tcPr>
            <w:tcW w:w="1095" w:type="dxa"/>
            <w:vAlign w:val="center"/>
          </w:tcPr>
          <w:p w:rsidR="00372C4C" w:rsidRPr="003902AE" w:rsidRDefault="005748D9" w:rsidP="003902AE">
            <w:pPr>
              <w:contextualSpacing/>
              <w:jc w:val="center"/>
              <w:rPr>
                <w:sz w:val="24"/>
                <w:szCs w:val="24"/>
              </w:rPr>
            </w:pPr>
            <w:r w:rsidRPr="003902AE">
              <w:rPr>
                <w:sz w:val="24"/>
                <w:szCs w:val="24"/>
              </w:rPr>
              <w:t>45,2</w:t>
            </w:r>
          </w:p>
        </w:tc>
      </w:tr>
      <w:tr w:rsidR="00372C4C" w:rsidRPr="003902AE" w:rsidTr="003902AE">
        <w:tc>
          <w:tcPr>
            <w:tcW w:w="3122" w:type="dxa"/>
            <w:vAlign w:val="center"/>
          </w:tcPr>
          <w:p w:rsidR="00372C4C" w:rsidRPr="003902AE" w:rsidRDefault="00372C4C" w:rsidP="003902AE">
            <w:pPr>
              <w:contextualSpacing/>
              <w:jc w:val="center"/>
              <w:rPr>
                <w:sz w:val="24"/>
                <w:szCs w:val="24"/>
              </w:rPr>
            </w:pPr>
            <w:r w:rsidRPr="003902AE">
              <w:rPr>
                <w:sz w:val="24"/>
                <w:szCs w:val="24"/>
              </w:rPr>
              <w:t>Яйця, млн. шт.</w:t>
            </w:r>
          </w:p>
        </w:tc>
        <w:tc>
          <w:tcPr>
            <w:tcW w:w="891" w:type="dxa"/>
            <w:vAlign w:val="center"/>
          </w:tcPr>
          <w:p w:rsidR="00372C4C" w:rsidRPr="003902AE" w:rsidRDefault="00372C4C" w:rsidP="003902AE">
            <w:pPr>
              <w:contextualSpacing/>
              <w:jc w:val="center"/>
              <w:rPr>
                <w:sz w:val="24"/>
                <w:szCs w:val="24"/>
              </w:rPr>
            </w:pPr>
            <w:r w:rsidRPr="003902AE">
              <w:rPr>
                <w:sz w:val="24"/>
                <w:szCs w:val="24"/>
              </w:rPr>
              <w:t>16287</w:t>
            </w:r>
          </w:p>
        </w:tc>
        <w:tc>
          <w:tcPr>
            <w:tcW w:w="891" w:type="dxa"/>
            <w:vAlign w:val="center"/>
          </w:tcPr>
          <w:p w:rsidR="00372C4C" w:rsidRPr="003902AE" w:rsidRDefault="00372C4C" w:rsidP="003902AE">
            <w:pPr>
              <w:contextualSpacing/>
              <w:jc w:val="center"/>
              <w:rPr>
                <w:sz w:val="24"/>
                <w:szCs w:val="24"/>
              </w:rPr>
            </w:pPr>
            <w:r w:rsidRPr="003902AE">
              <w:rPr>
                <w:sz w:val="24"/>
                <w:szCs w:val="24"/>
              </w:rPr>
              <w:t>9404</w:t>
            </w:r>
          </w:p>
        </w:tc>
        <w:tc>
          <w:tcPr>
            <w:tcW w:w="891" w:type="dxa"/>
            <w:vAlign w:val="center"/>
          </w:tcPr>
          <w:p w:rsidR="00372C4C" w:rsidRPr="003902AE" w:rsidRDefault="00372C4C" w:rsidP="003902AE">
            <w:pPr>
              <w:contextualSpacing/>
              <w:jc w:val="center"/>
              <w:rPr>
                <w:sz w:val="24"/>
                <w:szCs w:val="24"/>
              </w:rPr>
            </w:pPr>
            <w:r w:rsidRPr="003902AE">
              <w:rPr>
                <w:sz w:val="24"/>
                <w:szCs w:val="24"/>
              </w:rPr>
              <w:t>8809</w:t>
            </w:r>
          </w:p>
        </w:tc>
        <w:tc>
          <w:tcPr>
            <w:tcW w:w="891" w:type="dxa"/>
            <w:vAlign w:val="center"/>
          </w:tcPr>
          <w:p w:rsidR="00372C4C" w:rsidRPr="003902AE" w:rsidRDefault="00372C4C" w:rsidP="003902AE">
            <w:pPr>
              <w:contextualSpacing/>
              <w:jc w:val="center"/>
              <w:rPr>
                <w:sz w:val="24"/>
                <w:szCs w:val="24"/>
              </w:rPr>
            </w:pPr>
            <w:r w:rsidRPr="003902AE">
              <w:rPr>
                <w:sz w:val="24"/>
                <w:szCs w:val="24"/>
              </w:rPr>
              <w:t>13046</w:t>
            </w:r>
          </w:p>
        </w:tc>
        <w:tc>
          <w:tcPr>
            <w:tcW w:w="816" w:type="dxa"/>
            <w:vAlign w:val="center"/>
          </w:tcPr>
          <w:p w:rsidR="00372C4C" w:rsidRPr="003902AE" w:rsidRDefault="00372C4C" w:rsidP="003902AE">
            <w:pPr>
              <w:contextualSpacing/>
              <w:jc w:val="center"/>
              <w:rPr>
                <w:sz w:val="24"/>
                <w:szCs w:val="24"/>
              </w:rPr>
            </w:pPr>
            <w:r w:rsidRPr="003902AE">
              <w:rPr>
                <w:sz w:val="24"/>
                <w:szCs w:val="24"/>
              </w:rPr>
              <w:t>14063</w:t>
            </w:r>
          </w:p>
        </w:tc>
        <w:tc>
          <w:tcPr>
            <w:tcW w:w="1257" w:type="dxa"/>
            <w:vAlign w:val="center"/>
          </w:tcPr>
          <w:p w:rsidR="00372C4C" w:rsidRPr="003902AE" w:rsidRDefault="005748D9" w:rsidP="003902AE">
            <w:pPr>
              <w:contextualSpacing/>
              <w:jc w:val="center"/>
              <w:rPr>
                <w:sz w:val="24"/>
                <w:szCs w:val="24"/>
              </w:rPr>
            </w:pPr>
            <w:r w:rsidRPr="003902AE">
              <w:rPr>
                <w:sz w:val="24"/>
                <w:szCs w:val="24"/>
              </w:rPr>
              <w:t>18690</w:t>
            </w:r>
          </w:p>
        </w:tc>
        <w:tc>
          <w:tcPr>
            <w:tcW w:w="1095" w:type="dxa"/>
            <w:vAlign w:val="center"/>
          </w:tcPr>
          <w:p w:rsidR="00372C4C" w:rsidRPr="003902AE" w:rsidRDefault="005748D9" w:rsidP="003902AE">
            <w:pPr>
              <w:contextualSpacing/>
              <w:jc w:val="center"/>
              <w:rPr>
                <w:sz w:val="24"/>
                <w:szCs w:val="24"/>
              </w:rPr>
            </w:pPr>
            <w:r w:rsidRPr="003902AE">
              <w:rPr>
                <w:sz w:val="24"/>
                <w:szCs w:val="24"/>
              </w:rPr>
              <w:t>114,8</w:t>
            </w:r>
          </w:p>
        </w:tc>
      </w:tr>
    </w:tbl>
    <w:p w:rsidR="009F13BE" w:rsidRPr="006B105F" w:rsidRDefault="006B105F" w:rsidP="006B105F">
      <w:pPr>
        <w:spacing w:line="360" w:lineRule="auto"/>
        <w:ind w:firstLine="709"/>
        <w:contextualSpacing/>
        <w:jc w:val="both"/>
        <w:rPr>
          <w:rFonts w:ascii="Times New Roman" w:hAnsi="Times New Roman" w:cs="Times New Roman"/>
          <w:sz w:val="20"/>
          <w:szCs w:val="20"/>
        </w:rPr>
      </w:pPr>
      <w:r w:rsidRPr="006B105F">
        <w:rPr>
          <w:rFonts w:ascii="Times New Roman" w:hAnsi="Times New Roman" w:cs="Times New Roman"/>
          <w:sz w:val="20"/>
          <w:szCs w:val="20"/>
        </w:rPr>
        <w:t xml:space="preserve">Джерело: </w:t>
      </w:r>
      <w:r w:rsidR="009F13BE" w:rsidRPr="006B105F">
        <w:rPr>
          <w:rFonts w:ascii="Times New Roman" w:hAnsi="Times New Roman" w:cs="Times New Roman"/>
          <w:sz w:val="20"/>
          <w:szCs w:val="20"/>
        </w:rPr>
        <w:t>Україна в цифрах у 2001 році/Короткий статистичний довідник/Держкомстат України. За ред. О. Г. Осауленка. Відповідальний за випуск В.А. Головко. – К.: Технік</w:t>
      </w:r>
      <w:r w:rsidRPr="006B105F">
        <w:rPr>
          <w:rFonts w:ascii="Times New Roman" w:hAnsi="Times New Roman" w:cs="Times New Roman"/>
          <w:sz w:val="20"/>
          <w:szCs w:val="20"/>
        </w:rPr>
        <w:t xml:space="preserve">а, 2002. – 262 с. – С. 100, 104; </w:t>
      </w:r>
      <w:r w:rsidR="00CE1321" w:rsidRPr="006B105F">
        <w:rPr>
          <w:rFonts w:ascii="Times New Roman" w:hAnsi="Times New Roman" w:cs="Times New Roman"/>
          <w:sz w:val="20"/>
          <w:szCs w:val="20"/>
        </w:rPr>
        <w:t>Україна в цифрах у 2011р.- К., 2011. – С.94,101</w:t>
      </w:r>
      <w:r>
        <w:rPr>
          <w:rFonts w:ascii="Times New Roman" w:hAnsi="Times New Roman" w:cs="Times New Roman"/>
          <w:sz w:val="20"/>
          <w:szCs w:val="20"/>
        </w:rPr>
        <w:t>.</w:t>
      </w:r>
    </w:p>
    <w:p w:rsidR="009F13BE" w:rsidRPr="0080779D" w:rsidRDefault="009F13BE" w:rsidP="0080779D">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lastRenderedPageBreak/>
        <w:t>Стосовно ж картоплі й овочів, то видима суперечність з цією тезою (рівень рентабельності їх</w:t>
      </w:r>
      <w:r w:rsidR="006B105F">
        <w:rPr>
          <w:rFonts w:ascii="Times New Roman" w:hAnsi="Times New Roman" w:cs="Times New Roman"/>
          <w:sz w:val="28"/>
          <w:szCs w:val="28"/>
        </w:rPr>
        <w:t>нього</w:t>
      </w:r>
      <w:r w:rsidRPr="003371CA">
        <w:rPr>
          <w:rFonts w:ascii="Times New Roman" w:hAnsi="Times New Roman" w:cs="Times New Roman"/>
          <w:sz w:val="28"/>
          <w:szCs w:val="28"/>
        </w:rPr>
        <w:t xml:space="preserve"> виробництва, зазвичай, не перевищує 5 відсотків, лише у вкрай неурожайні для цих культур роки він дещо більший) пояснюється тим, що </w:t>
      </w:r>
      <w:r w:rsidR="0080779D">
        <w:rPr>
          <w:rFonts w:ascii="Times New Roman" w:hAnsi="Times New Roman" w:cs="Times New Roman"/>
          <w:sz w:val="28"/>
          <w:szCs w:val="28"/>
        </w:rPr>
        <w:t>воно</w:t>
      </w:r>
      <w:r w:rsidRPr="003371CA">
        <w:rPr>
          <w:rFonts w:ascii="Times New Roman" w:hAnsi="Times New Roman" w:cs="Times New Roman"/>
          <w:sz w:val="28"/>
          <w:szCs w:val="28"/>
        </w:rPr>
        <w:t xml:space="preserve"> зосереджене майже винятково в особистих підсобних домогосподарствах населення (картоплі – більше 98 відсотків, овочів – близько 90 відсотків). Тому вади ціноутворення тут поки що не справляють надто негативного впливу на обсяги виробництва цих видів сільськогосподарської продукції, як це сталось щодо більшості інших, де питома вага особистих домогосподарств населення не є вирішальною. </w:t>
      </w:r>
    </w:p>
    <w:p w:rsidR="009F13BE" w:rsidRPr="003371CA" w:rsidRDefault="009F13BE" w:rsidP="003371CA">
      <w:pPr>
        <w:spacing w:line="360" w:lineRule="auto"/>
        <w:ind w:firstLine="709"/>
        <w:contextualSpacing/>
        <w:jc w:val="center"/>
        <w:rPr>
          <w:rFonts w:ascii="Times New Roman" w:hAnsi="Times New Roman" w:cs="Times New Roman"/>
          <w:b/>
          <w:sz w:val="28"/>
          <w:szCs w:val="28"/>
        </w:rPr>
      </w:pPr>
      <w:r w:rsidRPr="003371CA">
        <w:rPr>
          <w:rFonts w:ascii="Times New Roman" w:hAnsi="Times New Roman" w:cs="Times New Roman"/>
          <w:b/>
          <w:sz w:val="28"/>
          <w:szCs w:val="28"/>
        </w:rPr>
        <w:t>Висновки і перспективи подальших досліджень</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Зі сказаного логічно витікають наступні висновки. Для вирішення проблеми диспаритету цін на продовольчому ринку насамперед мають бути усунуті наявні перекоси у формуванні цін міжгалузевого обміну. Бо „перевірка фактами” переконує, що саме т. зв. „ножиці цін” на промислові товари й сільськогосподарську сировину, особливо коли це стає надмірним, як це сталось зараз – диспаритет цін є 7-ми кратним, – призводять до скорочення виробництва насамперед найбільш матеріалоємної продукції, тобто, тваринницької. У свою чергу, це за принципом бумеранга вдаряє по ефективності рослинництва, де замість органічних добрив доводиться закуповувати значно дорожчі – в перерахунку на еквівалент, – мінеральні добрива. А через невідповідність цін витратам виробництва</w:t>
      </w:r>
      <w:r w:rsidRPr="003371CA">
        <w:rPr>
          <w:rFonts w:ascii="Times New Roman" w:hAnsi="Times New Roman" w:cs="Times New Roman"/>
          <w:sz w:val="28"/>
          <w:szCs w:val="28"/>
          <w:lang w:val="ru-RU"/>
        </w:rPr>
        <w:t>,</w:t>
      </w:r>
      <w:r w:rsidRPr="003371CA">
        <w:rPr>
          <w:rFonts w:ascii="Times New Roman" w:hAnsi="Times New Roman" w:cs="Times New Roman"/>
          <w:sz w:val="28"/>
          <w:szCs w:val="28"/>
        </w:rPr>
        <w:t xml:space="preserve"> придбати їх у необхідній кількості не можна через брак на цього коштів, тому внесення у грунт мінеральних добрив теж зменшується.</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 xml:space="preserve">Відтак ніяк не вдається вибратись із магічного кола низької урожайності сільськогосподарських культур, а як наслідок – недостатнього рівня годівлі тварин та їх невисокої продуктивності, отже й вирішити проблему спочатку досягнення рівня виробництва, який був у 90-х роках ХХ ст., а далі його нарощування з метою забезпечення дійсного попиту населення України на продовольство. </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lastRenderedPageBreak/>
        <w:t>Вирішити цю проблему можна, на наш погляд, тільки за умови кардинальної зміни підходів до фінансового регулювання ціноутворення, бо ніякими частковими заходами у вигляді податкових пільг за податком на додану вартість, окремих бюджетних програм, які до того ж не всім товаровиробникам доступні, а тим більше адміністративних обмежень на кшталт заборони експорту зерна,  імпорту м’яса тощо, як свідчить „перевірка фактами”, тобто, аналіз системоутворюючих показників формування цін на продовольчому ринку, цього зробити не можна.</w:t>
      </w:r>
    </w:p>
    <w:p w:rsidR="009F13BE" w:rsidRPr="003371CA" w:rsidRDefault="009F13BE" w:rsidP="003371CA">
      <w:pPr>
        <w:spacing w:line="360" w:lineRule="auto"/>
        <w:ind w:firstLine="709"/>
        <w:contextualSpacing/>
        <w:jc w:val="both"/>
        <w:rPr>
          <w:rFonts w:ascii="Times New Roman" w:hAnsi="Times New Roman" w:cs="Times New Roman"/>
          <w:sz w:val="28"/>
          <w:szCs w:val="28"/>
        </w:rPr>
      </w:pPr>
      <w:r w:rsidRPr="003371CA">
        <w:rPr>
          <w:rFonts w:ascii="Times New Roman" w:hAnsi="Times New Roman" w:cs="Times New Roman"/>
          <w:sz w:val="28"/>
          <w:szCs w:val="28"/>
        </w:rPr>
        <w:t>Водночас розглянута у статті проблема досить різнопланова, тому подальші її дослідження є перспективними.</w:t>
      </w:r>
    </w:p>
    <w:p w:rsidR="00AC0E0C" w:rsidRDefault="00AC0E0C" w:rsidP="006B105F">
      <w:pPr>
        <w:spacing w:line="360" w:lineRule="auto"/>
        <w:contextualSpacing/>
        <w:rPr>
          <w:rFonts w:ascii="Times New Roman" w:hAnsi="Times New Roman" w:cs="Times New Roman"/>
          <w:b/>
          <w:sz w:val="28"/>
          <w:szCs w:val="28"/>
        </w:rPr>
      </w:pPr>
    </w:p>
    <w:p w:rsidR="009F13BE" w:rsidRPr="003371CA" w:rsidRDefault="009F13BE" w:rsidP="003371CA">
      <w:pPr>
        <w:spacing w:line="360" w:lineRule="auto"/>
        <w:ind w:firstLine="709"/>
        <w:contextualSpacing/>
        <w:jc w:val="center"/>
        <w:rPr>
          <w:rFonts w:ascii="Times New Roman" w:hAnsi="Times New Roman" w:cs="Times New Roman"/>
          <w:b/>
          <w:sz w:val="28"/>
          <w:szCs w:val="28"/>
        </w:rPr>
      </w:pPr>
      <w:r w:rsidRPr="003371CA">
        <w:rPr>
          <w:rFonts w:ascii="Times New Roman" w:hAnsi="Times New Roman" w:cs="Times New Roman"/>
          <w:b/>
          <w:sz w:val="28"/>
          <w:szCs w:val="28"/>
        </w:rPr>
        <w:t>Література</w:t>
      </w:r>
    </w:p>
    <w:p w:rsidR="006B105F" w:rsidRPr="006B105F" w:rsidRDefault="006B105F" w:rsidP="006B105F">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lang w:val="ru-RU"/>
        </w:rPr>
        <w:t>Смит А. Исследование о природе и причинах богатства народов /А. Смит; [</w:t>
      </w:r>
      <w:r w:rsidRPr="003371CA">
        <w:rPr>
          <w:rFonts w:ascii="Times New Roman" w:hAnsi="Times New Roman" w:cs="Times New Roman"/>
          <w:sz w:val="28"/>
          <w:szCs w:val="28"/>
        </w:rPr>
        <w:t>пер. с англ.; предисл. В.</w:t>
      </w:r>
      <w:r w:rsidRPr="003371CA">
        <w:rPr>
          <w:rFonts w:ascii="Times New Roman" w:hAnsi="Times New Roman" w:cs="Times New Roman"/>
          <w:sz w:val="28"/>
          <w:szCs w:val="28"/>
          <w:lang w:val="ru-RU"/>
        </w:rPr>
        <w:t xml:space="preserve"> </w:t>
      </w:r>
      <w:r w:rsidRPr="003371CA">
        <w:rPr>
          <w:rFonts w:ascii="Times New Roman" w:hAnsi="Times New Roman" w:cs="Times New Roman"/>
          <w:sz w:val="28"/>
          <w:szCs w:val="28"/>
        </w:rPr>
        <w:t>С. Афанасьева</w:t>
      </w:r>
      <w:r w:rsidRPr="003371CA">
        <w:rPr>
          <w:rFonts w:ascii="Times New Roman" w:hAnsi="Times New Roman" w:cs="Times New Roman"/>
          <w:sz w:val="28"/>
          <w:szCs w:val="28"/>
          <w:lang w:val="ru-RU"/>
        </w:rPr>
        <w:t>]. – М.: Эксмо, 2007. – 960 с.</w:t>
      </w:r>
    </w:p>
    <w:p w:rsidR="006B105F" w:rsidRPr="006B105F" w:rsidRDefault="006B105F" w:rsidP="006B105F">
      <w:pPr>
        <w:numPr>
          <w:ilvl w:val="0"/>
          <w:numId w:val="2"/>
        </w:numPr>
        <w:tabs>
          <w:tab w:val="clear" w:pos="1287"/>
          <w:tab w:val="num" w:pos="0"/>
          <w:tab w:val="left" w:pos="851"/>
          <w:tab w:val="left" w:pos="1134"/>
          <w:tab w:val="left" w:pos="1418"/>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lang w:val="ru-RU"/>
        </w:rPr>
        <w:t>Риккардо Д. Начала политической экономии и налогового обложения. Избранное /Д. Риккардо; [</w:t>
      </w:r>
      <w:r w:rsidRPr="003371CA">
        <w:rPr>
          <w:rFonts w:ascii="Times New Roman" w:hAnsi="Times New Roman" w:cs="Times New Roman"/>
          <w:sz w:val="28"/>
          <w:szCs w:val="28"/>
        </w:rPr>
        <w:t>пер. с англ.; предисл. П. Н. Клюкина</w:t>
      </w:r>
      <w:r w:rsidRPr="003371CA">
        <w:rPr>
          <w:rFonts w:ascii="Times New Roman" w:hAnsi="Times New Roman" w:cs="Times New Roman"/>
          <w:sz w:val="28"/>
          <w:szCs w:val="28"/>
          <w:lang w:val="ru-RU"/>
        </w:rPr>
        <w:t>]. – М.: Эксмо, 2007. – 960 с.</w:t>
      </w:r>
    </w:p>
    <w:p w:rsidR="006B105F" w:rsidRPr="003371CA" w:rsidRDefault="006B105F" w:rsidP="006B105F">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lang w:val="ru-RU"/>
        </w:rPr>
        <w:t xml:space="preserve">Маркс К. Капитал. Критика политической экономии. (Пер. И.И. Скворцова-Степанова). Т. </w:t>
      </w:r>
      <w:r w:rsidRPr="003371CA">
        <w:rPr>
          <w:rFonts w:ascii="Times New Roman" w:hAnsi="Times New Roman" w:cs="Times New Roman"/>
          <w:sz w:val="28"/>
          <w:szCs w:val="28"/>
        </w:rPr>
        <w:t>І</w:t>
      </w:r>
      <w:r w:rsidRPr="003371CA">
        <w:rPr>
          <w:rFonts w:ascii="Times New Roman" w:hAnsi="Times New Roman" w:cs="Times New Roman"/>
          <w:sz w:val="28"/>
          <w:szCs w:val="28"/>
          <w:lang w:val="ru-RU"/>
        </w:rPr>
        <w:t xml:space="preserve">. Кн. </w:t>
      </w:r>
      <w:r w:rsidRPr="003371CA">
        <w:rPr>
          <w:rFonts w:ascii="Times New Roman" w:hAnsi="Times New Roman" w:cs="Times New Roman"/>
          <w:sz w:val="28"/>
          <w:szCs w:val="28"/>
        </w:rPr>
        <w:t>І</w:t>
      </w:r>
      <w:r w:rsidRPr="003371CA">
        <w:rPr>
          <w:rFonts w:ascii="Times New Roman" w:hAnsi="Times New Roman" w:cs="Times New Roman"/>
          <w:sz w:val="28"/>
          <w:szCs w:val="28"/>
          <w:lang w:val="ru-RU"/>
        </w:rPr>
        <w:t xml:space="preserve">. Процесс производства капитала. – М.: Политиздат, 1978. – 907 с. </w:t>
      </w:r>
    </w:p>
    <w:p w:rsidR="006B105F" w:rsidRPr="006B105F" w:rsidRDefault="006B105F" w:rsidP="006B105F">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lang w:val="ru-RU"/>
        </w:rPr>
        <w:t>Милль Дж. С. Основы политической экономии с некоторыми приложениями к социальной философии /Дж. С. Милль: [</w:t>
      </w:r>
      <w:r w:rsidRPr="003371CA">
        <w:rPr>
          <w:rFonts w:ascii="Times New Roman" w:hAnsi="Times New Roman" w:cs="Times New Roman"/>
          <w:sz w:val="28"/>
          <w:szCs w:val="28"/>
        </w:rPr>
        <w:t>пер. с англ.; биограф. очерк. М. И. Туган-Барановского</w:t>
      </w:r>
      <w:r w:rsidRPr="003371CA">
        <w:rPr>
          <w:rFonts w:ascii="Times New Roman" w:hAnsi="Times New Roman" w:cs="Times New Roman"/>
          <w:sz w:val="28"/>
          <w:szCs w:val="28"/>
          <w:lang w:val="ru-RU"/>
        </w:rPr>
        <w:t>]. – М.: Эксмо, 2007. – 1040с.</w:t>
      </w:r>
    </w:p>
    <w:p w:rsidR="009F13BE" w:rsidRPr="003371CA" w:rsidRDefault="009F13BE" w:rsidP="006B105F">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rPr>
        <w:t xml:space="preserve">Гэлбрейт Джон Кеннет. Новое </w:t>
      </w:r>
      <w:r w:rsidRPr="003371CA">
        <w:rPr>
          <w:rFonts w:ascii="Times New Roman" w:hAnsi="Times New Roman" w:cs="Times New Roman"/>
          <w:sz w:val="28"/>
          <w:szCs w:val="28"/>
          <w:lang w:val="ru-RU"/>
        </w:rPr>
        <w:t>индустриальное общество. Избранное /Дж. К. Гэлбрейт. – М.: Эксмо, 2008. – 1200 с.</w:t>
      </w:r>
    </w:p>
    <w:p w:rsidR="009F13BE" w:rsidRPr="003371CA" w:rsidRDefault="009F13BE" w:rsidP="006B105F">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3371CA">
        <w:rPr>
          <w:rFonts w:ascii="Times New Roman" w:hAnsi="Times New Roman" w:cs="Times New Roman"/>
          <w:sz w:val="28"/>
          <w:szCs w:val="28"/>
          <w:lang w:val="ru-RU"/>
        </w:rPr>
        <w:t>Маршалл А. Основы экономической науки /А. Маршалл; [</w:t>
      </w:r>
      <w:r w:rsidRPr="003371CA">
        <w:rPr>
          <w:rFonts w:ascii="Times New Roman" w:hAnsi="Times New Roman" w:cs="Times New Roman"/>
          <w:sz w:val="28"/>
          <w:szCs w:val="28"/>
        </w:rPr>
        <w:t>предисл. Дж. М. Кейнса; пер. с англ. В. И. Бомкина, В. Т. Р</w:t>
      </w:r>
      <w:r w:rsidRPr="003371CA">
        <w:rPr>
          <w:rFonts w:ascii="Times New Roman" w:hAnsi="Times New Roman" w:cs="Times New Roman"/>
          <w:sz w:val="28"/>
          <w:szCs w:val="28"/>
          <w:lang w:val="ru-RU"/>
        </w:rPr>
        <w:t>ы</w:t>
      </w:r>
      <w:r w:rsidRPr="003371CA">
        <w:rPr>
          <w:rFonts w:ascii="Times New Roman" w:hAnsi="Times New Roman" w:cs="Times New Roman"/>
          <w:sz w:val="28"/>
          <w:szCs w:val="28"/>
        </w:rPr>
        <w:t>сина, Р. И. Столпера</w:t>
      </w:r>
      <w:r w:rsidRPr="003371CA">
        <w:rPr>
          <w:rFonts w:ascii="Times New Roman" w:hAnsi="Times New Roman" w:cs="Times New Roman"/>
          <w:sz w:val="28"/>
          <w:szCs w:val="28"/>
          <w:lang w:val="ru-RU"/>
        </w:rPr>
        <w:t>]. – М.: Эксмо, 2008. – 832 с.</w:t>
      </w:r>
    </w:p>
    <w:p w:rsidR="003371CA" w:rsidRPr="0080779D" w:rsidRDefault="009F13BE" w:rsidP="0080779D">
      <w:pPr>
        <w:numPr>
          <w:ilvl w:val="0"/>
          <w:numId w:val="2"/>
        </w:numPr>
        <w:tabs>
          <w:tab w:val="clear" w:pos="1287"/>
          <w:tab w:val="num" w:pos="0"/>
          <w:tab w:val="left" w:pos="851"/>
          <w:tab w:val="left" w:pos="1134"/>
        </w:tabs>
        <w:spacing w:after="0" w:line="360" w:lineRule="auto"/>
        <w:ind w:left="0" w:firstLine="709"/>
        <w:contextualSpacing/>
        <w:jc w:val="both"/>
        <w:rPr>
          <w:rFonts w:ascii="Times New Roman" w:hAnsi="Times New Roman" w:cs="Times New Roman"/>
          <w:sz w:val="28"/>
          <w:szCs w:val="28"/>
          <w:lang w:val="ru-RU"/>
        </w:rPr>
      </w:pPr>
      <w:r w:rsidRPr="006B105F">
        <w:rPr>
          <w:rFonts w:ascii="Times New Roman" w:hAnsi="Times New Roman" w:cs="Times New Roman"/>
          <w:sz w:val="28"/>
          <w:szCs w:val="28"/>
        </w:rPr>
        <w:t>Проблеми забезпечення дохідності агропромислового виробництва в Україні в постіндустріальний період. – К.: ННЦ „ІАЕ” УААН, 2008. – 100 с.</w:t>
      </w:r>
    </w:p>
    <w:sectPr w:rsidR="003371CA" w:rsidRPr="0080779D" w:rsidSect="00BF3665">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66" w:rsidRDefault="006C6166" w:rsidP="009F13BE">
      <w:pPr>
        <w:spacing w:after="0" w:line="240" w:lineRule="auto"/>
      </w:pPr>
      <w:r>
        <w:separator/>
      </w:r>
    </w:p>
  </w:endnote>
  <w:endnote w:type="continuationSeparator" w:id="1">
    <w:p w:rsidR="006C6166" w:rsidRDefault="006C6166" w:rsidP="009F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66" w:rsidRDefault="006C6166" w:rsidP="009F13BE">
      <w:pPr>
        <w:spacing w:after="0" w:line="240" w:lineRule="auto"/>
      </w:pPr>
      <w:r>
        <w:separator/>
      </w:r>
    </w:p>
  </w:footnote>
  <w:footnote w:type="continuationSeparator" w:id="1">
    <w:p w:rsidR="006C6166" w:rsidRDefault="006C6166" w:rsidP="009F13BE">
      <w:pPr>
        <w:spacing w:after="0" w:line="240" w:lineRule="auto"/>
      </w:pPr>
      <w:r>
        <w:continuationSeparator/>
      </w:r>
    </w:p>
  </w:footnote>
  <w:footnote w:id="2">
    <w:p w:rsidR="003371CA" w:rsidRPr="00142B09" w:rsidRDefault="003371CA" w:rsidP="009F13BE">
      <w:pPr>
        <w:pStyle w:val="a4"/>
        <w:jc w:val="both"/>
      </w:pPr>
      <w:r w:rsidRPr="00142B09">
        <w:rPr>
          <w:rStyle w:val="a6"/>
        </w:rPr>
        <w:footnoteRef/>
      </w:r>
      <w:r w:rsidRPr="00142B09">
        <w:t xml:space="preserve"> Г</w:t>
      </w:r>
      <w:r w:rsidR="001F6576">
        <w:rPr>
          <w:lang w:val="ru-RU"/>
        </w:rPr>
        <w:t>э</w:t>
      </w:r>
      <w:r w:rsidR="001F6576">
        <w:t>лбрейт Дж</w:t>
      </w:r>
      <w:r w:rsidR="00BF5DE1">
        <w:rPr>
          <w:lang w:val="ru-RU"/>
        </w:rPr>
        <w:t xml:space="preserve"> </w:t>
      </w:r>
      <w:r w:rsidR="001F6576">
        <w:t>.</w:t>
      </w:r>
      <w:r w:rsidR="001F6576">
        <w:rPr>
          <w:lang w:val="ru-RU"/>
        </w:rPr>
        <w:t>в</w:t>
      </w:r>
      <w:r w:rsidRPr="00142B09">
        <w:t xml:space="preserve"> 1940 –1943 </w:t>
      </w:r>
      <w:r w:rsidRPr="00142B09">
        <w:rPr>
          <w:lang w:val="ru-RU"/>
        </w:rPr>
        <w:t xml:space="preserve">гг. </w:t>
      </w:r>
      <w:r w:rsidRPr="00142B09">
        <w:t>б</w:t>
      </w:r>
      <w:r w:rsidRPr="00142B09">
        <w:rPr>
          <w:lang w:val="ru-RU"/>
        </w:rPr>
        <w:t xml:space="preserve">ыл </w:t>
      </w:r>
      <w:r w:rsidRPr="00142B09">
        <w:t>членом адм</w:t>
      </w:r>
      <w:r w:rsidR="00417383" w:rsidRPr="00417383">
        <w:rPr>
          <w:lang w:val="ru-RU"/>
        </w:rPr>
        <w:t>и</w:t>
      </w:r>
      <w:r w:rsidRPr="00142B09">
        <w:t>н</w:t>
      </w:r>
      <w:r w:rsidR="00417383">
        <w:rPr>
          <w:lang w:val="ru-RU"/>
        </w:rPr>
        <w:t>и</w:t>
      </w:r>
      <w:r w:rsidR="00E44DA5">
        <w:t>страц</w:t>
      </w:r>
      <w:r w:rsidR="00E44DA5">
        <w:rPr>
          <w:lang w:val="ru-RU"/>
        </w:rPr>
        <w:t>ии</w:t>
      </w:r>
      <w:r w:rsidRPr="00142B09">
        <w:t xml:space="preserve"> Рузвельта, </w:t>
      </w:r>
      <w:r w:rsidRPr="00142B09">
        <w:rPr>
          <w:lang w:val="ru-RU"/>
        </w:rPr>
        <w:t xml:space="preserve">отвечая </w:t>
      </w:r>
      <w:r w:rsidRPr="00142B09">
        <w:t xml:space="preserve">за </w:t>
      </w:r>
      <w:r w:rsidRPr="00142B09">
        <w:rPr>
          <w:lang w:val="ru-RU"/>
        </w:rPr>
        <w:t xml:space="preserve">вопросы </w:t>
      </w:r>
      <w:r w:rsidRPr="00142B09">
        <w:t>ц</w:t>
      </w:r>
      <w:r w:rsidRPr="00142B09">
        <w:rPr>
          <w:lang w:val="ru-RU"/>
        </w:rPr>
        <w:t>е</w:t>
      </w:r>
      <w:r w:rsidRPr="00142B09">
        <w:t xml:space="preserve">н </w:t>
      </w:r>
      <w:r w:rsidRPr="00142B09">
        <w:rPr>
          <w:lang w:val="ru-RU"/>
        </w:rPr>
        <w:t>в</w:t>
      </w:r>
      <w:r w:rsidRPr="00142B09">
        <w:t xml:space="preserve"> Бюро по контролю за ц</w:t>
      </w:r>
      <w:r w:rsidRPr="00142B09">
        <w:rPr>
          <w:lang w:val="ru-RU"/>
        </w:rPr>
        <w:t>е</w:t>
      </w:r>
      <w:r w:rsidR="00E12E61">
        <w:t>нами [5</w:t>
      </w:r>
      <w:r w:rsidRPr="00142B09">
        <w:t>, 15].</w:t>
      </w:r>
    </w:p>
  </w:footnote>
  <w:footnote w:id="3">
    <w:p w:rsidR="003371CA" w:rsidRPr="00CD5F1E" w:rsidRDefault="003371CA" w:rsidP="009F13BE">
      <w:pPr>
        <w:pStyle w:val="a4"/>
        <w:ind w:firstLine="180"/>
        <w:jc w:val="both"/>
      </w:pPr>
      <w:r w:rsidRPr="003F0F86">
        <w:rPr>
          <w:rStyle w:val="a6"/>
        </w:rPr>
        <w:footnoteRef/>
      </w:r>
      <w:r w:rsidRPr="003F0F86">
        <w:t xml:space="preserve"> </w:t>
      </w:r>
      <w:r w:rsidRPr="00CD5F1E">
        <w:t>Сама назва „підсобне господарство” означає, що воно має другорядне, допоміжне значення.</w:t>
      </w:r>
    </w:p>
  </w:footnote>
  <w:footnote w:id="4">
    <w:p w:rsidR="003371CA" w:rsidRPr="002B4EFA" w:rsidRDefault="003371CA" w:rsidP="009F13BE">
      <w:pPr>
        <w:pStyle w:val="a4"/>
        <w:ind w:firstLine="180"/>
        <w:jc w:val="both"/>
        <w:rPr>
          <w:lang w:val="ru-RU"/>
        </w:rPr>
      </w:pPr>
      <w:r w:rsidRPr="002B4EFA">
        <w:rPr>
          <w:rStyle w:val="a6"/>
        </w:rPr>
        <w:footnoteRef/>
      </w:r>
      <w:r w:rsidRPr="002B4EFA">
        <w:t xml:space="preserve"> Ціни на продукцію цих господарств, зазвичай, є нижчими, ніж на ідентичну, вироблену на сільськогосподарських підприємствах. Особливо значним є  розрив у закупівельних цінах на молоко: селяни вимушені продавати його, як правило, посередникам, бо прямі зв’язки з молокопереробними підприємствами не налагоджені, відтак ціни на таку продукцію для них є нижчими на 40-50 відсотків проти тих, які виплачуються сільськогосподарським підприємствам. Такою ж є ситуація щодо реалізації великої рогатої худоби, свиней.</w:t>
      </w:r>
    </w:p>
    <w:p w:rsidR="003371CA" w:rsidRPr="002B4EFA" w:rsidRDefault="003371CA" w:rsidP="009F13BE">
      <w:pPr>
        <w:pStyle w:val="a4"/>
        <w:ind w:firstLine="180"/>
        <w:jc w:val="both"/>
        <w:rPr>
          <w:lang w:val="ru-RU"/>
        </w:rPr>
      </w:pPr>
      <w:r w:rsidRPr="002B4EFA">
        <w:t>Окрім того, особисті господарства населення не отримують жодних дотацій, на відміну від сільськогосподарських підприємств, які фінансуються за цільовими програмами розвитку тваринництва.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F4E"/>
    <w:multiLevelType w:val="hybridMultilevel"/>
    <w:tmpl w:val="D1C640CA"/>
    <w:lvl w:ilvl="0" w:tplc="4FFE58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7E7F70"/>
    <w:multiLevelType w:val="hybridMultilevel"/>
    <w:tmpl w:val="6030A160"/>
    <w:lvl w:ilvl="0" w:tplc="0422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AEA70D6"/>
    <w:multiLevelType w:val="hybridMultilevel"/>
    <w:tmpl w:val="48C06A80"/>
    <w:lvl w:ilvl="0" w:tplc="28209692">
      <w:numFmt w:val="bullet"/>
      <w:lvlText w:val="–"/>
      <w:lvlJc w:val="left"/>
      <w:pPr>
        <w:tabs>
          <w:tab w:val="num" w:pos="284"/>
        </w:tabs>
        <w:ind w:left="284" w:hanging="284"/>
      </w:pPr>
      <w:rPr>
        <w:rFonts w:ascii="Bookman Old Style" w:eastAsia="Times New Roman" w:hAnsi="Bookman Old Style"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401354DB"/>
    <w:multiLevelType w:val="hybridMultilevel"/>
    <w:tmpl w:val="59847AC8"/>
    <w:lvl w:ilvl="0" w:tplc="4FFE58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3512B09"/>
    <w:multiLevelType w:val="hybridMultilevel"/>
    <w:tmpl w:val="71286B52"/>
    <w:lvl w:ilvl="0" w:tplc="4FFE58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9F13BE"/>
    <w:rsid w:val="0002483B"/>
    <w:rsid w:val="0008151C"/>
    <w:rsid w:val="00081CFB"/>
    <w:rsid w:val="0009464D"/>
    <w:rsid w:val="0009634E"/>
    <w:rsid w:val="000B7EBF"/>
    <w:rsid w:val="001A1984"/>
    <w:rsid w:val="001C6CD6"/>
    <w:rsid w:val="001F6576"/>
    <w:rsid w:val="002B0FBC"/>
    <w:rsid w:val="002C1FD0"/>
    <w:rsid w:val="003371CA"/>
    <w:rsid w:val="003556C8"/>
    <w:rsid w:val="00372C4C"/>
    <w:rsid w:val="003902AE"/>
    <w:rsid w:val="003B60CF"/>
    <w:rsid w:val="00417383"/>
    <w:rsid w:val="004B73C2"/>
    <w:rsid w:val="004B745F"/>
    <w:rsid w:val="00554234"/>
    <w:rsid w:val="005748D9"/>
    <w:rsid w:val="00590A44"/>
    <w:rsid w:val="005A6030"/>
    <w:rsid w:val="005C7A14"/>
    <w:rsid w:val="00676B96"/>
    <w:rsid w:val="006A4B8C"/>
    <w:rsid w:val="006B105F"/>
    <w:rsid w:val="006C6166"/>
    <w:rsid w:val="006F053C"/>
    <w:rsid w:val="00717116"/>
    <w:rsid w:val="007B160C"/>
    <w:rsid w:val="007B2D5E"/>
    <w:rsid w:val="007C3A8B"/>
    <w:rsid w:val="0080779D"/>
    <w:rsid w:val="00855340"/>
    <w:rsid w:val="00894FD8"/>
    <w:rsid w:val="00930303"/>
    <w:rsid w:val="0097090D"/>
    <w:rsid w:val="009E2B6E"/>
    <w:rsid w:val="009F13BE"/>
    <w:rsid w:val="00A16C10"/>
    <w:rsid w:val="00AC0E0C"/>
    <w:rsid w:val="00AE36EF"/>
    <w:rsid w:val="00AF6B54"/>
    <w:rsid w:val="00BC2085"/>
    <w:rsid w:val="00BF3665"/>
    <w:rsid w:val="00BF5DE1"/>
    <w:rsid w:val="00CE1321"/>
    <w:rsid w:val="00D05E1F"/>
    <w:rsid w:val="00D43644"/>
    <w:rsid w:val="00D70135"/>
    <w:rsid w:val="00E12E61"/>
    <w:rsid w:val="00E44DA5"/>
    <w:rsid w:val="00EC61DB"/>
    <w:rsid w:val="00ED7CF4"/>
    <w:rsid w:val="00F013F0"/>
    <w:rsid w:val="00FE32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F13B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F13BE"/>
    <w:rPr>
      <w:rFonts w:ascii="Times New Roman" w:eastAsia="Times New Roman" w:hAnsi="Times New Roman" w:cs="Times New Roman"/>
      <w:sz w:val="20"/>
      <w:szCs w:val="20"/>
      <w:lang w:eastAsia="ru-RU"/>
    </w:rPr>
  </w:style>
  <w:style w:type="character" w:styleId="a6">
    <w:name w:val="footnote reference"/>
    <w:basedOn w:val="a0"/>
    <w:semiHidden/>
    <w:rsid w:val="009F13BE"/>
    <w:rPr>
      <w:vertAlign w:val="superscript"/>
    </w:rPr>
  </w:style>
  <w:style w:type="paragraph" w:styleId="a7">
    <w:name w:val="List Paragraph"/>
    <w:basedOn w:val="a"/>
    <w:uiPriority w:val="34"/>
    <w:qFormat/>
    <w:rsid w:val="00390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0EA5-6887-4CDF-895C-51B08FBE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11611</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48</cp:revision>
  <cp:lastPrinted>2013-02-14T06:53:00Z</cp:lastPrinted>
  <dcterms:created xsi:type="dcterms:W3CDTF">2013-02-08T08:59:00Z</dcterms:created>
  <dcterms:modified xsi:type="dcterms:W3CDTF">2013-02-14T06:54:00Z</dcterms:modified>
</cp:coreProperties>
</file>