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A5" w:rsidRPr="000801DB" w:rsidRDefault="00567948" w:rsidP="00D533F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 w:rsidRPr="000801D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Ключенко</w:t>
      </w:r>
      <w:proofErr w:type="spellEnd"/>
      <w:r w:rsidRPr="000801D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А.В., </w:t>
      </w:r>
      <w:proofErr w:type="spellStart"/>
      <w:r w:rsidRPr="000801D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к.е.н</w:t>
      </w:r>
      <w:proofErr w:type="spellEnd"/>
      <w:r w:rsidRPr="000801D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.,</w:t>
      </w:r>
      <w:r w:rsidR="00D533F7" w:rsidRPr="000801D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Деркач А.Р.</w:t>
      </w:r>
    </w:p>
    <w:p w:rsidR="00EF3044" w:rsidRPr="000801DB" w:rsidRDefault="002273BB" w:rsidP="00D533F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0801D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Івано-Франківський навчально-науковий інститут менеджменту ТНЕУ</w:t>
      </w:r>
    </w:p>
    <w:p w:rsidR="008472B9" w:rsidRPr="000801DB" w:rsidRDefault="008472B9" w:rsidP="00C072DE">
      <w:pPr>
        <w:ind w:firstLine="567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</w:pPr>
    </w:p>
    <w:p w:rsidR="008472B9" w:rsidRPr="000801DB" w:rsidRDefault="00FB257B" w:rsidP="00C072DE">
      <w:pPr>
        <w:ind w:firstLine="567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</w:pPr>
      <w:r w:rsidRPr="000801D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А</w:t>
      </w:r>
      <w:r w:rsidR="008472B9" w:rsidRPr="000801D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ЛГОРИТМ ОЦІНКИ РЕКРЕАЦІЙНОГО ПОТЕНЦІАЛУ ЯК СКЛАДОВА ДОСЯГНЕННЯ ЕФЕКТУ СИНЕРГІЇ В КЛАСТЕРНИХ СИСТЕМАХ </w:t>
      </w:r>
    </w:p>
    <w:p w:rsidR="0086574A" w:rsidRPr="000801DB" w:rsidRDefault="00471FCA" w:rsidP="00C072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Динамічність рекреаційної сфери</w:t>
      </w:r>
      <w:r w:rsidR="00142DA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все частіше стає предметом дискусій</w:t>
      </w:r>
      <w:r w:rsidR="00142DA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, особливо коли йдеться про 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Карпатський </w:t>
      </w:r>
      <w:proofErr w:type="spellStart"/>
      <w:r w:rsidR="00603623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макро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регіон</w:t>
      </w:r>
      <w:proofErr w:type="spellEnd"/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України</w:t>
      </w:r>
      <w:r w:rsidR="00142DA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. З огляд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у на те, що даний сектор національної економіки</w:t>
      </w:r>
      <w:r w:rsidR="00142DA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викликає цілий ряд позитивних ефектів </w:t>
      </w:r>
      <w:proofErr w:type="spellStart"/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соціо-</w:t>
      </w:r>
      <w:r w:rsidR="00142DA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економічного</w:t>
      </w:r>
      <w:proofErr w:type="spellEnd"/>
      <w:r w:rsidR="00142DA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х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арактеру</w:t>
      </w:r>
      <w:r w:rsidR="00142DA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, дуже важли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во, щоб були дотримані умови сталого розвитку з оптимальним механізмом о</w:t>
      </w:r>
      <w:r w:rsidR="000E5AC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цінки рекреаційних ресурсів</w:t>
      </w:r>
      <w:r w:rsidR="00DE4984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. </w:t>
      </w:r>
      <w:r w:rsidR="000E39A1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У </w:t>
      </w:r>
      <w:r w:rsidR="00DC19D6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даній роботі</w:t>
      </w:r>
      <w:r w:rsidR="00142DA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пропонує</w:t>
      </w:r>
      <w:r w:rsidR="00DC19D6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ться алгоритм оцінки рекреаційного потенціалу </w:t>
      </w:r>
      <w:r w:rsidR="00142DA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за показниками доступності, планува</w:t>
      </w:r>
      <w:r w:rsidR="00E6652B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ння і туристичної привабливості</w:t>
      </w:r>
      <w:r w:rsidR="0086574A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, а також</w:t>
      </w:r>
      <w:r w:rsidR="00DC19D6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2F3AA6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умов </w:t>
      </w:r>
      <w:r w:rsidR="0086574A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створення</w:t>
      </w:r>
      <w:r w:rsidR="00DC19D6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об'єднань у вигляді кластеру</w:t>
      </w:r>
      <w:r w:rsidR="00142DA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. </w:t>
      </w:r>
    </w:p>
    <w:p w:rsidR="001B77D5" w:rsidRPr="000801DB" w:rsidRDefault="002C1714" w:rsidP="00C072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Складний характер рекреаційної індустрії підкреслюється взаємозалежністю</w:t>
      </w:r>
      <w:r w:rsidR="00142DA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м</w:t>
      </w:r>
      <w:r w:rsidR="002B7739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іж усіма секторами діяльності, </w:t>
      </w:r>
      <w:r w:rsidR="00142DA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тому </w:t>
      </w:r>
      <w:r w:rsidR="002B7739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кла</w:t>
      </w:r>
      <w:r w:rsidR="00660EE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с</w:t>
      </w:r>
      <w:r w:rsidR="002B7739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тери</w:t>
      </w:r>
      <w:r w:rsidR="00142DA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на територіальному рівні повинні бути запроваджені через співпрацю між державними адміністраціями, місцевими гром</w:t>
      </w:r>
      <w:r w:rsidR="00843568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адами, економічними та екологічними структурами з метою досягнення ефекту синергії.</w:t>
      </w:r>
    </w:p>
    <w:p w:rsidR="002908BF" w:rsidRPr="000801DB" w:rsidRDefault="00E666CE" w:rsidP="00290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Оцінка рекреаційного потенці</w:t>
      </w:r>
      <w:r w:rsidR="008502ED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алу регіону доцільно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розпочати з </w:t>
      </w:r>
      <w:r w:rsidR="008E0ED1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диференціації</w:t>
      </w:r>
      <w:r w:rsidR="001B77D5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8E0ED1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одиниць, які можуть приєднатися до ієрархічної та інтегрованої системи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рекреаційного кластеру</w:t>
      </w:r>
      <w:r w:rsidR="008E0ED1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. 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Показники оцінки </w:t>
      </w:r>
      <w:r w:rsidR="009F067B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можуть бути різної природи та одиниць виміру, тим сами</w:t>
      </w:r>
      <w:r w:rsid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м</w:t>
      </w:r>
      <w:r w:rsidR="009F067B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забезпечивши міжгалузевий зв'язок та цілісність </w:t>
      </w:r>
      <w:proofErr w:type="spellStart"/>
      <w:r w:rsidR="009F067B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кластерної</w:t>
      </w:r>
      <w:proofErr w:type="spellEnd"/>
      <w:r w:rsidR="009F067B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системи. </w:t>
      </w:r>
      <w:r w:rsidR="000E39A1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З такою метою побудуємо алгоритм визначення і</w:t>
      </w:r>
      <w:r w:rsidR="003F2832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ндексу рекреаційного потенціалу </w:t>
      </w:r>
      <w:r w:rsidR="00BD411A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території за трьома показниками</w:t>
      </w:r>
      <w:r w:rsidR="003F2832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2C72B8" w:rsidRPr="000801DB" w:rsidRDefault="002908BF" w:rsidP="00290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1. </w:t>
      </w:r>
      <w:r w:rsidR="003F2832" w:rsidRPr="000801D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uk-UA"/>
        </w:rPr>
        <w:t>Доступність.</w:t>
      </w:r>
      <w:r w:rsidR="003F2832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880A4D" w:rsidRPr="000801DB">
        <w:rPr>
          <w:rFonts w:ascii="Times New Roman" w:hAnsi="Times New Roman" w:cs="Times New Roman"/>
          <w:sz w:val="28"/>
          <w:szCs w:val="28"/>
          <w:lang w:val="uk-UA"/>
        </w:rPr>
        <w:t>Важливою умовою, без якої неможливий розвиток рекреації, є транспортна доступність.</w:t>
      </w:r>
      <w:r w:rsidR="0006636A" w:rsidRPr="000801DB">
        <w:rPr>
          <w:rFonts w:ascii="Times New Roman" w:hAnsi="Times New Roman" w:cs="Times New Roman"/>
          <w:sz w:val="28"/>
          <w:szCs w:val="28"/>
          <w:lang w:val="uk-UA"/>
        </w:rPr>
        <w:t xml:space="preserve"> Географічне розташування </w:t>
      </w:r>
      <w:r w:rsidR="0070231E" w:rsidRPr="000801DB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можливість </w:t>
      </w:r>
      <w:r w:rsidR="0070231E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максимально ефективно зв'язув</w:t>
      </w:r>
      <w:r w:rsidR="00451B09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ати емісійні та рецептивні зони,</w:t>
      </w:r>
      <w:r w:rsidR="00674F7D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з</w:t>
      </w:r>
      <w:r w:rsidR="00660EE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точки зору відстані-часу, відстані-</w:t>
      </w:r>
      <w:r w:rsidR="00451B09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вартості або комфорту. </w:t>
      </w:r>
      <w:r w:rsidR="002C72B8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Отже, ана</w:t>
      </w:r>
      <w:r w:rsidR="006A15F7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ліз рекреаційної доступності в К</w:t>
      </w:r>
      <w:r w:rsidR="002C72B8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арпатському регіоні України</w:t>
      </w:r>
      <w:r w:rsidR="008976F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потребуватиме обов'язкової оцінки</w:t>
      </w:r>
      <w:r w:rsidR="002C72B8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6A15F7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дорожньої інфраструктури, </w:t>
      </w:r>
      <w:r w:rsidR="002C72B8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не тільки з </w:t>
      </w:r>
      <w:r w:rsidR="008976F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точки зору довжини або щільності, але й</w:t>
      </w:r>
      <w:r w:rsidR="002C72B8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в залежнос</w:t>
      </w:r>
      <w:r w:rsidR="008976F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ті від </w:t>
      </w:r>
      <w:r w:rsidR="002C72B8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дорожньої мережі. Таким ч</w:t>
      </w:r>
      <w:r w:rsidR="008976F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ином, доцільно</w:t>
      </w:r>
      <w:r w:rsidR="002C72B8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розрахуват</w:t>
      </w:r>
      <w:r w:rsidR="006A15F7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и відстані-</w:t>
      </w:r>
      <w:r w:rsidR="008976F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час, що розділяє досліджену місцевість з</w:t>
      </w:r>
      <w:r w:rsidR="002C72B8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національними та європейським</w:t>
      </w:r>
      <w:r w:rsidR="008976F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и дорогами, Відстань</w:t>
      </w:r>
      <w:r w:rsidR="002C72B8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д</w:t>
      </w:r>
      <w:r w:rsidR="008976F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о цих точок визначається з урахуванням </w:t>
      </w:r>
      <w:r w:rsidR="002C72B8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середніх швидкостей, визначених для основни</w:t>
      </w:r>
      <w:r w:rsidR="008976F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х типів доріг в регіоні. За цих обставин, ф</w:t>
      </w:r>
      <w:r w:rsidR="002C72B8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ормула розрахунку буде врахов</w:t>
      </w:r>
      <w:r w:rsidR="008976F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увати д</w:t>
      </w:r>
      <w:r w:rsid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ва види</w:t>
      </w:r>
      <w:r w:rsidR="002C72B8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відстані до європейських до</w:t>
      </w:r>
      <w:r w:rsidR="008976F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ріг і до національних доріг. В той же час слід прийняти до уваги той факт,</w:t>
      </w:r>
      <w:r w:rsidR="002C72B8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що європейська дорога одночасно є н</w:t>
      </w:r>
      <w:r w:rsidR="008976F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аціональною дорогою </w:t>
      </w:r>
      <w:r w:rsidR="002C72B8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на міжнародному рівні</w:t>
      </w:r>
      <w:r w:rsidR="008976F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, що значно збільшує ймовірність отримання</w:t>
      </w:r>
      <w:r w:rsidR="002C72B8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інвестиційн</w:t>
      </w:r>
      <w:r w:rsidR="0086574A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их</w:t>
      </w:r>
      <w:r w:rsidR="006A15F7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проектів щодо її</w:t>
      </w:r>
      <w:r w:rsidR="008976F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модернізації.</w:t>
      </w:r>
      <w:r w:rsidR="002C72B8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8976F5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Враховуючи вище сказане, шукана формула оцінки рекреаційної доступності має вигляд:</w:t>
      </w:r>
    </w:p>
    <w:p w:rsidR="007F75E8" w:rsidRDefault="0062319B" w:rsidP="00764326">
      <w:pPr>
        <w:pStyle w:val="a5"/>
        <w:spacing w:after="0"/>
        <w:ind w:left="567"/>
        <w:jc w:val="center"/>
        <w:rPr>
          <w:rFonts w:ascii="Times New Roman" w:eastAsiaTheme="minorEastAsia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m:t>I</m:t>
            </m:r>
          </m:e>
          <m:sub>
            <m:r>
              <w:rPr>
                <w:rFonts w:ascii="Cambria Math" w:hAnsi="Cambria Math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m:t>a</m:t>
            </m:r>
          </m:sub>
        </m:sSub>
        <m:r>
          <w:rPr>
            <w:rFonts w:ascii="Cambria Math" w:hAnsi="Cambria Math" w:cs="Times New Roman"/>
            <w:color w:val="212121"/>
            <w:sz w:val="28"/>
            <w:szCs w:val="28"/>
            <w:shd w:val="clear" w:color="auto" w:fill="FFFFFF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m:t>D</m:t>
            </m:r>
          </m:e>
          <m:sub>
            <m:r>
              <w:rPr>
                <w:rFonts w:ascii="Cambria Math" w:hAnsi="Cambria Math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m:t>te</m:t>
            </m:r>
          </m:sub>
        </m:sSub>
        <m:r>
          <w:rPr>
            <w:rFonts w:ascii="Cambria Math" w:hAnsi="Cambria Math" w:cs="Times New Roman"/>
            <w:color w:val="212121"/>
            <w:sz w:val="28"/>
            <w:szCs w:val="28"/>
            <w:shd w:val="clear" w:color="auto" w:fill="FFFFFF"/>
            <w:lang w:val="uk-UA"/>
          </w:rPr>
          <m:t>×</m:t>
        </m:r>
        <m:d>
          <m:d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212121"/>
                    <w:sz w:val="28"/>
                    <w:szCs w:val="28"/>
                    <w:shd w:val="clear" w:color="auto" w:fill="FFFFFF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shd w:val="clear" w:color="auto" w:fill="FFFFFF"/>
                    <w:lang w:val="uk-UA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shd w:val="clear" w:color="auto" w:fill="FFFFFF"/>
                    <w:lang w:val="uk-UA"/>
                  </w:rPr>
                  <m:t>tn</m:t>
                </m:r>
              </m:sub>
            </m:sSub>
          </m:e>
        </m:d>
        <m:r>
          <w:rPr>
            <w:rFonts w:ascii="Cambria Math" w:hAnsi="Cambria Math" w:cs="Times New Roman"/>
            <w:color w:val="212121"/>
            <w:sz w:val="28"/>
            <w:szCs w:val="28"/>
            <w:shd w:val="clear" w:color="auto" w:fill="FFFFFF"/>
            <w:lang w:val="uk-UA"/>
          </w:rPr>
          <m:t xml:space="preserve"> </m:t>
        </m:r>
      </m:oMath>
      <w:r w:rsidR="00A26512" w:rsidRPr="000801DB">
        <w:rPr>
          <w:rFonts w:ascii="Times New Roman" w:eastAsiaTheme="minorEastAsia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, </w:t>
      </w:r>
    </w:p>
    <w:p w:rsidR="003F2832" w:rsidRPr="000801DB" w:rsidRDefault="00A26512" w:rsidP="007F75E8">
      <w:pPr>
        <w:spacing w:after="0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7F75E8">
        <w:rPr>
          <w:rFonts w:ascii="Times New Roman" w:eastAsiaTheme="minorEastAsia" w:hAnsi="Times New Roman" w:cs="Times New Roman"/>
          <w:color w:val="212121"/>
          <w:sz w:val="28"/>
          <w:szCs w:val="28"/>
          <w:shd w:val="clear" w:color="auto" w:fill="FFFFFF"/>
          <w:lang w:val="uk-UA"/>
        </w:rPr>
        <w:lastRenderedPageBreak/>
        <w:t>де:</w:t>
      </w:r>
      <w:r w:rsidR="007F75E8">
        <w:rPr>
          <w:rFonts w:ascii="Times New Roman" w:eastAsiaTheme="minorEastAsia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m:t>I</m:t>
            </m:r>
          </m:e>
          <m:sub>
            <m:r>
              <w:rPr>
                <w:rFonts w:ascii="Cambria Math" w:hAnsi="Cambria Math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m:t>a</m:t>
            </m:r>
          </m:sub>
        </m:sSub>
      </m:oMath>
      <w:r w:rsidR="003F2832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502E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- індекс доступності в контексті</w:t>
      </w:r>
      <w:r w:rsidR="00CD563A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дорожньої мережі; </w:t>
      </w: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m:t>D</m:t>
            </m:r>
          </m:e>
          <m:sub>
            <m:r>
              <w:rPr>
                <w:rFonts w:ascii="Cambria Math" w:hAnsi="Cambria Math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m:t>te</m:t>
            </m:r>
          </m:sub>
        </m:sSub>
      </m:oMath>
      <w:r w:rsidR="003F2832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908BF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–</w:t>
      </w:r>
      <w:r w:rsidR="003F2832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відстань</w:t>
      </w:r>
      <w:r w:rsidR="00617EF7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-</w:t>
      </w:r>
      <w:r w:rsidR="009D6C59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час</w:t>
      </w:r>
      <w:r w:rsidR="00764326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CD563A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до європейських доріг; </w:t>
      </w: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shd w:val="clear" w:color="auto" w:fill="FFFFFF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m:t>D</m:t>
            </m:r>
          </m:e>
          <m:sub>
            <m:r>
              <w:rPr>
                <w:rFonts w:ascii="Cambria Math" w:hAnsi="Cambria Math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m:t>tn</m:t>
            </m:r>
          </m:sub>
        </m:sSub>
      </m:oMath>
      <w:r w:rsidR="002908BF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– відстань-</w:t>
      </w:r>
      <w:r w:rsidR="009D6C59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час</w:t>
      </w:r>
      <w:r w:rsidR="00CD563A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до</w:t>
      </w:r>
      <w:r w:rsidR="003F2832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національних доріг.</w:t>
      </w:r>
    </w:p>
    <w:p w:rsidR="00531F1C" w:rsidRPr="000801DB" w:rsidRDefault="00AC6066" w:rsidP="00C072D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2908BF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2</w:t>
      </w:r>
      <w:r w:rsidR="00AC44BE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. </w:t>
      </w:r>
      <w:r w:rsidRPr="000801D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uk-UA"/>
        </w:rPr>
        <w:t>Рекреаційна п</w:t>
      </w:r>
      <w:r w:rsidR="00985B6C" w:rsidRPr="000801D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uk-UA"/>
        </w:rPr>
        <w:t>ривабливість.</w:t>
      </w:r>
      <w:r w:rsidR="00985B6C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Найважливішими складовими розвитку індустрії відпочинку є</w:t>
      </w:r>
      <w:r w:rsidR="00F87F4E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елементи привабливості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, оскільки вони стимулюють населення подорожувати в туристичних цілях. Очев</w:t>
      </w:r>
      <w:r w:rsidR="00B66C22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идно, просте</w:t>
      </w:r>
      <w:r w:rsidR="00F87F4E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вимірювання</w:t>
      </w:r>
      <w:r w:rsidR="00B66C22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даного показника</w:t>
      </w:r>
      <w:r w:rsidR="00F87F4E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,</w:t>
      </w:r>
      <w:r w:rsidR="00B66C22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його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кількісна оцінка має бути спрямована не тільки на</w:t>
      </w:r>
      <w:r w:rsidR="00B66C22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висвітлення наявності рекреаційних ресурсів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, а</w:t>
      </w:r>
      <w:r w:rsidR="00F30927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ле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й на відносини, які встановлюються між ними. З метою розробки </w:t>
      </w:r>
      <w:r w:rsidR="008D7598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плану регіональної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території</w:t>
      </w:r>
      <w:r w:rsidR="008D7598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,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7C5DD9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слід залучити 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ряд інституцій та фахівців </w:t>
      </w:r>
      <w:r w:rsidR="009E006A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у цій галузі</w:t>
      </w:r>
      <w:r w:rsidR="007C5DD9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, які б</w:t>
      </w:r>
      <w:r w:rsidR="009E006A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сприяли кількісній оцінці рекреаційного</w:t>
      </w:r>
      <w:r w:rsidR="00B82AA0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потенціалу, як природного, так і антропного</w:t>
      </w:r>
      <w:r w:rsidR="007C5DD9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. Йдеться про в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им</w:t>
      </w:r>
      <w:r w:rsidR="00642556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ірювання природних рекреаційних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ресурсів</w:t>
      </w:r>
      <w:r w:rsidR="0079111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, яке</w:t>
      </w:r>
      <w:r w:rsidR="007C5DD9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б</w:t>
      </w:r>
      <w:r w:rsidR="0078387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базувалося на методі </w:t>
      </w:r>
      <w:proofErr w:type="spellStart"/>
      <w:r w:rsidR="0078387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скорингу</w:t>
      </w:r>
      <w:proofErr w:type="spellEnd"/>
      <w:r w:rsidR="0078387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, </w:t>
      </w:r>
      <w:r w:rsidR="00642556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тобто оцінювання 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за критеріями</w:t>
      </w:r>
      <w:r w:rsidR="00642556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встановлення природних меж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(рельєф, геоморфологія, рослинність, фа</w:t>
      </w:r>
      <w:r w:rsidR="007D4A9B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уна, гідрографія та ландшафт), 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="000B240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природних терапевтичних компонент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, щ</w:t>
      </w:r>
      <w:r w:rsidR="00642556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о існують в Україні (мінеральні води, озера,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національні парк</w:t>
      </w:r>
      <w:r w:rsidR="00642556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и, природні парки,</w:t>
      </w:r>
      <w:r w:rsidR="00A22C49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природні заповідні території, біосферні заповідники тощо</w:t>
      </w:r>
      <w:r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). </w:t>
      </w:r>
      <w:r w:rsidR="00531F1C" w:rsidRPr="000801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Кількісна оцінка застосовується також</w:t>
      </w:r>
      <w:r w:rsidR="00531F1C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у випадку антропогенних рекреаційних</w:t>
      </w:r>
      <w:r w:rsidR="00AD0229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ресурсі</w:t>
      </w:r>
      <w:r w:rsidR="00531F1C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, включаючи перегляд культурної спадщини, археологічні, архітектурні</w:t>
      </w:r>
      <w:r w:rsidR="00113DB5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, меморіальні</w:t>
      </w:r>
      <w:r w:rsidR="00531F1C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та громадські пам'ятники</w:t>
      </w:r>
      <w:r w:rsidR="00113DB5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r w:rsidR="00531F1C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музеї та громадські колекції, мистецтво і народні традиції (включаючи с</w:t>
      </w:r>
      <w:r w:rsidR="007D4A9B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вята, фестивалі, ярмарки,</w:t>
      </w:r>
      <w:r w:rsidR="00531F1C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звичаї та обряди</w:t>
      </w:r>
      <w:r w:rsidR="00113DB5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тощо</w:t>
      </w:r>
      <w:r w:rsidR="00FA4BF0">
        <w:rPr>
          <w:rFonts w:ascii="Times New Roman" w:hAnsi="Times New Roman" w:cs="Times New Roman"/>
          <w:color w:val="212121"/>
          <w:sz w:val="28"/>
          <w:szCs w:val="28"/>
          <w:lang w:val="uk-UA"/>
        </w:rPr>
        <w:t>), традиційні народні ремесла</w:t>
      </w:r>
      <w:r w:rsidR="00531F1C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(текстиль</w:t>
      </w:r>
      <w:r w:rsidR="00713FB4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r w:rsidR="00531F1C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такі як ткани</w:t>
      </w:r>
      <w:r w:rsidR="007D4A9B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ни, килими, народні костюми, вишивки</w:t>
      </w:r>
      <w:r w:rsidR="00531F1C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; розпи</w:t>
      </w:r>
      <w:r w:rsidR="0032726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с по склу і дереву</w:t>
      </w:r>
      <w:r w:rsidR="00531F1C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; майстерні</w:t>
      </w:r>
      <w:r w:rsidR="0032726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сть по дереву, металу, каменю, шкірі</w:t>
      </w:r>
      <w:r w:rsidR="00531F1C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) і не в</w:t>
      </w:r>
      <w:r w:rsidR="00E33D9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531F1C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останній ряд </w:t>
      </w:r>
      <w:r w:rsidR="00113DB5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проведення</w:t>
      </w:r>
      <w:r w:rsidR="00531F1C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концертів і культурних заходів</w:t>
      </w:r>
      <w:r w:rsidR="00FA4BF0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E2784E" w:rsidRPr="000801DB" w:rsidRDefault="00E2784E" w:rsidP="00C072D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3. </w:t>
      </w:r>
      <w:r w:rsidR="0074464C" w:rsidRPr="000801DB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Умови для розміщення рекреантів</w:t>
      </w:r>
      <w:r w:rsidRPr="000801DB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.</w:t>
      </w:r>
      <w:r w:rsidR="00C52D0B" w:rsidRPr="000801DB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 </w:t>
      </w:r>
      <w:r w:rsidR="00C52D0B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В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ажливе зн</w:t>
      </w:r>
      <w:r w:rsidR="00652428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ачення для залучення туристичних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потоків і необхідних для отримання фінансових вигод</w:t>
      </w:r>
      <w:r w:rsidR="000A5628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має оцінка рекреаційних об'єктів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r w:rsidR="00D54936">
        <w:rPr>
          <w:rFonts w:ascii="Times New Roman" w:hAnsi="Times New Roman" w:cs="Times New Roman"/>
          <w:color w:val="212121"/>
          <w:sz w:val="28"/>
          <w:szCs w:val="28"/>
          <w:lang w:val="uk-UA"/>
        </w:rPr>
        <w:t>яка зосереджена</w:t>
      </w:r>
      <w:r w:rsidR="000A5628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на двох</w:t>
      </w:r>
      <w:r w:rsid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аспектах:</w:t>
      </w:r>
    </w:p>
    <w:p w:rsidR="00E2784E" w:rsidRPr="000801DB" w:rsidRDefault="00E2784E" w:rsidP="00C072D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- оцінка технічної та комунальн</w:t>
      </w:r>
      <w:r w:rsidR="0016311E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ої інфраструктури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;</w:t>
      </w:r>
    </w:p>
    <w:p w:rsidR="00E2784E" w:rsidRPr="000801DB" w:rsidRDefault="0016311E" w:rsidP="00C072D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- оцінка існуючої рекреацій</w:t>
      </w:r>
      <w:r w:rsidR="00611A9E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ної інфраструктури</w:t>
      </w:r>
      <w:r w:rsidR="00E2784E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E2784E" w:rsidRPr="000801DB" w:rsidRDefault="00D54936" w:rsidP="00C072D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На такому етапі</w:t>
      </w:r>
      <w:r w:rsidR="00A27CB8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</w:t>
      </w:r>
      <w:r w:rsidR="00611A9E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росторовий розподіл рекреаційного</w:t>
      </w:r>
      <w:r w:rsidR="00E2784E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рівня </w:t>
      </w:r>
      <w:r w:rsidR="00A27CB8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доцільно </w:t>
      </w:r>
      <w:r w:rsidR="00E2784E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ро</w:t>
      </w:r>
      <w:r w:rsidR="00A27CB8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зраховувати</w:t>
      </w:r>
      <w:r w:rsidR="00E2784E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за такою формулою:</w:t>
      </w:r>
    </w:p>
    <w:p w:rsidR="007F75E8" w:rsidRDefault="0062319B" w:rsidP="00D5692E">
      <w:pPr>
        <w:pStyle w:val="HTML"/>
        <w:shd w:val="clear" w:color="auto" w:fill="FFFFFF"/>
        <w:ind w:firstLine="567"/>
        <w:jc w:val="center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ur</m:t>
            </m:r>
          </m:sub>
        </m:sSub>
        <m:r>
          <w:rPr>
            <w:rFonts w:ascii="Cambria Math" w:hAnsi="Cambria Math" w:cs="Times New Roman"/>
            <w:color w:val="212121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n</m:t>
            </m:r>
          </m:deg>
          <m:e>
            <m:d>
              <m:dPr>
                <m:ctrlPr>
                  <w:rPr>
                    <w:rFonts w:ascii="Cambria Math" w:hAnsi="Cambria Math" w:cs="Times New Roman"/>
                    <w:i/>
                    <w:color w:val="212121"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212121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12121"/>
                        <w:sz w:val="28"/>
                        <w:szCs w:val="28"/>
                        <w:lang w:val="uk-U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12121"/>
                        <w:sz w:val="28"/>
                        <w:szCs w:val="28"/>
                        <w:lang w:val="en-US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212121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12121"/>
                        <w:sz w:val="28"/>
                        <w:szCs w:val="28"/>
                        <w:lang w:val="uk-U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12121"/>
                        <w:sz w:val="28"/>
                        <w:szCs w:val="28"/>
                        <w:lang w:val="uk-UA"/>
                      </w:rPr>
                      <m:t>h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212121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c</m:t>
                </m:r>
              </m:sub>
            </m:sSub>
          </m:e>
        </m:rad>
      </m:oMath>
      <w:r w:rsidR="00E2784E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 , </w:t>
      </w:r>
    </w:p>
    <w:p w:rsidR="00E2784E" w:rsidRPr="000801DB" w:rsidRDefault="00E2784E" w:rsidP="007F75E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де:</w:t>
      </w:r>
      <w:r w:rsidR="007F75E8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ur</m:t>
            </m:r>
          </m:sub>
        </m:sSub>
      </m:oMath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48604F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- </w:t>
      </w:r>
      <w:proofErr w:type="gramStart"/>
      <w:r w:rsidR="007637B7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індекс</w:t>
      </w:r>
      <w:proofErr w:type="gramEnd"/>
      <w:r w:rsidR="007637B7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умов розміщення рекреантів; </w:t>
      </w: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r</m:t>
            </m:r>
          </m:sub>
        </m:sSub>
      </m:oMath>
      <w:r w:rsidR="0048604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48604F">
        <w:rPr>
          <w:rFonts w:ascii="Times New Roman" w:hAnsi="Times New Roman" w:cs="Times New Roman"/>
          <w:color w:val="212121"/>
          <w:sz w:val="28"/>
          <w:szCs w:val="28"/>
          <w:lang w:val="en-US"/>
        </w:rPr>
        <w:t>-</w:t>
      </w:r>
      <w:r w:rsidR="007637B7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я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кісний індекс</w:t>
      </w:r>
      <w:r w:rsidR="007C34B6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інфраструктури розміщення; </w:t>
      </w: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h</m:t>
            </m:r>
          </m:sub>
        </m:sSub>
      </m:oMath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</w:t>
      </w:r>
      <w:r w:rsidR="007C34B6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я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кісний інде</w:t>
      </w:r>
      <w:r w:rsidR="007C34B6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кс інфраструктури харчування; </w:t>
      </w:r>
      <w:r w:rsidR="00061849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c</m:t>
            </m:r>
          </m:sub>
        </m:sSub>
      </m:oMath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рівень комунальних послуг; </w:t>
      </w:r>
      <w:r w:rsidRPr="000801DB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n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</w:t>
      </w:r>
      <w:proofErr w:type="spellStart"/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кореляторна</w:t>
      </w:r>
      <w:proofErr w:type="spellEnd"/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змінна, що залежить від аналізованої області (</w:t>
      </w:r>
      <w:r w:rsidR="00E51D3D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наприклад 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= 4 для аналізованої області).</w:t>
      </w:r>
    </w:p>
    <w:p w:rsidR="00E2784E" w:rsidRPr="000801DB" w:rsidRDefault="00E2784E" w:rsidP="00C072D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Індекс якості житлової і</w:t>
      </w:r>
      <w:r w:rsidR="00A27CB8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нфраструктури є оптимал</w:t>
      </w:r>
      <w:r w:rsidR="002161D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ьнішим для відповідної оцінки, </w:t>
      </w:r>
      <w:r w:rsidR="00A27CB8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ніж валова кількість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місць у закладах розміщення або харчування, оскільки він пропонує не тільки кількісну картину кон</w:t>
      </w:r>
      <w:r w:rsidR="00C642D5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кретного рівня розвитку рекреації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, але й якісну, підвищене значення для підрозділів з більшою кількістю зірок:</w:t>
      </w:r>
    </w:p>
    <w:p w:rsidR="007F75E8" w:rsidRDefault="0062319B" w:rsidP="00EC08A4">
      <w:pPr>
        <w:pStyle w:val="HTML"/>
        <w:shd w:val="clear" w:color="auto" w:fill="FFFFFF"/>
        <w:ind w:firstLine="567"/>
        <w:jc w:val="center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212121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r</m:t>
                </m:r>
              </m:sub>
            </m:sSub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Cambria Math" w:cs="Times New Roman"/>
            <w:color w:val="212121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N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color w:val="212121"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*</m:t>
                </m:r>
              </m:sup>
            </m:sSup>
          </m:sub>
        </m:sSub>
        <m:r>
          <w:rPr>
            <w:rFonts w:ascii="Cambria Math" w:hAnsi="Cambria Math" w:cs="Times New Roman"/>
            <w:color w:val="212121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2×N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color w:val="212121"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*</m:t>
                </m:r>
              </m:sup>
            </m:sSup>
          </m:sub>
        </m:sSub>
        <m:r>
          <w:rPr>
            <w:rFonts w:ascii="Cambria Math" w:hAnsi="Cambria Math" w:cs="Times New Roman"/>
            <w:color w:val="212121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3×N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color w:val="212121"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*</m:t>
                </m:r>
              </m:sup>
            </m:sSup>
          </m:sub>
        </m:sSub>
        <m:r>
          <w:rPr>
            <w:rFonts w:ascii="Cambria Math" w:hAnsi="Cambria Math" w:cs="Times New Roman"/>
            <w:color w:val="212121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4×N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color w:val="212121"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*</m:t>
                </m:r>
              </m:sup>
            </m:sSup>
          </m:sub>
        </m:sSub>
        <m:r>
          <w:rPr>
            <w:rFonts w:ascii="Cambria Math" w:hAnsi="Cambria Math" w:cs="Times New Roman"/>
            <w:color w:val="212121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5×N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color w:val="212121"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*</m:t>
                </m:r>
              </m:sup>
            </m:sSup>
          </m:sub>
        </m:sSub>
      </m:oMath>
      <w:r w:rsidR="00422A78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</w:p>
    <w:p w:rsidR="00E2784E" w:rsidRPr="000801DB" w:rsidRDefault="00E2784E" w:rsidP="007F75E8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де:</w:t>
      </w:r>
      <w:r w:rsidR="007F75E8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212121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c</m:t>
            </m:r>
          </m:sub>
        </m:sSub>
      </m:oMath>
      <w:r w:rsidR="00422A78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– я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кісний показник </w:t>
      </w:r>
      <w:r w:rsidR="00422A78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інфраструктури житла/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харчування; </w:t>
      </w: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N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color w:val="212121"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*</m:t>
                </m:r>
              </m:sup>
            </m:sSup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…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212121"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color w:val="212121"/>
                    <w:sz w:val="28"/>
                    <w:szCs w:val="28"/>
                    <w:lang w:val="uk-UA"/>
                  </w:rPr>
                  <m:t>*</m:t>
                </m:r>
              </m:sup>
            </m:sSup>
          </m:sub>
        </m:sSub>
        <m:r>
          <w:rPr>
            <w:rFonts w:ascii="Cambria Math" w:hAnsi="Cambria Math" w:cs="Times New Roman"/>
            <w:color w:val="212121"/>
            <w:sz w:val="28"/>
            <w:szCs w:val="28"/>
            <w:lang w:val="uk-UA"/>
          </w:rPr>
          <m:t xml:space="preserve"> </m:t>
        </m:r>
      </m:oMath>
      <w:r w:rsidR="00422A78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місця в закладах розміщення/харчування за класифікацією 1*, ..., 5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*;</w:t>
      </w:r>
    </w:p>
    <w:p w:rsidR="002C3B43" w:rsidRPr="000801DB" w:rsidRDefault="00880A4D" w:rsidP="00C072D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0801D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137F7A" w:rsidRPr="00080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266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Що стосується рівня комунальних </w:t>
      </w:r>
      <w:r w:rsidR="002C3B4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зручностей, то добре відомо, щ</w:t>
      </w:r>
      <w:r w:rsidR="00384F69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о на розвиток рекреації</w:t>
      </w:r>
      <w:r w:rsidR="002C3B4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впливаю</w:t>
      </w:r>
      <w:r w:rsidR="001F5FA7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ть насамперед муніципальні послуги</w:t>
      </w:r>
      <w:r w:rsidR="002C3B4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які вона надає. Таким чином, важливість постачання газу, гарячої води, проточної води, електроенергії </w:t>
      </w:r>
      <w:r w:rsidR="00384F69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тощо </w:t>
      </w:r>
      <w:r w:rsidR="002C3B4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може вплинути на рішення потенційного інвестора розмістити робочі місця в одному або іншому місці. Враховуючи відносно велику кількість розглян</w:t>
      </w:r>
      <w:r w:rsidR="001F5FA7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утих технічних </w:t>
      </w:r>
      <w:r w:rsidR="002C3B4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муніципальних об'єктів, було</w:t>
      </w:r>
      <w:r w:rsidR="00384F69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б</w:t>
      </w:r>
      <w:r w:rsidR="002C3B4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краще представити та проаналізувати їх просторовий розподіл за до</w:t>
      </w:r>
      <w:r w:rsidR="00E80D62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помогою індексу, що об'єднує </w:t>
      </w:r>
      <w:r w:rsidR="002C3B4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5 показн</w:t>
      </w:r>
      <w:r w:rsidR="00F5159A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иків. У цьому відношенні йдеться про запровадження</w:t>
      </w:r>
      <w:r w:rsidR="009A0CB9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для аналі</w:t>
      </w:r>
      <w:r w:rsidR="00403F45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зу та адаптації</w:t>
      </w:r>
      <w:r w:rsidR="002C3B4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муніципального індексу</w:t>
      </w:r>
      <w:r w:rsidR="00384F69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. Адаптація полягає</w:t>
      </w:r>
      <w:r w:rsidR="002C3B4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 усуненні змінних щільності житла та введенні змінної </w:t>
      </w:r>
      <w:r w:rsidR="002C3B43" w:rsidRPr="000801DB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k</w:t>
      </w:r>
      <w:r w:rsidR="002C3B4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A37B1C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- </w:t>
      </w:r>
      <w:r w:rsidR="002C3B4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корекції, значення якої відрізняється в</w:t>
      </w:r>
      <w:r w:rsidR="00774931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залежності від дослідженого регіону</w:t>
      </w:r>
      <w:r w:rsidR="00A37B1C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зокрема </w:t>
      </w:r>
      <w:r w:rsidR="002C3B4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у</w:t>
      </w:r>
      <w:r w:rsidR="00384F69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випадку гірського туризму. Отриманий індекс суміщає</w:t>
      </w:r>
      <w:r w:rsidR="002C3B4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коефіцієнти, </w:t>
      </w:r>
      <w:r w:rsidR="00384F69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відповідно до частоти об'єктів</w:t>
      </w:r>
      <w:r w:rsidR="002C3B4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на </w:t>
      </w:r>
      <w:r w:rsidR="00384F69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рівні регіону, тому формула його визначення набуває вигляду</w:t>
      </w:r>
      <w:r w:rsidR="002C3B4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:</w:t>
      </w:r>
    </w:p>
    <w:p w:rsidR="000805F2" w:rsidRPr="000801DB" w:rsidRDefault="0062319B" w:rsidP="00C072D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212121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color w:val="212121"/>
                  <w:sz w:val="28"/>
                  <w:szCs w:val="28"/>
                  <w:lang w:val="uk-UA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mallCaps/>
                  <w:color w:val="212121"/>
                  <w:sz w:val="28"/>
                  <w:szCs w:val="28"/>
                  <w:lang w:val="uk-UA"/>
                </w:rPr>
                <m:t>kp</m:t>
              </m:r>
            </m:sub>
          </m:sSub>
          <m:r>
            <w:rPr>
              <w:rFonts w:ascii="Cambria Math" w:hAnsi="Cambria Math" w:cs="Times New Roman"/>
              <w:color w:val="212121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212121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color w:val="212121"/>
                  <w:sz w:val="28"/>
                  <w:szCs w:val="28"/>
                  <w:lang w:val="uk-UA"/>
                </w:rPr>
                <m:t>0.4×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12121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12121"/>
                      <w:sz w:val="28"/>
                      <w:szCs w:val="28"/>
                      <w:lang w:val="uk-UA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212121"/>
                      <w:sz w:val="28"/>
                      <w:szCs w:val="28"/>
                      <w:lang w:val="uk-UA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color w:val="212121"/>
                  <w:sz w:val="28"/>
                  <w:szCs w:val="28"/>
                  <w:lang w:val="uk-UA"/>
                </w:rPr>
                <m:t>+0.3×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12121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12121"/>
                      <w:sz w:val="28"/>
                      <w:szCs w:val="28"/>
                      <w:lang w:val="uk-UA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212121"/>
                      <w:sz w:val="28"/>
                      <w:szCs w:val="28"/>
                      <w:lang w:val="uk-UA"/>
                    </w:rPr>
                    <m:t>g</m:t>
                  </m:r>
                </m:sub>
              </m:sSub>
              <m:r>
                <w:rPr>
                  <w:rFonts w:ascii="Cambria Math" w:hAnsi="Cambria Math" w:cs="Times New Roman"/>
                  <w:color w:val="212121"/>
                  <w:sz w:val="28"/>
                  <w:szCs w:val="28"/>
                  <w:lang w:val="uk-UA"/>
                </w:rPr>
                <m:t>+0.2×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12121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12121"/>
                      <w:sz w:val="28"/>
                      <w:szCs w:val="28"/>
                      <w:lang w:val="uk-UA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212121"/>
                      <w:sz w:val="28"/>
                      <w:szCs w:val="28"/>
                      <w:lang w:val="uk-UA"/>
                    </w:rPr>
                    <m:t>gv</m:t>
                  </m:r>
                </m:sub>
              </m:sSub>
              <m:r>
                <w:rPr>
                  <w:rFonts w:ascii="Cambria Math" w:hAnsi="Cambria Math" w:cs="Times New Roman"/>
                  <w:color w:val="212121"/>
                  <w:sz w:val="28"/>
                  <w:szCs w:val="28"/>
                  <w:lang w:val="uk-UA"/>
                </w:rPr>
                <m:t>+0.1×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12121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12121"/>
                      <w:sz w:val="28"/>
                      <w:szCs w:val="28"/>
                      <w:lang w:val="uk-UA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212121"/>
                      <w:sz w:val="28"/>
                      <w:szCs w:val="28"/>
                      <w:lang w:val="uk-UA"/>
                    </w:rPr>
                    <m:t>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12121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12121"/>
                      <w:sz w:val="28"/>
                      <w:szCs w:val="28"/>
                      <w:lang w:val="uk-UA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212121"/>
                      <w:sz w:val="28"/>
                      <w:szCs w:val="28"/>
                      <w:lang w:val="uk-UA"/>
                    </w:rPr>
                    <m:t>z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212121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212121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color w:val="212121"/>
                  <w:sz w:val="28"/>
                  <w:szCs w:val="28"/>
                  <w:lang w:val="uk-UA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mallCaps/>
                  <w:color w:val="212121"/>
                  <w:sz w:val="28"/>
                  <w:szCs w:val="28"/>
                  <w:lang w:val="uk-UA"/>
                </w:rPr>
                <m:t>e</m:t>
              </m:r>
            </m:sub>
          </m:sSub>
          <m:r>
            <w:rPr>
              <w:rFonts w:ascii="Cambria Math" w:hAnsi="Cambria Math" w:cs="Times New Roman"/>
              <w:color w:val="212121"/>
              <w:sz w:val="28"/>
              <w:szCs w:val="28"/>
              <w:lang w:val="uk-UA"/>
            </w:rPr>
            <m:t>,</m:t>
          </m:r>
        </m:oMath>
      </m:oMathPara>
    </w:p>
    <w:p w:rsidR="002C3B43" w:rsidRPr="000801DB" w:rsidRDefault="002C3B43" w:rsidP="00C24F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де:</w:t>
      </w:r>
      <w:r w:rsidR="00C24FAC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mallCaps/>
                <w:color w:val="212121"/>
                <w:sz w:val="28"/>
                <w:szCs w:val="28"/>
                <w:lang w:val="uk-UA"/>
              </w:rPr>
              <m:t>kp</m:t>
            </m:r>
          </m:sub>
        </m:sSub>
      </m:oMath>
      <w:r w:rsidR="000D069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- рівень комунальних послуг; </w:t>
      </w: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mallCaps/>
                <w:color w:val="212121"/>
                <w:sz w:val="28"/>
                <w:szCs w:val="28"/>
                <w:lang w:val="uk-UA"/>
              </w:rPr>
              <m:t>k</m:t>
            </m:r>
          </m:sub>
        </m:sSub>
      </m:oMath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кількість будинків, підключе</w:t>
      </w:r>
      <w:r w:rsidR="000D069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них до каналізаційної мережі; </w:t>
      </w: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mallCaps/>
                <w:color w:val="212121"/>
                <w:sz w:val="28"/>
                <w:szCs w:val="28"/>
                <w:lang w:val="uk-UA"/>
              </w:rPr>
              <m:t>g</m:t>
            </m:r>
          </m:sub>
        </m:sSub>
      </m:oMath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кількість житлових будинків</w:t>
      </w:r>
      <w:r w:rsidR="000D069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підключених до газопровідної мережі; </w:t>
      </w: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mallCaps/>
                <w:color w:val="212121"/>
                <w:sz w:val="28"/>
                <w:szCs w:val="28"/>
                <w:lang w:val="uk-UA"/>
              </w:rPr>
              <m:t>gv</m:t>
            </m:r>
          </m:sub>
        </m:sSub>
      </m:oMath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кількі</w:t>
      </w:r>
      <w:r w:rsidR="000D069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с</w:t>
      </w:r>
      <w:bookmarkStart w:id="0" w:name="_GoBack"/>
      <w:bookmarkEnd w:id="0"/>
      <w:r w:rsidR="000D069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ть будинків з гарячою водою; </w:t>
      </w: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mallCaps/>
                <w:color w:val="212121"/>
                <w:sz w:val="28"/>
                <w:szCs w:val="28"/>
                <w:lang w:val="uk-UA"/>
              </w:rPr>
              <m:t>v</m:t>
            </m:r>
          </m:sub>
        </m:sSub>
      </m:oMath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кількість житлових </w:t>
      </w:r>
      <w:r w:rsidR="000D069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будинків з проточною водою; </w:t>
      </w: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 w:hAnsi="Cambria Math" w:cs="Times New Roman"/>
                <w:smallCaps/>
                <w:color w:val="212121"/>
                <w:sz w:val="28"/>
                <w:szCs w:val="28"/>
                <w:lang w:val="uk-UA"/>
              </w:rPr>
              <m:t>z</m:t>
            </m:r>
          </m:sub>
        </m:sSub>
      </m:oMath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за</w:t>
      </w:r>
      <w:r w:rsidR="0012691D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гальна кількість будинків; </w:t>
      </w: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 w:cs="Times New Roman"/>
                <w:smallCaps/>
                <w:color w:val="212121"/>
                <w:sz w:val="28"/>
                <w:szCs w:val="28"/>
                <w:lang w:val="uk-UA"/>
              </w:rPr>
              <m:t>e</m:t>
            </m:r>
          </m:sub>
        </m:sSub>
      </m:oMath>
      <w:r w:rsidR="0012691D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– індекс електоропостачання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:</w:t>
      </w:r>
    </w:p>
    <w:p w:rsidR="0012691D" w:rsidRPr="000801DB" w:rsidRDefault="0062319B" w:rsidP="0012691D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212121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color w:val="212121"/>
                  <w:sz w:val="28"/>
                  <w:szCs w:val="28"/>
                  <w:lang w:val="uk-UA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212121"/>
                  <w:sz w:val="28"/>
                  <w:szCs w:val="28"/>
                  <w:lang w:val="uk-UA"/>
                </w:rPr>
                <m:t>e</m:t>
              </m:r>
            </m:sub>
          </m:sSub>
          <m:r>
            <w:rPr>
              <w:rFonts w:ascii="Cambria Math" w:hAnsi="Cambria Math" w:cs="Times New Roman"/>
              <w:color w:val="212121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212121"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12121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12121"/>
                      <w:sz w:val="28"/>
                      <w:szCs w:val="28"/>
                      <w:lang w:val="uk-UA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212121"/>
                      <w:sz w:val="28"/>
                      <w:szCs w:val="28"/>
                      <w:lang w:val="uk-UA"/>
                    </w:rPr>
                    <m:t>e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12121"/>
                      <w:sz w:val="28"/>
                      <w:szCs w:val="28"/>
                      <w:lang w:val="uk-UA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212121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212121"/>
                          <w:sz w:val="28"/>
                          <w:szCs w:val="28"/>
                          <w:lang w:val="uk-UA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212121"/>
                          <w:sz w:val="28"/>
                          <w:szCs w:val="28"/>
                          <w:lang w:val="uk-UA"/>
                        </w:rPr>
                        <m:t>zj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color w:val="212121"/>
                      <w:sz w:val="28"/>
                      <w:szCs w:val="28"/>
                      <w:lang w:val="uk-UA"/>
                    </w:rPr>
                    <m:t>k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212121"/>
              <w:sz w:val="28"/>
              <w:szCs w:val="28"/>
              <w:lang w:val="uk-UA"/>
            </w:rPr>
            <m:t>,</m:t>
          </m:r>
        </m:oMath>
      </m:oMathPara>
    </w:p>
    <w:p w:rsidR="002C3B43" w:rsidRPr="000801DB" w:rsidRDefault="002C3B43" w:rsidP="00C24F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де:</w:t>
      </w:r>
      <w:r w:rsidR="00C24FAC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e</m:t>
            </m:r>
          </m:sub>
        </m:sSub>
      </m:oMath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</w:t>
      </w:r>
      <w:r w:rsidR="0012691D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кількість електрифікованих житлових об’єктів</w:t>
      </w:r>
      <w:r w:rsidR="00617EF7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color w:val="21212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 w:hAnsi="Cambria Math" w:cs="Times New Roman"/>
                <w:color w:val="212121"/>
                <w:sz w:val="28"/>
                <w:szCs w:val="28"/>
                <w:lang w:val="uk-UA"/>
              </w:rPr>
              <m:t>zj</m:t>
            </m:r>
          </m:sub>
        </m:sSub>
      </m:oMath>
      <w:r w:rsidR="00617EF7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загальна кількість рекреаційних житлових об’єктів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; </w:t>
      </w:r>
      <w:r w:rsidRPr="000801DB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k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змінна, що залежить від аналізованої області (</w:t>
      </w:r>
      <w:r w:rsidR="00234512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наприклад 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= 4 у цьому випадку).</w:t>
      </w:r>
    </w:p>
    <w:p w:rsidR="002C3B43" w:rsidRPr="000801DB" w:rsidRDefault="002C3B43" w:rsidP="00C072D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Надалі, шляхом а</w:t>
      </w:r>
      <w:r w:rsidR="00365B32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грегування часткових показників,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за допомогою методу рангової суми, можна </w:t>
      </w:r>
      <w:r w:rsidR="005543D7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побудувати схему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по</w:t>
      </w:r>
      <w:r w:rsidR="00365B32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тенціалу розвитку рекреації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3D0D9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на рівні елементарних поселень у Карпатському регіоні України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2C3B43" w:rsidRPr="000801DB" w:rsidRDefault="00D76B63" w:rsidP="00C072D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Також на регіональному рівні можна розробити</w:t>
      </w:r>
      <w:r w:rsidR="002C3B4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схему можливого</w:t>
      </w:r>
      <w:r w:rsidR="00252607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рекреаційного районування. </w:t>
      </w:r>
      <w:r w:rsidR="002C3B4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Для такого розмежування необхідний аналіз вартості</w:t>
      </w:r>
      <w:r w:rsidR="0084734E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C3B4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на місцевому рівні, а також застосування дода</w:t>
      </w:r>
      <w:r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>ткових критеріїв регіоналізації та відповідного</w:t>
      </w:r>
      <w:r w:rsidR="002C3B43" w:rsidRPr="000801D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зонування.</w:t>
      </w:r>
    </w:p>
    <w:p w:rsidR="00AA7499" w:rsidRPr="000801DB" w:rsidRDefault="00252607" w:rsidP="00C072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D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Відповідний алгоритм визначення рекреаційного потенціалу території формує передумову оцінки ефекту синергії в межах розвитку </w:t>
      </w:r>
      <w:proofErr w:type="spellStart"/>
      <w:r w:rsidRPr="000801DB">
        <w:rPr>
          <w:rFonts w:ascii="Times New Roman" w:hAnsi="Times New Roman" w:cs="Times New Roman"/>
          <w:sz w:val="28"/>
          <w:szCs w:val="28"/>
          <w:lang w:val="uk-UA"/>
        </w:rPr>
        <w:t>кластерних</w:t>
      </w:r>
      <w:proofErr w:type="spellEnd"/>
      <w:r w:rsidRPr="000801DB">
        <w:rPr>
          <w:rFonts w:ascii="Times New Roman" w:hAnsi="Times New Roman" w:cs="Times New Roman"/>
          <w:sz w:val="28"/>
          <w:szCs w:val="28"/>
          <w:lang w:val="uk-UA"/>
        </w:rPr>
        <w:t xml:space="preserve"> об’єднань</w:t>
      </w:r>
      <w:r w:rsidR="000801DB">
        <w:rPr>
          <w:rFonts w:ascii="Times New Roman" w:hAnsi="Times New Roman" w:cs="Times New Roman"/>
          <w:sz w:val="28"/>
          <w:szCs w:val="28"/>
          <w:lang w:val="uk-UA"/>
        </w:rPr>
        <w:t>, що є предметом подальш</w:t>
      </w:r>
      <w:r w:rsidR="00BF3810" w:rsidRPr="000801DB">
        <w:rPr>
          <w:rFonts w:ascii="Times New Roman" w:hAnsi="Times New Roman" w:cs="Times New Roman"/>
          <w:sz w:val="28"/>
          <w:szCs w:val="28"/>
          <w:lang w:val="uk-UA"/>
        </w:rPr>
        <w:t>их досліджень</w:t>
      </w:r>
      <w:r w:rsidRPr="000801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84E" w:rsidRPr="000801DB" w:rsidRDefault="00E2784E" w:rsidP="000D6A0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sectPr w:rsidR="00E2784E" w:rsidRPr="000801DB" w:rsidSect="000D2081">
      <w:pgSz w:w="11906" w:h="16838"/>
      <w:pgMar w:top="1276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19A2ED"/>
    <w:multiLevelType w:val="hybridMultilevel"/>
    <w:tmpl w:val="5EA742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2A5BA3"/>
    <w:multiLevelType w:val="hybridMultilevel"/>
    <w:tmpl w:val="B4743B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27DEC"/>
    <w:multiLevelType w:val="hybridMultilevel"/>
    <w:tmpl w:val="AF46A3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D81D"/>
    <w:multiLevelType w:val="hybridMultilevel"/>
    <w:tmpl w:val="5A9D99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7232234"/>
    <w:multiLevelType w:val="hybridMultilevel"/>
    <w:tmpl w:val="7F2F44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AEB6F8B"/>
    <w:multiLevelType w:val="hybridMultilevel"/>
    <w:tmpl w:val="24C2A55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66"/>
    <w:rsid w:val="00061849"/>
    <w:rsid w:val="0006636A"/>
    <w:rsid w:val="000801DB"/>
    <w:rsid w:val="000805F2"/>
    <w:rsid w:val="000876C6"/>
    <w:rsid w:val="000946D8"/>
    <w:rsid w:val="000A0278"/>
    <w:rsid w:val="000A5628"/>
    <w:rsid w:val="000B240F"/>
    <w:rsid w:val="000C49B2"/>
    <w:rsid w:val="000D0693"/>
    <w:rsid w:val="000D2081"/>
    <w:rsid w:val="000D6A0B"/>
    <w:rsid w:val="000E00CC"/>
    <w:rsid w:val="000E39A1"/>
    <w:rsid w:val="000E5AC5"/>
    <w:rsid w:val="00111DFF"/>
    <w:rsid w:val="00112055"/>
    <w:rsid w:val="00113DB5"/>
    <w:rsid w:val="0012129B"/>
    <w:rsid w:val="0012691D"/>
    <w:rsid w:val="00137F7A"/>
    <w:rsid w:val="00142DA5"/>
    <w:rsid w:val="001475AB"/>
    <w:rsid w:val="0016311E"/>
    <w:rsid w:val="00181C66"/>
    <w:rsid w:val="00190B58"/>
    <w:rsid w:val="001B77D5"/>
    <w:rsid w:val="001E02DF"/>
    <w:rsid w:val="001E690B"/>
    <w:rsid w:val="001F5FA7"/>
    <w:rsid w:val="002161D3"/>
    <w:rsid w:val="00220C24"/>
    <w:rsid w:val="002244EF"/>
    <w:rsid w:val="002273BB"/>
    <w:rsid w:val="00234512"/>
    <w:rsid w:val="002452C0"/>
    <w:rsid w:val="002502E3"/>
    <w:rsid w:val="00252607"/>
    <w:rsid w:val="00287715"/>
    <w:rsid w:val="002908BF"/>
    <w:rsid w:val="002A7AD8"/>
    <w:rsid w:val="002B7739"/>
    <w:rsid w:val="002C1714"/>
    <w:rsid w:val="002C3B43"/>
    <w:rsid w:val="002C6D09"/>
    <w:rsid w:val="002C72B8"/>
    <w:rsid w:val="002F3AA6"/>
    <w:rsid w:val="00307406"/>
    <w:rsid w:val="00310ED5"/>
    <w:rsid w:val="00327263"/>
    <w:rsid w:val="00354911"/>
    <w:rsid w:val="003628B4"/>
    <w:rsid w:val="00365B32"/>
    <w:rsid w:val="00384F69"/>
    <w:rsid w:val="00394453"/>
    <w:rsid w:val="003A73B9"/>
    <w:rsid w:val="003D0D93"/>
    <w:rsid w:val="003D3553"/>
    <w:rsid w:val="003D3601"/>
    <w:rsid w:val="003F2832"/>
    <w:rsid w:val="00403F45"/>
    <w:rsid w:val="00417CE3"/>
    <w:rsid w:val="00422A78"/>
    <w:rsid w:val="004269D6"/>
    <w:rsid w:val="00432A2A"/>
    <w:rsid w:val="00451B09"/>
    <w:rsid w:val="00455854"/>
    <w:rsid w:val="00471FCA"/>
    <w:rsid w:val="0048604F"/>
    <w:rsid w:val="004F2E29"/>
    <w:rsid w:val="00511D34"/>
    <w:rsid w:val="00531F1C"/>
    <w:rsid w:val="005379A1"/>
    <w:rsid w:val="00550E00"/>
    <w:rsid w:val="005516AD"/>
    <w:rsid w:val="005543D7"/>
    <w:rsid w:val="00567948"/>
    <w:rsid w:val="00570830"/>
    <w:rsid w:val="00573065"/>
    <w:rsid w:val="005E4CD6"/>
    <w:rsid w:val="005E77E3"/>
    <w:rsid w:val="005F5FF4"/>
    <w:rsid w:val="00603623"/>
    <w:rsid w:val="00607B7C"/>
    <w:rsid w:val="00611A9E"/>
    <w:rsid w:val="00617EF7"/>
    <w:rsid w:val="0062319B"/>
    <w:rsid w:val="00631C96"/>
    <w:rsid w:val="00642556"/>
    <w:rsid w:val="00652428"/>
    <w:rsid w:val="00660EE5"/>
    <w:rsid w:val="006732E9"/>
    <w:rsid w:val="00674F7D"/>
    <w:rsid w:val="006961BE"/>
    <w:rsid w:val="006A15F7"/>
    <w:rsid w:val="006C4C5D"/>
    <w:rsid w:val="0070231E"/>
    <w:rsid w:val="00713FB4"/>
    <w:rsid w:val="00724A45"/>
    <w:rsid w:val="0074464C"/>
    <w:rsid w:val="00745B90"/>
    <w:rsid w:val="0076220A"/>
    <w:rsid w:val="007637B7"/>
    <w:rsid w:val="00764326"/>
    <w:rsid w:val="007672AC"/>
    <w:rsid w:val="00774931"/>
    <w:rsid w:val="00783872"/>
    <w:rsid w:val="0079111F"/>
    <w:rsid w:val="007B6E7E"/>
    <w:rsid w:val="007C34B6"/>
    <w:rsid w:val="007C5DD9"/>
    <w:rsid w:val="007D4A9B"/>
    <w:rsid w:val="007F723A"/>
    <w:rsid w:val="007F75E8"/>
    <w:rsid w:val="00804776"/>
    <w:rsid w:val="008108CC"/>
    <w:rsid w:val="00843568"/>
    <w:rsid w:val="00846A05"/>
    <w:rsid w:val="008472B9"/>
    <w:rsid w:val="0084734E"/>
    <w:rsid w:val="008502ED"/>
    <w:rsid w:val="0086574A"/>
    <w:rsid w:val="008768DD"/>
    <w:rsid w:val="00880A4D"/>
    <w:rsid w:val="008976F5"/>
    <w:rsid w:val="008B4D04"/>
    <w:rsid w:val="008D7598"/>
    <w:rsid w:val="008E0ED1"/>
    <w:rsid w:val="008E3266"/>
    <w:rsid w:val="008E411F"/>
    <w:rsid w:val="00955B12"/>
    <w:rsid w:val="00985B6C"/>
    <w:rsid w:val="00997469"/>
    <w:rsid w:val="009A0CB9"/>
    <w:rsid w:val="009D6C59"/>
    <w:rsid w:val="009E006A"/>
    <w:rsid w:val="009F067B"/>
    <w:rsid w:val="00A22C49"/>
    <w:rsid w:val="00A25D51"/>
    <w:rsid w:val="00A26512"/>
    <w:rsid w:val="00A27CB8"/>
    <w:rsid w:val="00A37B1C"/>
    <w:rsid w:val="00A5211E"/>
    <w:rsid w:val="00AA0793"/>
    <w:rsid w:val="00AA7499"/>
    <w:rsid w:val="00AC44BE"/>
    <w:rsid w:val="00AC529F"/>
    <w:rsid w:val="00AC6066"/>
    <w:rsid w:val="00AD0229"/>
    <w:rsid w:val="00B57BF7"/>
    <w:rsid w:val="00B66C22"/>
    <w:rsid w:val="00B82AA0"/>
    <w:rsid w:val="00BA1FD7"/>
    <w:rsid w:val="00BD0BFB"/>
    <w:rsid w:val="00BD411A"/>
    <w:rsid w:val="00BF3810"/>
    <w:rsid w:val="00C072DE"/>
    <w:rsid w:val="00C2183D"/>
    <w:rsid w:val="00C24FAC"/>
    <w:rsid w:val="00C52424"/>
    <w:rsid w:val="00C52D0B"/>
    <w:rsid w:val="00C642D5"/>
    <w:rsid w:val="00C938BB"/>
    <w:rsid w:val="00CB5B81"/>
    <w:rsid w:val="00CD563A"/>
    <w:rsid w:val="00D533F7"/>
    <w:rsid w:val="00D54936"/>
    <w:rsid w:val="00D55084"/>
    <w:rsid w:val="00D5692E"/>
    <w:rsid w:val="00D67989"/>
    <w:rsid w:val="00D73215"/>
    <w:rsid w:val="00D76B63"/>
    <w:rsid w:val="00DA704B"/>
    <w:rsid w:val="00DC19D6"/>
    <w:rsid w:val="00DD1E45"/>
    <w:rsid w:val="00DE4984"/>
    <w:rsid w:val="00E16190"/>
    <w:rsid w:val="00E2784E"/>
    <w:rsid w:val="00E33D93"/>
    <w:rsid w:val="00E41A2F"/>
    <w:rsid w:val="00E44476"/>
    <w:rsid w:val="00E51D3D"/>
    <w:rsid w:val="00E65CB1"/>
    <w:rsid w:val="00E6652B"/>
    <w:rsid w:val="00E666CE"/>
    <w:rsid w:val="00E749D6"/>
    <w:rsid w:val="00E80D62"/>
    <w:rsid w:val="00E9706D"/>
    <w:rsid w:val="00EB6DF5"/>
    <w:rsid w:val="00EC02E0"/>
    <w:rsid w:val="00EC08A4"/>
    <w:rsid w:val="00EC15BB"/>
    <w:rsid w:val="00ED1122"/>
    <w:rsid w:val="00EF3044"/>
    <w:rsid w:val="00F30927"/>
    <w:rsid w:val="00F5159A"/>
    <w:rsid w:val="00F87F4E"/>
    <w:rsid w:val="00FA4BF0"/>
    <w:rsid w:val="00FB257B"/>
    <w:rsid w:val="00F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4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2D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42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0CC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Default"/>
    <w:next w:val="Default"/>
    <w:uiPriority w:val="99"/>
    <w:rsid w:val="00C2183D"/>
    <w:rPr>
      <w:rFonts w:ascii="Cambria" w:hAnsi="Cambria" w:cstheme="minorBidi"/>
      <w:color w:val="auto"/>
    </w:rPr>
  </w:style>
  <w:style w:type="paragraph" w:styleId="a5">
    <w:name w:val="List Paragraph"/>
    <w:basedOn w:val="a"/>
    <w:uiPriority w:val="34"/>
    <w:qFormat/>
    <w:rsid w:val="003F283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25D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4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2D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42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0CC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Default"/>
    <w:next w:val="Default"/>
    <w:uiPriority w:val="99"/>
    <w:rsid w:val="00C2183D"/>
    <w:rPr>
      <w:rFonts w:ascii="Cambria" w:hAnsi="Cambria" w:cstheme="minorBidi"/>
      <w:color w:val="auto"/>
    </w:rPr>
  </w:style>
  <w:style w:type="paragraph" w:styleId="a5">
    <w:name w:val="List Paragraph"/>
    <w:basedOn w:val="a"/>
    <w:uiPriority w:val="34"/>
    <w:qFormat/>
    <w:rsid w:val="003F283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25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D84E-3EC5-4865-964A-4536C22D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5017</Words>
  <Characters>2861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Володимир</cp:lastModifiedBy>
  <cp:revision>133</cp:revision>
  <dcterms:created xsi:type="dcterms:W3CDTF">2019-04-08T20:37:00Z</dcterms:created>
  <dcterms:modified xsi:type="dcterms:W3CDTF">2019-04-10T12:34:00Z</dcterms:modified>
</cp:coreProperties>
</file>