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24C1" w14:textId="77777777" w:rsidR="000A5AAD" w:rsidRPr="000A5AAD" w:rsidRDefault="000A5AAD" w:rsidP="000A5AAD">
      <w:pPr>
        <w:spacing w:after="0" w:line="240" w:lineRule="auto"/>
        <w:jc w:val="center"/>
        <w:rPr>
          <w:rFonts w:ascii="Times New Roman" w:eastAsia="Times New Roman" w:hAnsi="Times New Roman" w:cs="Times New Roman"/>
          <w:b/>
          <w:bCs/>
          <w:caps/>
          <w:sz w:val="28"/>
          <w:szCs w:val="28"/>
          <w:lang w:val="uk-UA" w:eastAsia="ru-RU"/>
        </w:rPr>
      </w:pPr>
      <w:r w:rsidRPr="000A5AAD">
        <w:rPr>
          <w:rFonts w:ascii="Times New Roman" w:eastAsia="Times New Roman" w:hAnsi="Times New Roman" w:cs="Times New Roman"/>
          <w:b/>
          <w:bCs/>
          <w:noProof/>
          <w:sz w:val="28"/>
          <w:szCs w:val="28"/>
          <w:lang w:val="uk-UA" w:eastAsia="uk-UA"/>
        </w:rPr>
        <mc:AlternateContent>
          <mc:Choice Requires="wps">
            <w:drawing>
              <wp:anchor distT="0" distB="0" distL="114300" distR="114300" simplePos="0" relativeHeight="251659264" behindDoc="0" locked="0" layoutInCell="1" allowOverlap="1" wp14:anchorId="71AC0E0E" wp14:editId="70A42BA7">
                <wp:simplePos x="0" y="0"/>
                <wp:positionH relativeFrom="column">
                  <wp:posOffset>6090920</wp:posOffset>
                </wp:positionH>
                <wp:positionV relativeFrom="paragraph">
                  <wp:posOffset>-337185</wp:posOffset>
                </wp:positionV>
                <wp:extent cx="381000" cy="247650"/>
                <wp:effectExtent l="9525" t="11430" r="9525" b="7620"/>
                <wp:wrapNone/>
                <wp:docPr id="16"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47650"/>
                        </a:xfrm>
                        <a:prstGeom prst="rect">
                          <a:avLst/>
                        </a:prstGeom>
                        <a:solidFill>
                          <a:srgbClr val="FFFFFF"/>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14E51" id="Rectangle 132" o:spid="_x0000_s1026" style="position:absolute;margin-left:479.6pt;margin-top:-26.55pt;width:30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" strokecolor="white"/>
            </w:pict>
          </mc:Fallback>
        </mc:AlternateContent>
      </w:r>
      <w:r w:rsidRPr="000A5AAD">
        <w:rPr>
          <w:rFonts w:ascii="Times New Roman" w:eastAsia="Times New Roman" w:hAnsi="Times New Roman" w:cs="Times New Roman"/>
          <w:b/>
          <w:bCs/>
          <w:caps/>
          <w:sz w:val="28"/>
          <w:szCs w:val="28"/>
          <w:lang w:val="uk-UA" w:eastAsia="ru-RU"/>
        </w:rPr>
        <w:t>Міністерство освіти і науки України</w:t>
      </w:r>
    </w:p>
    <w:p w14:paraId="6E95C4F8" w14:textId="77777777" w:rsidR="000A5AAD" w:rsidRPr="000A5AAD" w:rsidRDefault="000A5AAD" w:rsidP="000A5AAD">
      <w:pPr>
        <w:spacing w:after="0" w:line="240" w:lineRule="auto"/>
        <w:jc w:val="center"/>
        <w:rPr>
          <w:rFonts w:ascii="Times New Roman" w:eastAsia="Times New Roman" w:hAnsi="Times New Roman" w:cs="Times New Roman"/>
          <w:b/>
          <w:bCs/>
          <w:caps/>
          <w:sz w:val="28"/>
          <w:szCs w:val="28"/>
          <w:lang w:val="uk-UA" w:eastAsia="ru-RU"/>
        </w:rPr>
      </w:pPr>
      <w:r w:rsidRPr="000A5AAD">
        <w:rPr>
          <w:rFonts w:ascii="Times New Roman" w:eastAsia="Times New Roman" w:hAnsi="Times New Roman" w:cs="Times New Roman"/>
          <w:b/>
          <w:bCs/>
          <w:caps/>
          <w:sz w:val="28"/>
          <w:szCs w:val="28"/>
          <w:lang w:val="uk-UA" w:eastAsia="ru-RU"/>
        </w:rPr>
        <w:t>Західноукраїнський національний університет</w:t>
      </w:r>
    </w:p>
    <w:p w14:paraId="02B25B87" w14:textId="77777777" w:rsidR="000A5AAD" w:rsidRPr="000A5AAD" w:rsidRDefault="000A5AAD" w:rsidP="000A5AAD">
      <w:pPr>
        <w:spacing w:after="0" w:line="240" w:lineRule="auto"/>
        <w:jc w:val="center"/>
        <w:rPr>
          <w:rFonts w:ascii="Times New Roman" w:eastAsia="Times New Roman" w:hAnsi="Times New Roman" w:cs="Times New Roman"/>
          <w:b/>
          <w:bCs/>
          <w:caps/>
          <w:sz w:val="28"/>
          <w:szCs w:val="28"/>
          <w:lang w:val="uk-UA" w:eastAsia="ru-RU"/>
        </w:rPr>
      </w:pPr>
      <w:r w:rsidRPr="000A5AAD">
        <w:rPr>
          <w:rFonts w:ascii="Times New Roman" w:eastAsia="Times New Roman" w:hAnsi="Times New Roman" w:cs="Times New Roman"/>
          <w:b/>
          <w:bCs/>
          <w:caps/>
          <w:sz w:val="28"/>
          <w:szCs w:val="28"/>
          <w:lang w:val="uk-UA" w:eastAsia="ru-RU"/>
        </w:rPr>
        <w:t>Факультет фінансів та обліку</w:t>
      </w:r>
    </w:p>
    <w:p w14:paraId="0F6E0038" w14:textId="77777777" w:rsidR="000A5AAD" w:rsidRPr="000A5AAD" w:rsidRDefault="000A5AAD" w:rsidP="000A5AAD">
      <w:pPr>
        <w:spacing w:after="0" w:line="240" w:lineRule="auto"/>
        <w:jc w:val="center"/>
        <w:rPr>
          <w:rFonts w:ascii="Times New Roman" w:eastAsia="Times New Roman" w:hAnsi="Times New Roman" w:cs="Times New Roman"/>
          <w:b/>
          <w:bCs/>
          <w:sz w:val="28"/>
          <w:szCs w:val="28"/>
          <w:lang w:val="uk-UA" w:eastAsia="ru-RU"/>
        </w:rPr>
      </w:pPr>
      <w:r w:rsidRPr="000A5AAD">
        <w:rPr>
          <w:rFonts w:ascii="Times New Roman" w:eastAsia="Times New Roman" w:hAnsi="Times New Roman" w:cs="Times New Roman"/>
          <w:b/>
          <w:bCs/>
          <w:sz w:val="28"/>
          <w:szCs w:val="28"/>
          <w:lang w:val="uk-UA" w:eastAsia="ru-RU"/>
        </w:rPr>
        <w:t>Кафедра фінансів ім. С.І. Юрія</w:t>
      </w:r>
    </w:p>
    <w:p w14:paraId="0A0B2457" w14:textId="77777777" w:rsidR="000A5AAD" w:rsidRPr="000A5AAD" w:rsidRDefault="000A5AAD" w:rsidP="000A5AAD">
      <w:pPr>
        <w:spacing w:after="0" w:line="240" w:lineRule="auto"/>
        <w:jc w:val="center"/>
        <w:rPr>
          <w:rFonts w:ascii="Times New Roman" w:eastAsia="Times New Roman" w:hAnsi="Times New Roman" w:cs="Times New Roman"/>
          <w:b/>
          <w:bCs/>
          <w:sz w:val="28"/>
          <w:szCs w:val="28"/>
          <w:lang w:val="uk-UA" w:eastAsia="ru-RU"/>
        </w:rPr>
      </w:pPr>
    </w:p>
    <w:p w14:paraId="687DC65D" w14:textId="77777777" w:rsidR="000A5AAD" w:rsidRPr="000A5AAD" w:rsidRDefault="000A5AAD" w:rsidP="000A5AAD">
      <w:pPr>
        <w:spacing w:after="0" w:line="240" w:lineRule="auto"/>
        <w:jc w:val="center"/>
        <w:rPr>
          <w:rFonts w:ascii="Times New Roman" w:eastAsia="Times New Roman" w:hAnsi="Times New Roman" w:cs="Times New Roman"/>
          <w:b/>
          <w:bCs/>
          <w:sz w:val="28"/>
          <w:szCs w:val="28"/>
          <w:lang w:val="uk-UA" w:eastAsia="ru-RU"/>
        </w:rPr>
      </w:pPr>
    </w:p>
    <w:p w14:paraId="3C2FD6CB" w14:textId="77777777" w:rsidR="000A5AAD" w:rsidRPr="000A5AAD" w:rsidRDefault="000A5AAD" w:rsidP="000A5AAD">
      <w:pPr>
        <w:spacing w:after="0" w:line="240" w:lineRule="auto"/>
        <w:jc w:val="center"/>
        <w:rPr>
          <w:rFonts w:ascii="Times New Roman" w:eastAsia="Times New Roman" w:hAnsi="Times New Roman" w:cs="Times New Roman"/>
          <w:b/>
          <w:bCs/>
          <w:sz w:val="28"/>
          <w:szCs w:val="28"/>
          <w:lang w:val="uk-UA" w:eastAsia="ru-RU"/>
        </w:rPr>
      </w:pPr>
    </w:p>
    <w:p w14:paraId="12501100" w14:textId="77777777" w:rsidR="000A5AAD" w:rsidRPr="000A5AAD" w:rsidRDefault="000A5AAD" w:rsidP="000A5AAD">
      <w:pPr>
        <w:spacing w:after="0" w:line="240" w:lineRule="auto"/>
        <w:jc w:val="center"/>
        <w:rPr>
          <w:rFonts w:ascii="Times New Roman" w:eastAsia="Times New Roman" w:hAnsi="Times New Roman" w:cs="Times New Roman"/>
          <w:b/>
          <w:bCs/>
          <w:sz w:val="28"/>
          <w:szCs w:val="28"/>
          <w:lang w:val="uk-UA" w:eastAsia="ru-RU"/>
        </w:rPr>
      </w:pPr>
    </w:p>
    <w:p w14:paraId="50946FFF" w14:textId="77777777" w:rsidR="000A5AAD" w:rsidRPr="00F761C5" w:rsidRDefault="000A5AAD" w:rsidP="000A5A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40"/>
          <w:szCs w:val="40"/>
          <w:lang w:val="uk-UA" w:eastAsia="ru-RU"/>
        </w:rPr>
      </w:pPr>
      <w:r w:rsidRPr="00F761C5">
        <w:rPr>
          <w:rFonts w:ascii="Times New Roman" w:eastAsia="Times New Roman" w:hAnsi="Times New Roman" w:cs="Times New Roman"/>
          <w:b/>
          <w:bCs/>
          <w:color w:val="000000"/>
          <w:sz w:val="40"/>
          <w:szCs w:val="40"/>
          <w:lang w:val="uk-UA" w:eastAsia="ru-RU"/>
        </w:rPr>
        <w:t>Шевчук Сергій Петрович</w:t>
      </w:r>
    </w:p>
    <w:p w14:paraId="7F732613" w14:textId="77777777" w:rsidR="000A5AAD" w:rsidRPr="000A5AAD" w:rsidRDefault="000A5AAD" w:rsidP="000A5AAD">
      <w:pPr>
        <w:spacing w:after="0" w:line="240" w:lineRule="auto"/>
        <w:jc w:val="center"/>
        <w:rPr>
          <w:rFonts w:ascii="Times New Roman" w:eastAsia="Times New Roman" w:hAnsi="Times New Roman" w:cs="Times New Roman"/>
          <w:b/>
          <w:bCs/>
          <w:sz w:val="28"/>
          <w:szCs w:val="28"/>
          <w:lang w:val="uk-UA" w:eastAsia="ru-RU"/>
        </w:rPr>
      </w:pPr>
    </w:p>
    <w:p w14:paraId="7F8891D2" w14:textId="77777777" w:rsidR="000A5AAD" w:rsidRPr="000A5AAD" w:rsidRDefault="000A5AAD" w:rsidP="000A5AAD">
      <w:pPr>
        <w:spacing w:after="0" w:line="240" w:lineRule="auto"/>
        <w:jc w:val="center"/>
        <w:rPr>
          <w:rFonts w:ascii="Times New Roman" w:eastAsia="Times New Roman" w:hAnsi="Times New Roman" w:cs="Times New Roman"/>
          <w:b/>
          <w:bCs/>
          <w:sz w:val="28"/>
          <w:szCs w:val="28"/>
          <w:lang w:val="uk-UA" w:eastAsia="ru-RU"/>
        </w:rPr>
      </w:pPr>
    </w:p>
    <w:p w14:paraId="354F2D49" w14:textId="77777777" w:rsidR="000A5AAD" w:rsidRPr="000A5AAD" w:rsidRDefault="000A5AAD" w:rsidP="000A5AAD">
      <w:pPr>
        <w:spacing w:after="0" w:line="240" w:lineRule="auto"/>
        <w:jc w:val="center"/>
        <w:rPr>
          <w:rFonts w:ascii="Times New Roman" w:eastAsia="Times New Roman" w:hAnsi="Times New Roman" w:cs="Times New Roman"/>
          <w:b/>
          <w:bCs/>
          <w:sz w:val="28"/>
          <w:szCs w:val="28"/>
          <w:lang w:val="uk-UA" w:eastAsia="ru-RU"/>
        </w:rPr>
      </w:pPr>
    </w:p>
    <w:p w14:paraId="721951A5" w14:textId="77777777" w:rsidR="000A5AAD" w:rsidRPr="00F761C5" w:rsidRDefault="000A5AAD" w:rsidP="000A5A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40"/>
          <w:szCs w:val="40"/>
          <w:lang w:val="uk-UA" w:eastAsia="ru-RU"/>
        </w:rPr>
      </w:pPr>
      <w:r w:rsidRPr="00F761C5">
        <w:rPr>
          <w:rFonts w:ascii="Times New Roman" w:eastAsia="Times New Roman" w:hAnsi="Times New Roman" w:cs="Times New Roman"/>
          <w:b/>
          <w:bCs/>
          <w:color w:val="000000"/>
          <w:sz w:val="40"/>
          <w:szCs w:val="40"/>
          <w:lang w:val="uk-UA" w:eastAsia="ru-RU"/>
        </w:rPr>
        <w:t>Вдосконалення планування та виконання місцевих бюджетів</w:t>
      </w:r>
    </w:p>
    <w:p w14:paraId="5B46E74D" w14:textId="77777777" w:rsidR="000A5AAD" w:rsidRPr="000A5AAD" w:rsidRDefault="000A5AAD" w:rsidP="000A5AAD">
      <w:pPr>
        <w:spacing w:after="0" w:line="240" w:lineRule="auto"/>
        <w:jc w:val="center"/>
        <w:rPr>
          <w:rFonts w:ascii="Times New Roman" w:eastAsia="Times New Roman" w:hAnsi="Times New Roman" w:cs="Times New Roman"/>
          <w:b/>
          <w:bCs/>
          <w:sz w:val="28"/>
          <w:szCs w:val="28"/>
          <w:lang w:val="uk-UA" w:eastAsia="ru-RU"/>
        </w:rPr>
      </w:pPr>
    </w:p>
    <w:p w14:paraId="4A24660A" w14:textId="77777777" w:rsidR="000A5AAD" w:rsidRPr="000A5AAD" w:rsidRDefault="000A5AAD" w:rsidP="000A5AAD">
      <w:pPr>
        <w:spacing w:after="0" w:line="240" w:lineRule="auto"/>
        <w:jc w:val="center"/>
        <w:rPr>
          <w:rFonts w:ascii="Times New Roman" w:eastAsia="Times New Roman" w:hAnsi="Times New Roman" w:cs="Times New Roman"/>
          <w:bCs/>
          <w:sz w:val="28"/>
          <w:szCs w:val="28"/>
          <w:lang w:val="uk-UA" w:eastAsia="ru-RU"/>
        </w:rPr>
      </w:pPr>
      <w:r w:rsidRPr="000A5AAD">
        <w:rPr>
          <w:rFonts w:ascii="Times New Roman" w:eastAsia="Times New Roman" w:hAnsi="Times New Roman" w:cs="Times New Roman"/>
          <w:bCs/>
          <w:sz w:val="28"/>
          <w:szCs w:val="28"/>
          <w:lang w:val="uk-UA" w:eastAsia="ru-RU"/>
        </w:rPr>
        <w:t>Спеціальність</w:t>
      </w:r>
      <w:r w:rsidRPr="000A5AAD">
        <w:rPr>
          <w:rFonts w:ascii="Times New Roman" w:eastAsia="Times New Roman" w:hAnsi="Times New Roman" w:cs="Times New Roman"/>
          <w:bCs/>
          <w:sz w:val="28"/>
          <w:szCs w:val="28"/>
          <w:lang w:eastAsia="ru-RU"/>
        </w:rPr>
        <w:t xml:space="preserve"> </w:t>
      </w:r>
      <w:r w:rsidRPr="000A5AAD">
        <w:rPr>
          <w:rFonts w:ascii="Times New Roman" w:eastAsia="Times New Roman" w:hAnsi="Times New Roman" w:cs="Times New Roman"/>
          <w:bCs/>
          <w:sz w:val="28"/>
          <w:szCs w:val="28"/>
          <w:lang w:val="uk-UA" w:eastAsia="ru-RU"/>
        </w:rPr>
        <w:t>072</w:t>
      </w:r>
      <w:r w:rsidRPr="000A5AAD">
        <w:rPr>
          <w:rFonts w:ascii="Times New Roman" w:eastAsia="Times New Roman" w:hAnsi="Times New Roman" w:cs="Times New Roman"/>
          <w:color w:val="000000"/>
          <w:sz w:val="28"/>
          <w:szCs w:val="28"/>
          <w:shd w:val="clear" w:color="auto" w:fill="FFFFFF"/>
          <w:lang w:val="uk-UA" w:eastAsia="ru-RU"/>
        </w:rPr>
        <w:t xml:space="preserve"> </w:t>
      </w:r>
      <w:r w:rsidRPr="000A5AAD">
        <w:rPr>
          <w:rFonts w:ascii="Times New Roman" w:eastAsia="Times New Roman" w:hAnsi="Times New Roman" w:cs="Times New Roman"/>
          <w:bCs/>
          <w:sz w:val="28"/>
          <w:szCs w:val="28"/>
          <w:lang w:val="uk-UA" w:eastAsia="ru-RU"/>
        </w:rPr>
        <w:t>– Фінанси, банківська справа та страхування</w:t>
      </w:r>
    </w:p>
    <w:p w14:paraId="716B6B24" w14:textId="77777777" w:rsidR="000A5AAD" w:rsidRPr="000A5AAD" w:rsidRDefault="000A5AAD" w:rsidP="000A5AAD">
      <w:pPr>
        <w:spacing w:after="0" w:line="240" w:lineRule="auto"/>
        <w:jc w:val="center"/>
        <w:rPr>
          <w:rFonts w:ascii="Times New Roman" w:eastAsia="Times New Roman" w:hAnsi="Times New Roman" w:cs="Times New Roman"/>
          <w:bCs/>
          <w:sz w:val="28"/>
          <w:szCs w:val="28"/>
          <w:lang w:val="uk-UA" w:eastAsia="ru-RU"/>
        </w:rPr>
      </w:pPr>
      <w:r w:rsidRPr="000A5AAD">
        <w:rPr>
          <w:rFonts w:ascii="Times New Roman" w:eastAsia="Times New Roman" w:hAnsi="Times New Roman" w:cs="Times New Roman"/>
          <w:bCs/>
          <w:sz w:val="28"/>
          <w:szCs w:val="28"/>
          <w:lang w:val="uk-UA" w:eastAsia="ru-RU"/>
        </w:rPr>
        <w:t>Освітньо-професійна програма – Фінанси</w:t>
      </w:r>
    </w:p>
    <w:p w14:paraId="40FA384B" w14:textId="77777777" w:rsidR="000A5AAD" w:rsidRPr="000A5AAD" w:rsidRDefault="000A5AAD" w:rsidP="000A5AAD">
      <w:pPr>
        <w:spacing w:after="0" w:line="240" w:lineRule="auto"/>
        <w:jc w:val="center"/>
        <w:rPr>
          <w:rFonts w:ascii="Times New Roman" w:eastAsia="Times New Roman" w:hAnsi="Times New Roman" w:cs="Times New Roman"/>
          <w:bCs/>
          <w:sz w:val="28"/>
          <w:szCs w:val="28"/>
          <w:lang w:val="uk-UA" w:eastAsia="ru-RU"/>
        </w:rPr>
      </w:pPr>
    </w:p>
    <w:p w14:paraId="5A4E6498" w14:textId="77777777" w:rsidR="000A5AAD" w:rsidRPr="000A5AAD" w:rsidRDefault="000A5AAD" w:rsidP="000A5AAD">
      <w:pPr>
        <w:spacing w:after="0" w:line="240" w:lineRule="auto"/>
        <w:jc w:val="center"/>
        <w:rPr>
          <w:rFonts w:ascii="Times New Roman" w:eastAsia="Times New Roman" w:hAnsi="Times New Roman" w:cs="Times New Roman"/>
          <w:b/>
          <w:bCs/>
          <w:sz w:val="28"/>
          <w:szCs w:val="28"/>
          <w:lang w:val="uk-UA" w:eastAsia="ru-RU"/>
        </w:rPr>
      </w:pPr>
      <w:r w:rsidRPr="000A5AAD">
        <w:rPr>
          <w:rFonts w:ascii="Times New Roman" w:eastAsia="Times New Roman" w:hAnsi="Times New Roman" w:cs="Times New Roman"/>
          <w:bCs/>
          <w:sz w:val="28"/>
          <w:szCs w:val="28"/>
          <w:lang w:val="uk-UA" w:eastAsia="ru-RU"/>
        </w:rPr>
        <w:t>Кваліфікаційна робота</w:t>
      </w:r>
    </w:p>
    <w:p w14:paraId="0C7602C6" w14:textId="77777777" w:rsidR="000A5AAD" w:rsidRPr="000A5AAD" w:rsidRDefault="000A5AAD" w:rsidP="000A5AAD">
      <w:pPr>
        <w:spacing w:after="0" w:line="240" w:lineRule="auto"/>
        <w:jc w:val="center"/>
        <w:rPr>
          <w:rFonts w:ascii="Times New Roman" w:eastAsia="Times New Roman" w:hAnsi="Times New Roman" w:cs="Times New Roman"/>
          <w:b/>
          <w:sz w:val="28"/>
          <w:szCs w:val="28"/>
          <w:lang w:val="uk-UA" w:eastAsia="ru-RU"/>
        </w:rPr>
      </w:pPr>
    </w:p>
    <w:p w14:paraId="26551A75" w14:textId="77777777" w:rsidR="000A5AAD" w:rsidRPr="000A5AAD" w:rsidRDefault="000A5AAD" w:rsidP="000A5AAD">
      <w:pPr>
        <w:spacing w:after="0" w:line="240" w:lineRule="auto"/>
        <w:jc w:val="center"/>
        <w:rPr>
          <w:rFonts w:ascii="Times New Roman" w:eastAsia="Times New Roman" w:hAnsi="Times New Roman" w:cs="Times New Roman"/>
          <w:b/>
          <w:sz w:val="28"/>
          <w:szCs w:val="28"/>
          <w:lang w:val="uk-UA" w:eastAsia="ru-RU"/>
        </w:rPr>
      </w:pPr>
    </w:p>
    <w:p w14:paraId="29E4BAA5" w14:textId="77777777" w:rsidR="000A5AAD" w:rsidRPr="000A5AAD" w:rsidRDefault="000A5AAD" w:rsidP="000A5AAD">
      <w:pPr>
        <w:spacing w:after="0" w:line="240" w:lineRule="auto"/>
        <w:jc w:val="center"/>
        <w:rPr>
          <w:rFonts w:ascii="Times New Roman" w:eastAsia="Times New Roman" w:hAnsi="Times New Roman" w:cs="Times New Roman"/>
          <w:b/>
          <w:sz w:val="28"/>
          <w:szCs w:val="28"/>
          <w:lang w:val="uk-UA" w:eastAsia="ru-RU"/>
        </w:rPr>
      </w:pPr>
    </w:p>
    <w:p w14:paraId="46D91200" w14:textId="77777777" w:rsidR="000A5AAD" w:rsidRPr="000A5AAD" w:rsidRDefault="000A5AAD" w:rsidP="000A5AAD">
      <w:pPr>
        <w:spacing w:after="0" w:line="240" w:lineRule="auto"/>
        <w:jc w:val="right"/>
        <w:rPr>
          <w:rFonts w:ascii="Times New Roman" w:eastAsia="Times New Roman" w:hAnsi="Times New Roman" w:cs="Times New Roman"/>
          <w:sz w:val="28"/>
          <w:szCs w:val="28"/>
          <w:lang w:val="uk-UA" w:eastAsia="ru-RU"/>
        </w:rPr>
      </w:pPr>
      <w:r w:rsidRPr="000A5AAD">
        <w:rPr>
          <w:rFonts w:ascii="Times New Roman" w:eastAsia="Times New Roman" w:hAnsi="Times New Roman" w:cs="Times New Roman"/>
          <w:sz w:val="28"/>
          <w:szCs w:val="28"/>
          <w:lang w:val="uk-UA" w:eastAsia="ru-RU"/>
        </w:rPr>
        <w:t>Виконав</w:t>
      </w:r>
    </w:p>
    <w:p w14:paraId="10945D79" w14:textId="31B15C3E" w:rsidR="000A5AAD" w:rsidRPr="000A5AAD" w:rsidRDefault="000A5AAD" w:rsidP="000A5AAD">
      <w:pPr>
        <w:spacing w:after="0" w:line="240" w:lineRule="auto"/>
        <w:jc w:val="right"/>
        <w:rPr>
          <w:rFonts w:ascii="Times New Roman" w:eastAsia="Times New Roman" w:hAnsi="Times New Roman" w:cs="Times New Roman"/>
          <w:sz w:val="28"/>
          <w:szCs w:val="28"/>
          <w:lang w:val="uk-UA" w:eastAsia="ru-RU"/>
        </w:rPr>
      </w:pPr>
      <w:r w:rsidRPr="000A5AAD">
        <w:rPr>
          <w:rFonts w:ascii="Times New Roman" w:eastAsia="Times New Roman" w:hAnsi="Times New Roman" w:cs="Times New Roman"/>
          <w:sz w:val="28"/>
          <w:szCs w:val="28"/>
          <w:lang w:val="uk-UA" w:eastAsia="ru-RU"/>
        </w:rPr>
        <w:t>с</w:t>
      </w:r>
      <w:r w:rsidR="00AE5269">
        <w:rPr>
          <w:rFonts w:ascii="Times New Roman" w:eastAsia="Times New Roman" w:hAnsi="Times New Roman" w:cs="Times New Roman"/>
          <w:sz w:val="28"/>
          <w:szCs w:val="28"/>
          <w:lang w:val="uk-UA" w:eastAsia="ru-RU"/>
        </w:rPr>
        <w:t>т</w:t>
      </w:r>
      <w:r w:rsidRPr="000A5AAD">
        <w:rPr>
          <w:rFonts w:ascii="Times New Roman" w:eastAsia="Times New Roman" w:hAnsi="Times New Roman" w:cs="Times New Roman"/>
          <w:sz w:val="28"/>
          <w:szCs w:val="28"/>
          <w:lang w:val="uk-UA" w:eastAsia="ru-RU"/>
        </w:rPr>
        <w:t>удент групи ФФм-21</w:t>
      </w:r>
    </w:p>
    <w:p w14:paraId="26D2ABC6" w14:textId="61DE6C09" w:rsidR="000A5AAD" w:rsidRPr="000A5AAD" w:rsidRDefault="000A5AAD" w:rsidP="000A5AAD">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 П. Шевчук</w:t>
      </w:r>
    </w:p>
    <w:p w14:paraId="7B1482F9" w14:textId="77777777" w:rsidR="000A5AAD" w:rsidRPr="000A5AAD" w:rsidRDefault="000A5AAD" w:rsidP="000A5AAD">
      <w:pPr>
        <w:spacing w:after="0" w:line="240" w:lineRule="auto"/>
        <w:jc w:val="right"/>
        <w:rPr>
          <w:rFonts w:ascii="Times New Roman" w:eastAsia="Times New Roman" w:hAnsi="Times New Roman" w:cs="Times New Roman"/>
          <w:sz w:val="28"/>
          <w:szCs w:val="28"/>
          <w:lang w:val="uk-UA" w:eastAsia="ru-RU"/>
        </w:rPr>
      </w:pPr>
      <w:r w:rsidRPr="000A5AAD">
        <w:rPr>
          <w:rFonts w:ascii="Times New Roman" w:eastAsia="Times New Roman" w:hAnsi="Times New Roman" w:cs="Times New Roman"/>
          <w:sz w:val="28"/>
          <w:szCs w:val="28"/>
          <w:lang w:val="uk-UA" w:eastAsia="ru-RU"/>
        </w:rPr>
        <w:t>_____________________</w:t>
      </w:r>
    </w:p>
    <w:p w14:paraId="5CF18590" w14:textId="77777777" w:rsidR="000A5AAD" w:rsidRPr="000A5AAD" w:rsidRDefault="000A5AAD" w:rsidP="000A5AAD">
      <w:pPr>
        <w:spacing w:after="0" w:line="240" w:lineRule="auto"/>
        <w:jc w:val="right"/>
        <w:rPr>
          <w:rFonts w:ascii="Times New Roman" w:eastAsia="Times New Roman" w:hAnsi="Times New Roman" w:cs="Times New Roman"/>
          <w:sz w:val="28"/>
          <w:szCs w:val="28"/>
          <w:lang w:val="uk-UA" w:eastAsia="ru-RU"/>
        </w:rPr>
      </w:pPr>
      <w:r w:rsidRPr="000A5AAD">
        <w:rPr>
          <w:rFonts w:ascii="Times New Roman" w:eastAsia="Times New Roman" w:hAnsi="Times New Roman" w:cs="Times New Roman"/>
          <w:sz w:val="28"/>
          <w:szCs w:val="28"/>
          <w:lang w:val="uk-UA" w:eastAsia="ru-RU"/>
        </w:rPr>
        <w:t>Науковий керівник:</w:t>
      </w:r>
    </w:p>
    <w:p w14:paraId="389DCFF0" w14:textId="56DD945C" w:rsidR="000A5AAD" w:rsidRPr="000A5AAD" w:rsidRDefault="000A5AAD" w:rsidP="000A5AAD">
      <w:pPr>
        <w:spacing w:after="0" w:line="240" w:lineRule="auto"/>
        <w:jc w:val="right"/>
        <w:rPr>
          <w:rFonts w:ascii="Times New Roman" w:eastAsia="Times New Roman" w:hAnsi="Times New Roman" w:cs="Times New Roman"/>
          <w:sz w:val="28"/>
          <w:szCs w:val="28"/>
          <w:lang w:val="uk-UA" w:eastAsia="ru-RU"/>
        </w:rPr>
      </w:pPr>
      <w:r w:rsidRPr="000A5AAD">
        <w:rPr>
          <w:rFonts w:ascii="Times New Roman" w:eastAsia="Times New Roman" w:hAnsi="Times New Roman" w:cs="Times New Roman"/>
          <w:sz w:val="28"/>
          <w:szCs w:val="28"/>
          <w:lang w:val="uk-UA" w:eastAsia="ru-RU"/>
        </w:rPr>
        <w:t xml:space="preserve">д.е.н., </w:t>
      </w:r>
      <w:r>
        <w:rPr>
          <w:rFonts w:ascii="Times New Roman" w:eastAsia="Times New Roman" w:hAnsi="Times New Roman" w:cs="Times New Roman"/>
          <w:sz w:val="28"/>
          <w:szCs w:val="28"/>
          <w:lang w:val="uk-UA" w:eastAsia="ru-RU"/>
        </w:rPr>
        <w:t>проф. О. П. Кириленко</w:t>
      </w:r>
    </w:p>
    <w:p w14:paraId="193EEFE0" w14:textId="77777777" w:rsidR="000A5AAD" w:rsidRPr="000A5AAD" w:rsidRDefault="000A5AAD" w:rsidP="000A5AAD">
      <w:pPr>
        <w:spacing w:after="0" w:line="240" w:lineRule="auto"/>
        <w:jc w:val="right"/>
        <w:rPr>
          <w:rFonts w:ascii="Times New Roman" w:eastAsia="Times New Roman" w:hAnsi="Times New Roman" w:cs="Times New Roman"/>
          <w:sz w:val="28"/>
          <w:szCs w:val="28"/>
          <w:lang w:val="uk-UA" w:eastAsia="ru-RU"/>
        </w:rPr>
      </w:pPr>
      <w:r w:rsidRPr="000A5AAD">
        <w:rPr>
          <w:rFonts w:ascii="Times New Roman" w:eastAsia="Times New Roman" w:hAnsi="Times New Roman" w:cs="Times New Roman"/>
          <w:sz w:val="28"/>
          <w:szCs w:val="28"/>
          <w:lang w:val="uk-UA" w:eastAsia="ru-RU"/>
        </w:rPr>
        <w:t>___________________________</w:t>
      </w:r>
    </w:p>
    <w:p w14:paraId="1E851501" w14:textId="77777777" w:rsidR="000A5AAD" w:rsidRPr="000A5AAD" w:rsidRDefault="000A5AAD" w:rsidP="000A5AAD">
      <w:pPr>
        <w:spacing w:after="0" w:line="240" w:lineRule="auto"/>
        <w:jc w:val="center"/>
        <w:rPr>
          <w:rFonts w:ascii="Times New Roman" w:eastAsia="Times New Roman" w:hAnsi="Times New Roman" w:cs="Times New Roman"/>
          <w:b/>
          <w:sz w:val="28"/>
          <w:szCs w:val="28"/>
          <w:lang w:val="uk-UA" w:eastAsia="ru-RU"/>
        </w:rPr>
      </w:pPr>
    </w:p>
    <w:p w14:paraId="72839CC7" w14:textId="77777777" w:rsidR="000A5AAD" w:rsidRPr="000A5AAD" w:rsidRDefault="000A5AAD" w:rsidP="000A5AAD">
      <w:pPr>
        <w:spacing w:after="0" w:line="240" w:lineRule="auto"/>
        <w:rPr>
          <w:rFonts w:ascii="Times New Roman" w:eastAsia="Times New Roman" w:hAnsi="Times New Roman" w:cs="Times New Roman"/>
          <w:sz w:val="28"/>
          <w:szCs w:val="28"/>
          <w:lang w:val="uk-UA" w:eastAsia="ru-RU"/>
        </w:rPr>
      </w:pPr>
      <w:r w:rsidRPr="000A5AAD">
        <w:rPr>
          <w:rFonts w:ascii="Times New Roman" w:eastAsia="Times New Roman" w:hAnsi="Times New Roman" w:cs="Times New Roman"/>
          <w:sz w:val="28"/>
          <w:szCs w:val="28"/>
          <w:lang w:val="uk-UA" w:eastAsia="ru-RU"/>
        </w:rPr>
        <w:t>Кваліфікаційну роботу</w:t>
      </w:r>
    </w:p>
    <w:p w14:paraId="3E228131" w14:textId="77777777" w:rsidR="000A5AAD" w:rsidRPr="000A5AAD" w:rsidRDefault="000A5AAD" w:rsidP="000A5AAD">
      <w:pPr>
        <w:spacing w:after="0" w:line="240" w:lineRule="auto"/>
        <w:rPr>
          <w:rFonts w:ascii="Times New Roman" w:eastAsia="Times New Roman" w:hAnsi="Times New Roman" w:cs="Times New Roman"/>
          <w:sz w:val="28"/>
          <w:szCs w:val="28"/>
          <w:lang w:val="uk-UA" w:eastAsia="ru-RU"/>
        </w:rPr>
      </w:pPr>
      <w:r w:rsidRPr="000A5AAD">
        <w:rPr>
          <w:rFonts w:ascii="Times New Roman" w:eastAsia="Times New Roman" w:hAnsi="Times New Roman" w:cs="Times New Roman"/>
          <w:sz w:val="28"/>
          <w:szCs w:val="28"/>
          <w:lang w:val="uk-UA" w:eastAsia="ru-RU"/>
        </w:rPr>
        <w:t xml:space="preserve">допущено до захисту </w:t>
      </w:r>
    </w:p>
    <w:p w14:paraId="4CC31B3A" w14:textId="77777777" w:rsidR="000A5AAD" w:rsidRPr="000A5AAD" w:rsidRDefault="000A5AAD" w:rsidP="000A5AAD">
      <w:pPr>
        <w:spacing w:after="0" w:line="240" w:lineRule="auto"/>
        <w:rPr>
          <w:rFonts w:ascii="Times New Roman" w:eastAsia="Times New Roman" w:hAnsi="Times New Roman" w:cs="Times New Roman"/>
          <w:sz w:val="28"/>
          <w:szCs w:val="28"/>
          <w:lang w:val="uk-UA" w:eastAsia="ru-RU"/>
        </w:rPr>
      </w:pPr>
      <w:r w:rsidRPr="000A5AAD">
        <w:rPr>
          <w:rFonts w:ascii="Times New Roman" w:eastAsia="Times New Roman" w:hAnsi="Times New Roman" w:cs="Times New Roman"/>
          <w:sz w:val="28"/>
          <w:szCs w:val="28"/>
          <w:lang w:val="uk-UA" w:eastAsia="ru-RU"/>
        </w:rPr>
        <w:t>«____»_________________2022 р.</w:t>
      </w:r>
    </w:p>
    <w:p w14:paraId="73F86585" w14:textId="77777777" w:rsidR="000A5AAD" w:rsidRPr="000A5AAD" w:rsidRDefault="000A5AAD" w:rsidP="000A5AAD">
      <w:pPr>
        <w:spacing w:after="0" w:line="240" w:lineRule="auto"/>
        <w:rPr>
          <w:rFonts w:ascii="Times New Roman" w:eastAsia="Times New Roman" w:hAnsi="Times New Roman" w:cs="Times New Roman"/>
          <w:sz w:val="28"/>
          <w:szCs w:val="28"/>
          <w:lang w:val="uk-UA" w:eastAsia="ru-RU"/>
        </w:rPr>
      </w:pPr>
    </w:p>
    <w:p w14:paraId="1B5B9D46" w14:textId="77777777" w:rsidR="000A5AAD" w:rsidRPr="000A5AAD" w:rsidRDefault="000A5AAD" w:rsidP="000A5AAD">
      <w:pPr>
        <w:spacing w:after="0" w:line="240" w:lineRule="auto"/>
        <w:rPr>
          <w:rFonts w:ascii="Times New Roman" w:eastAsia="Times New Roman" w:hAnsi="Times New Roman" w:cs="Times New Roman"/>
          <w:sz w:val="28"/>
          <w:szCs w:val="28"/>
          <w:lang w:val="uk-UA" w:eastAsia="ru-RU"/>
        </w:rPr>
      </w:pPr>
      <w:r w:rsidRPr="000A5AAD">
        <w:rPr>
          <w:rFonts w:ascii="Times New Roman" w:eastAsia="Times New Roman" w:hAnsi="Times New Roman" w:cs="Times New Roman"/>
          <w:sz w:val="28"/>
          <w:szCs w:val="28"/>
          <w:lang w:val="uk-UA" w:eastAsia="ru-RU"/>
        </w:rPr>
        <w:t>Завідувач кафедри:</w:t>
      </w:r>
    </w:p>
    <w:p w14:paraId="24AD46F2" w14:textId="77777777" w:rsidR="000A5AAD" w:rsidRPr="000A5AAD" w:rsidRDefault="000A5AAD" w:rsidP="000A5AAD">
      <w:pPr>
        <w:spacing w:after="0" w:line="240" w:lineRule="auto"/>
        <w:rPr>
          <w:rFonts w:ascii="Times New Roman" w:eastAsia="Times New Roman" w:hAnsi="Times New Roman" w:cs="Times New Roman"/>
          <w:b/>
          <w:sz w:val="28"/>
          <w:szCs w:val="28"/>
          <w:lang w:val="uk-UA" w:eastAsia="ru-RU"/>
        </w:rPr>
      </w:pPr>
      <w:r w:rsidRPr="000A5AAD">
        <w:rPr>
          <w:rFonts w:ascii="Times New Roman" w:eastAsia="Times New Roman" w:hAnsi="Times New Roman" w:cs="Times New Roman"/>
          <w:sz w:val="28"/>
          <w:szCs w:val="28"/>
          <w:lang w:val="uk-UA" w:eastAsia="ru-RU"/>
        </w:rPr>
        <w:t>___________________д.е.н., проф. О. П. Кириленко</w:t>
      </w:r>
    </w:p>
    <w:p w14:paraId="26877474" w14:textId="77777777" w:rsidR="000A5AAD" w:rsidRPr="000A5AAD" w:rsidRDefault="000A5AAD" w:rsidP="000A5AAD">
      <w:pPr>
        <w:spacing w:after="0" w:line="240" w:lineRule="auto"/>
        <w:jc w:val="center"/>
        <w:rPr>
          <w:rFonts w:ascii="Times New Roman" w:eastAsia="Times New Roman" w:hAnsi="Times New Roman" w:cs="Times New Roman"/>
          <w:b/>
          <w:sz w:val="28"/>
          <w:szCs w:val="28"/>
          <w:lang w:val="uk-UA" w:eastAsia="ru-RU"/>
        </w:rPr>
      </w:pPr>
    </w:p>
    <w:p w14:paraId="358B4502" w14:textId="77777777" w:rsidR="000A5AAD" w:rsidRPr="000A5AAD" w:rsidRDefault="000A5AAD" w:rsidP="000A5AAD">
      <w:pPr>
        <w:spacing w:after="0" w:line="240" w:lineRule="auto"/>
        <w:jc w:val="center"/>
        <w:rPr>
          <w:rFonts w:ascii="Times New Roman" w:eastAsia="Times New Roman" w:hAnsi="Times New Roman" w:cs="Times New Roman"/>
          <w:b/>
          <w:sz w:val="28"/>
          <w:szCs w:val="28"/>
          <w:lang w:val="uk-UA" w:eastAsia="ru-RU"/>
        </w:rPr>
      </w:pPr>
    </w:p>
    <w:p w14:paraId="3AE3206A" w14:textId="77777777" w:rsidR="000A5AAD" w:rsidRPr="000A5AAD" w:rsidRDefault="000A5AAD" w:rsidP="000A5AAD">
      <w:pPr>
        <w:spacing w:after="0" w:line="240" w:lineRule="auto"/>
        <w:jc w:val="center"/>
        <w:rPr>
          <w:rFonts w:ascii="Times New Roman" w:eastAsia="Times New Roman" w:hAnsi="Times New Roman" w:cs="Times New Roman"/>
          <w:b/>
          <w:sz w:val="28"/>
          <w:szCs w:val="28"/>
          <w:lang w:val="uk-UA" w:eastAsia="ru-RU"/>
        </w:rPr>
      </w:pPr>
    </w:p>
    <w:p w14:paraId="365F4F4F" w14:textId="77777777" w:rsidR="000A5AAD" w:rsidRPr="000A5AAD" w:rsidRDefault="000A5AAD" w:rsidP="000A5AAD">
      <w:pPr>
        <w:spacing w:after="0" w:line="240" w:lineRule="auto"/>
        <w:jc w:val="center"/>
        <w:rPr>
          <w:rFonts w:ascii="Times New Roman" w:eastAsia="Times New Roman" w:hAnsi="Times New Roman" w:cs="Times New Roman"/>
          <w:b/>
          <w:sz w:val="28"/>
          <w:szCs w:val="28"/>
          <w:lang w:val="uk-UA" w:eastAsia="ru-RU"/>
        </w:rPr>
      </w:pPr>
    </w:p>
    <w:p w14:paraId="01726A83" w14:textId="77777777" w:rsidR="000A5AAD" w:rsidRPr="000A5AAD" w:rsidRDefault="000A5AAD" w:rsidP="000A5AAD">
      <w:pPr>
        <w:spacing w:after="0" w:line="240" w:lineRule="auto"/>
        <w:jc w:val="center"/>
        <w:rPr>
          <w:rFonts w:ascii="Times New Roman" w:eastAsia="Times New Roman" w:hAnsi="Times New Roman" w:cs="Times New Roman"/>
          <w:b/>
          <w:sz w:val="28"/>
          <w:szCs w:val="28"/>
          <w:lang w:val="uk-UA" w:eastAsia="ru-RU"/>
        </w:rPr>
      </w:pPr>
    </w:p>
    <w:p w14:paraId="1D6CCAC8" w14:textId="77777777" w:rsidR="000A5AAD" w:rsidRPr="000A5AAD" w:rsidRDefault="000A5AAD" w:rsidP="000A5AAD">
      <w:pPr>
        <w:spacing w:after="0" w:line="240" w:lineRule="auto"/>
        <w:jc w:val="center"/>
        <w:rPr>
          <w:rFonts w:ascii="Times New Roman" w:eastAsia="Times New Roman" w:hAnsi="Times New Roman" w:cs="Times New Roman"/>
          <w:b/>
          <w:sz w:val="28"/>
          <w:szCs w:val="28"/>
          <w:lang w:val="uk-UA" w:eastAsia="ru-RU"/>
        </w:rPr>
      </w:pPr>
      <w:r w:rsidRPr="000A5AAD">
        <w:rPr>
          <w:rFonts w:ascii="Times New Roman" w:eastAsia="Times New Roman" w:hAnsi="Times New Roman" w:cs="Times New Roman"/>
          <w:b/>
          <w:sz w:val="28"/>
          <w:szCs w:val="28"/>
          <w:lang w:val="uk-UA" w:eastAsia="ru-RU"/>
        </w:rPr>
        <w:t>Тернопіль – 2022</w:t>
      </w:r>
    </w:p>
    <w:p w14:paraId="0F08C3AE" w14:textId="77777777" w:rsidR="00032FDA" w:rsidRPr="00255BC9" w:rsidRDefault="00032FDA" w:rsidP="00255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5E47AFAB" w14:textId="69996AE4" w:rsidR="00BB2166" w:rsidRPr="00BB2166" w:rsidRDefault="00BB2166"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7F2B1B91" w14:textId="77777777" w:rsidR="009E6981" w:rsidRPr="00BB2166" w:rsidRDefault="009E6981"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val="uk-UA" w:eastAsia="ru-RU"/>
        </w:rPr>
      </w:pPr>
      <w:r w:rsidRPr="00BB2166">
        <w:rPr>
          <w:rFonts w:ascii="Times New Roman" w:eastAsia="Times New Roman" w:hAnsi="Times New Roman" w:cs="Times New Roman"/>
          <w:b/>
          <w:color w:val="000000"/>
          <w:sz w:val="28"/>
          <w:szCs w:val="28"/>
          <w:lang w:val="uk-UA" w:eastAsia="ru-RU"/>
        </w:rPr>
        <w:t>ЗМІСТ</w:t>
      </w:r>
    </w:p>
    <w:p w14:paraId="33CD91D2" w14:textId="77777777" w:rsidR="006C0330" w:rsidRDefault="006C0330"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706000C6" w14:textId="77777777" w:rsidR="009E6981" w:rsidRPr="00BB2166" w:rsidRDefault="009E6981" w:rsidP="00C8148F">
      <w:pPr>
        <w:pStyle w:val="1"/>
        <w:spacing w:line="276" w:lineRule="auto"/>
        <w:ind w:firstLine="0"/>
        <w:rPr>
          <w:b/>
          <w:color w:val="000000"/>
          <w:lang w:val="uk-UA" w:eastAsia="uk-UA" w:bidi="uk-UA"/>
        </w:rPr>
      </w:pPr>
      <w:r w:rsidRPr="00BB2166">
        <w:rPr>
          <w:b/>
          <w:color w:val="000000"/>
          <w:lang w:val="uk-UA" w:eastAsia="uk-UA" w:bidi="uk-UA"/>
        </w:rPr>
        <w:t>ВСТУП…………………………………………………………………………</w:t>
      </w:r>
      <w:r w:rsidR="00255BC9">
        <w:rPr>
          <w:b/>
          <w:color w:val="000000"/>
          <w:lang w:val="uk-UA" w:eastAsia="uk-UA" w:bidi="uk-UA"/>
        </w:rPr>
        <w:t>.</w:t>
      </w:r>
      <w:r w:rsidRPr="00BB2166">
        <w:rPr>
          <w:b/>
          <w:color w:val="000000"/>
          <w:lang w:val="uk-UA" w:eastAsia="uk-UA" w:bidi="uk-UA"/>
        </w:rPr>
        <w:t>…3</w:t>
      </w:r>
    </w:p>
    <w:p w14:paraId="2E0AA3D1" w14:textId="77777777" w:rsidR="009E6981" w:rsidRPr="00BB2166" w:rsidRDefault="009E6981" w:rsidP="00C8148F">
      <w:pPr>
        <w:pStyle w:val="1"/>
        <w:spacing w:line="276" w:lineRule="auto"/>
        <w:ind w:firstLine="0"/>
        <w:jc w:val="both"/>
        <w:rPr>
          <w:b/>
          <w:color w:val="000000"/>
          <w:lang w:val="uk-UA" w:eastAsia="uk-UA" w:bidi="uk-UA"/>
        </w:rPr>
      </w:pPr>
      <w:r w:rsidRPr="00BB2166">
        <w:rPr>
          <w:b/>
          <w:color w:val="000000"/>
          <w:lang w:val="uk-UA" w:eastAsia="uk-UA" w:bidi="uk-UA"/>
        </w:rPr>
        <w:t>РОЗДІЛ 1.</w:t>
      </w:r>
      <w:r w:rsidRPr="00BB2166">
        <w:rPr>
          <w:b/>
          <w:bCs/>
          <w:color w:val="000000"/>
          <w:lang w:val="uk-UA" w:eastAsia="uk-UA" w:bidi="uk-UA"/>
        </w:rPr>
        <w:t xml:space="preserve"> </w:t>
      </w:r>
      <w:r w:rsidR="00BB2166" w:rsidRPr="00BB2166">
        <w:rPr>
          <w:b/>
          <w:bCs/>
          <w:color w:val="000000"/>
          <w:lang w:val="uk-UA" w:eastAsia="uk-UA" w:bidi="uk-UA"/>
        </w:rPr>
        <w:t xml:space="preserve">ТЕОРЕТИЧНІ </w:t>
      </w:r>
      <w:r w:rsidRPr="00BB2166">
        <w:rPr>
          <w:b/>
          <w:bCs/>
          <w:color w:val="000000"/>
          <w:lang w:val="uk-UA" w:eastAsia="uk-UA" w:bidi="uk-UA"/>
        </w:rPr>
        <w:t xml:space="preserve"> ЗАСАДИ РОЗВИТКУ</w:t>
      </w:r>
      <w:r w:rsidRPr="00BB2166">
        <w:rPr>
          <w:b/>
          <w:color w:val="000000"/>
          <w:lang w:val="uk-UA" w:eastAsia="uk-UA" w:bidi="uk-UA"/>
        </w:rPr>
        <w:t xml:space="preserve"> МІСЦЕВИХ БЮДЖЕТІВ</w:t>
      </w:r>
      <w:r w:rsidR="000A749E">
        <w:rPr>
          <w:b/>
          <w:color w:val="000000"/>
          <w:lang w:val="uk-UA" w:eastAsia="uk-UA" w:bidi="uk-UA"/>
        </w:rPr>
        <w:t>…………………………………………………………………</w:t>
      </w:r>
      <w:r w:rsidR="00255BC9">
        <w:rPr>
          <w:b/>
          <w:color w:val="000000"/>
          <w:lang w:val="uk-UA" w:eastAsia="uk-UA" w:bidi="uk-UA"/>
        </w:rPr>
        <w:t>...</w:t>
      </w:r>
      <w:r w:rsidR="000A749E">
        <w:rPr>
          <w:b/>
          <w:color w:val="000000"/>
          <w:lang w:val="uk-UA" w:eastAsia="uk-UA" w:bidi="uk-UA"/>
        </w:rPr>
        <w:t>….7</w:t>
      </w:r>
    </w:p>
    <w:p w14:paraId="693B5460" w14:textId="77777777" w:rsidR="009E6981" w:rsidRDefault="009E6981" w:rsidP="00C8148F">
      <w:pPr>
        <w:pStyle w:val="1"/>
        <w:spacing w:line="276" w:lineRule="auto"/>
        <w:ind w:firstLine="0"/>
        <w:jc w:val="both"/>
        <w:rPr>
          <w:color w:val="000000"/>
          <w:lang w:val="uk-UA" w:eastAsia="uk-UA" w:bidi="uk-UA"/>
        </w:rPr>
      </w:pPr>
      <w:r>
        <w:rPr>
          <w:color w:val="000000"/>
          <w:lang w:val="uk-UA" w:eastAsia="uk-UA" w:bidi="uk-UA"/>
        </w:rPr>
        <w:t>1.1.</w:t>
      </w:r>
      <w:r w:rsidRPr="00726646">
        <w:t xml:space="preserve"> </w:t>
      </w:r>
      <w:r w:rsidR="00BB2166" w:rsidRPr="00BB2166">
        <w:rPr>
          <w:color w:val="000000"/>
          <w:lang w:val="uk-UA" w:eastAsia="uk-UA" w:bidi="uk-UA"/>
        </w:rPr>
        <w:t>Періодизація формування місцевих бюджетів в умовах розвитку місцевого самоврядування</w:t>
      </w:r>
      <w:r w:rsidR="000A749E">
        <w:rPr>
          <w:color w:val="000000"/>
          <w:lang w:val="uk-UA" w:eastAsia="uk-UA" w:bidi="uk-UA"/>
        </w:rPr>
        <w:t>……………………………………………………</w:t>
      </w:r>
      <w:r w:rsidR="00255BC9">
        <w:rPr>
          <w:color w:val="000000"/>
          <w:lang w:val="uk-UA" w:eastAsia="uk-UA" w:bidi="uk-UA"/>
        </w:rPr>
        <w:t>..</w:t>
      </w:r>
      <w:r w:rsidR="000A749E">
        <w:rPr>
          <w:color w:val="000000"/>
          <w:lang w:val="uk-UA" w:eastAsia="uk-UA" w:bidi="uk-UA"/>
        </w:rPr>
        <w:t>…7</w:t>
      </w:r>
    </w:p>
    <w:p w14:paraId="2420E3B5" w14:textId="77777777" w:rsidR="009E6981" w:rsidRPr="000A749E" w:rsidRDefault="009E6981" w:rsidP="00C8148F">
      <w:pPr>
        <w:pStyle w:val="1"/>
        <w:spacing w:line="276" w:lineRule="auto"/>
        <w:ind w:firstLine="0"/>
        <w:jc w:val="both"/>
        <w:rPr>
          <w:color w:val="000000"/>
          <w:lang w:val="uk-UA" w:eastAsia="uk-UA" w:bidi="uk-UA"/>
        </w:rPr>
      </w:pPr>
      <w:r>
        <w:rPr>
          <w:color w:val="000000"/>
          <w:lang w:val="uk-UA" w:eastAsia="uk-UA" w:bidi="uk-UA"/>
        </w:rPr>
        <w:t>1.2.</w:t>
      </w:r>
      <w:r w:rsidRPr="00A33B18">
        <w:rPr>
          <w:lang w:val="uk-UA"/>
        </w:rPr>
        <w:t xml:space="preserve"> </w:t>
      </w:r>
      <w:r w:rsidR="00BB2166" w:rsidRPr="00A33B18">
        <w:rPr>
          <w:lang w:val="uk-UA"/>
        </w:rPr>
        <w:t>Методологічні засади дослідження рівня бюджетної децентралізації регіонів</w:t>
      </w:r>
      <w:r w:rsidR="000A749E">
        <w:rPr>
          <w:lang w:val="uk-UA"/>
        </w:rPr>
        <w:t>………………………………………………………………………….</w:t>
      </w:r>
      <w:r w:rsidR="00255BC9">
        <w:rPr>
          <w:lang w:val="uk-UA"/>
        </w:rPr>
        <w:t>.</w:t>
      </w:r>
      <w:r w:rsidR="000A749E">
        <w:rPr>
          <w:lang w:val="uk-UA"/>
        </w:rPr>
        <w:t>.17</w:t>
      </w:r>
    </w:p>
    <w:p w14:paraId="1CCC61C2" w14:textId="77777777" w:rsidR="009E6981" w:rsidRDefault="009E6981" w:rsidP="00C8148F">
      <w:pPr>
        <w:pStyle w:val="1"/>
        <w:spacing w:line="276" w:lineRule="auto"/>
        <w:ind w:firstLine="0"/>
        <w:rPr>
          <w:color w:val="000000"/>
          <w:lang w:val="uk-UA" w:eastAsia="uk-UA" w:bidi="uk-UA"/>
        </w:rPr>
      </w:pPr>
      <w:r>
        <w:rPr>
          <w:color w:val="000000"/>
          <w:lang w:val="uk-UA" w:eastAsia="uk-UA" w:bidi="uk-UA"/>
        </w:rPr>
        <w:t>Висновки до розд</w:t>
      </w:r>
      <w:r w:rsidR="000A749E">
        <w:rPr>
          <w:color w:val="000000"/>
          <w:lang w:val="uk-UA" w:eastAsia="uk-UA" w:bidi="uk-UA"/>
        </w:rPr>
        <w:t>ілу 1…………………………………………………………...23</w:t>
      </w:r>
    </w:p>
    <w:p w14:paraId="67CF227F" w14:textId="77777777" w:rsidR="009E6981" w:rsidRPr="00C8148F" w:rsidRDefault="009E6981" w:rsidP="00C8148F">
      <w:pPr>
        <w:pStyle w:val="1"/>
        <w:spacing w:line="276" w:lineRule="auto"/>
        <w:ind w:firstLine="0"/>
        <w:jc w:val="both"/>
        <w:rPr>
          <w:b/>
          <w:color w:val="000000"/>
          <w:lang w:val="uk-UA" w:eastAsia="uk-UA" w:bidi="uk-UA"/>
        </w:rPr>
      </w:pPr>
      <w:r w:rsidRPr="00C8148F">
        <w:rPr>
          <w:b/>
          <w:color w:val="000000"/>
          <w:lang w:val="uk-UA" w:eastAsia="uk-UA" w:bidi="uk-UA"/>
        </w:rPr>
        <w:t xml:space="preserve">РОЗДІЛ 2. </w:t>
      </w:r>
      <w:r w:rsidR="00BB2166" w:rsidRPr="00C8148F">
        <w:rPr>
          <w:b/>
          <w:bCs/>
          <w:color w:val="000000"/>
          <w:lang w:val="uk-UA" w:eastAsia="uk-UA" w:bidi="uk-UA"/>
        </w:rPr>
        <w:t>УПРАВЛІННЯ ФОРМУВАННЯМ ДОХОДІВ БЮДЖЕТІВ В УМОВАХ РЕФОРМУВАННЯ МІСЦЕВОГО САМОВРЯДУВАННЯ В УКРАЇНІ</w:t>
      </w:r>
      <w:r w:rsidR="000A749E">
        <w:rPr>
          <w:b/>
          <w:bCs/>
          <w:color w:val="000000"/>
          <w:lang w:val="uk-UA" w:eastAsia="uk-UA" w:bidi="uk-UA"/>
        </w:rPr>
        <w:t>…………………………………………………………………………25</w:t>
      </w:r>
    </w:p>
    <w:p w14:paraId="106B45DF" w14:textId="77777777" w:rsidR="009E6981" w:rsidRDefault="009E6981" w:rsidP="00C8148F">
      <w:pPr>
        <w:pStyle w:val="1"/>
        <w:spacing w:line="276" w:lineRule="auto"/>
        <w:ind w:firstLine="0"/>
        <w:jc w:val="both"/>
        <w:rPr>
          <w:color w:val="000000"/>
          <w:lang w:val="uk-UA" w:eastAsia="uk-UA" w:bidi="uk-UA"/>
        </w:rPr>
      </w:pPr>
      <w:r>
        <w:rPr>
          <w:color w:val="000000"/>
          <w:lang w:val="uk-UA" w:eastAsia="uk-UA" w:bidi="uk-UA"/>
        </w:rPr>
        <w:t xml:space="preserve">2.1. </w:t>
      </w:r>
      <w:r w:rsidR="00BB2166">
        <w:rPr>
          <w:color w:val="000000"/>
          <w:lang w:val="uk-UA" w:eastAsia="uk-UA" w:bidi="uk-UA"/>
        </w:rPr>
        <w:t>Аналіз результативності формування доходів бюджетів об’єднаних територіальних громад в контексті бюджетно-податкових змін</w:t>
      </w:r>
      <w:r w:rsidR="000A749E">
        <w:rPr>
          <w:color w:val="000000"/>
          <w:lang w:val="uk-UA" w:eastAsia="uk-UA" w:bidi="uk-UA"/>
        </w:rPr>
        <w:t>……………</w:t>
      </w:r>
      <w:r w:rsidR="00255BC9">
        <w:rPr>
          <w:color w:val="000000"/>
          <w:lang w:val="uk-UA" w:eastAsia="uk-UA" w:bidi="uk-UA"/>
        </w:rPr>
        <w:t>..</w:t>
      </w:r>
      <w:r w:rsidR="000A749E">
        <w:rPr>
          <w:color w:val="000000"/>
          <w:lang w:val="uk-UA" w:eastAsia="uk-UA" w:bidi="uk-UA"/>
        </w:rPr>
        <w:t>25</w:t>
      </w:r>
    </w:p>
    <w:p w14:paraId="7E64266B" w14:textId="77777777" w:rsidR="009E6981" w:rsidRDefault="009E6981" w:rsidP="00C8148F">
      <w:pPr>
        <w:pStyle w:val="1"/>
        <w:spacing w:line="276" w:lineRule="auto"/>
        <w:ind w:firstLine="0"/>
        <w:jc w:val="both"/>
        <w:rPr>
          <w:color w:val="000000"/>
          <w:lang w:val="uk-UA" w:eastAsia="uk-UA" w:bidi="uk-UA"/>
        </w:rPr>
      </w:pPr>
      <w:r>
        <w:rPr>
          <w:color w:val="000000"/>
          <w:lang w:val="uk-UA" w:eastAsia="uk-UA" w:bidi="uk-UA"/>
        </w:rPr>
        <w:t>2.2.</w:t>
      </w:r>
      <w:r w:rsidRPr="00726646">
        <w:t xml:space="preserve"> </w:t>
      </w:r>
      <w:r w:rsidR="00BB2166">
        <w:rPr>
          <w:color w:val="000000"/>
          <w:lang w:val="uk-UA" w:eastAsia="uk-UA" w:bidi="uk-UA"/>
        </w:rPr>
        <w:t>Оцінювання бюджетного забезпечення соціально-економічного</w:t>
      </w:r>
      <w:r w:rsidR="00BB2166">
        <w:rPr>
          <w:color w:val="000000"/>
          <w:lang w:val="uk-UA" w:eastAsia="uk-UA" w:bidi="uk-UA"/>
        </w:rPr>
        <w:br/>
        <w:t>розвитку територій в Україні</w:t>
      </w:r>
      <w:r w:rsidR="000A749E">
        <w:rPr>
          <w:color w:val="000000"/>
          <w:lang w:val="uk-UA" w:eastAsia="uk-UA" w:bidi="uk-UA"/>
        </w:rPr>
        <w:t>…………………………………………………</w:t>
      </w:r>
      <w:r w:rsidR="00255BC9">
        <w:rPr>
          <w:color w:val="000000"/>
          <w:lang w:val="uk-UA" w:eastAsia="uk-UA" w:bidi="uk-UA"/>
        </w:rPr>
        <w:t>..</w:t>
      </w:r>
      <w:r w:rsidR="000A749E">
        <w:rPr>
          <w:color w:val="000000"/>
          <w:lang w:val="uk-UA" w:eastAsia="uk-UA" w:bidi="uk-UA"/>
        </w:rPr>
        <w:t>.35</w:t>
      </w:r>
      <w:r>
        <w:rPr>
          <w:color w:val="000000"/>
          <w:lang w:val="uk-UA" w:eastAsia="uk-UA" w:bidi="uk-UA"/>
        </w:rPr>
        <w:t xml:space="preserve"> </w:t>
      </w:r>
    </w:p>
    <w:p w14:paraId="6322CFBB" w14:textId="77777777" w:rsidR="009E6981" w:rsidRDefault="009E6981" w:rsidP="00C8148F">
      <w:pPr>
        <w:pStyle w:val="1"/>
        <w:spacing w:line="276" w:lineRule="auto"/>
        <w:ind w:firstLine="0"/>
        <w:rPr>
          <w:color w:val="000000"/>
          <w:lang w:val="uk-UA" w:eastAsia="uk-UA" w:bidi="uk-UA"/>
        </w:rPr>
      </w:pPr>
      <w:r>
        <w:rPr>
          <w:color w:val="000000"/>
          <w:lang w:val="uk-UA" w:eastAsia="uk-UA" w:bidi="uk-UA"/>
        </w:rPr>
        <w:t>Висновки до роз</w:t>
      </w:r>
      <w:r w:rsidR="00255BC9">
        <w:rPr>
          <w:color w:val="000000"/>
          <w:lang w:val="uk-UA" w:eastAsia="uk-UA" w:bidi="uk-UA"/>
        </w:rPr>
        <w:t>ділу 2……………………………………………………….</w:t>
      </w:r>
      <w:r w:rsidR="000A749E">
        <w:rPr>
          <w:color w:val="000000"/>
          <w:lang w:val="uk-UA" w:eastAsia="uk-UA" w:bidi="uk-UA"/>
        </w:rPr>
        <w:t>…..46</w:t>
      </w:r>
    </w:p>
    <w:p w14:paraId="49881253" w14:textId="77777777" w:rsidR="009E6981" w:rsidRPr="00C8148F" w:rsidRDefault="009E6981" w:rsidP="00C8148F">
      <w:pPr>
        <w:pStyle w:val="1"/>
        <w:spacing w:line="276" w:lineRule="auto"/>
        <w:ind w:firstLine="0"/>
        <w:jc w:val="both"/>
        <w:rPr>
          <w:b/>
          <w:lang w:val="uk-UA"/>
        </w:rPr>
      </w:pPr>
      <w:r w:rsidRPr="00C8148F">
        <w:rPr>
          <w:b/>
          <w:color w:val="000000"/>
          <w:lang w:val="uk-UA" w:eastAsia="uk-UA" w:bidi="uk-UA"/>
        </w:rPr>
        <w:t xml:space="preserve">РОЗДІЛ 3. </w:t>
      </w:r>
      <w:r w:rsidR="00BB2166" w:rsidRPr="00C8148F">
        <w:rPr>
          <w:b/>
          <w:bCs/>
          <w:color w:val="000000"/>
          <w:lang w:val="uk-UA" w:eastAsia="uk-UA" w:bidi="uk-UA"/>
        </w:rPr>
        <w:t>СТРАТЕГІЧНІ ПРІОРИТЕТИ ТА НАПРЯМИ</w:t>
      </w:r>
      <w:r w:rsidR="00BB2166" w:rsidRPr="00C8148F">
        <w:rPr>
          <w:b/>
          <w:bCs/>
          <w:color w:val="000000"/>
          <w:lang w:val="uk-UA" w:eastAsia="uk-UA" w:bidi="uk-UA"/>
        </w:rPr>
        <w:br/>
        <w:t>РОЗВИТКУ ВІТЧИЗНЯНОЇ СИСТЕМИ МІСЦЕВИХ БЮДЖЕТІВ</w:t>
      </w:r>
      <w:r w:rsidR="000A749E">
        <w:rPr>
          <w:b/>
          <w:bCs/>
          <w:color w:val="000000"/>
          <w:lang w:val="uk-UA" w:eastAsia="uk-UA" w:bidi="uk-UA"/>
        </w:rPr>
        <w:t>….</w:t>
      </w:r>
      <w:r w:rsidR="00255BC9">
        <w:rPr>
          <w:b/>
          <w:bCs/>
          <w:color w:val="000000"/>
          <w:lang w:val="uk-UA" w:eastAsia="uk-UA" w:bidi="uk-UA"/>
        </w:rPr>
        <w:t>.</w:t>
      </w:r>
      <w:r w:rsidR="000A749E">
        <w:rPr>
          <w:b/>
          <w:bCs/>
          <w:color w:val="000000"/>
          <w:lang w:val="uk-UA" w:eastAsia="uk-UA" w:bidi="uk-UA"/>
        </w:rPr>
        <w:t>.49</w:t>
      </w:r>
    </w:p>
    <w:p w14:paraId="0433C862" w14:textId="77777777" w:rsidR="009E6981" w:rsidRDefault="009E6981" w:rsidP="00C8148F">
      <w:pPr>
        <w:pStyle w:val="1"/>
        <w:spacing w:line="276" w:lineRule="auto"/>
        <w:ind w:firstLine="0"/>
        <w:rPr>
          <w:color w:val="000000"/>
          <w:lang w:val="uk-UA" w:eastAsia="uk-UA" w:bidi="uk-UA"/>
        </w:rPr>
      </w:pPr>
      <w:r>
        <w:rPr>
          <w:color w:val="000000"/>
          <w:lang w:val="uk-UA" w:eastAsia="uk-UA" w:bidi="uk-UA"/>
        </w:rPr>
        <w:t>Висновки до роз</w:t>
      </w:r>
      <w:r w:rsidR="00D41B15">
        <w:rPr>
          <w:color w:val="000000"/>
          <w:lang w:val="uk-UA" w:eastAsia="uk-UA" w:bidi="uk-UA"/>
        </w:rPr>
        <w:t>ділу 3…………………………………………………………</w:t>
      </w:r>
      <w:r w:rsidR="00255BC9">
        <w:rPr>
          <w:color w:val="000000"/>
          <w:lang w:val="uk-UA" w:eastAsia="uk-UA" w:bidi="uk-UA"/>
        </w:rPr>
        <w:t>.</w:t>
      </w:r>
      <w:r w:rsidR="00D41B15">
        <w:rPr>
          <w:color w:val="000000"/>
          <w:lang w:val="uk-UA" w:eastAsia="uk-UA" w:bidi="uk-UA"/>
        </w:rPr>
        <w:t>..60</w:t>
      </w:r>
    </w:p>
    <w:p w14:paraId="519AFCFD" w14:textId="77777777" w:rsidR="009E6981" w:rsidRPr="00C8148F" w:rsidRDefault="009E6981" w:rsidP="00C8148F">
      <w:pPr>
        <w:pStyle w:val="1"/>
        <w:spacing w:line="276" w:lineRule="auto"/>
        <w:ind w:firstLine="0"/>
        <w:jc w:val="both"/>
        <w:rPr>
          <w:b/>
          <w:color w:val="000000"/>
          <w:lang w:val="uk-UA" w:eastAsia="uk-UA" w:bidi="uk-UA"/>
        </w:rPr>
      </w:pPr>
      <w:r w:rsidRPr="00C8148F">
        <w:rPr>
          <w:b/>
          <w:color w:val="000000"/>
          <w:lang w:val="uk-UA" w:eastAsia="uk-UA" w:bidi="uk-UA"/>
        </w:rPr>
        <w:t>ВИСНОВКИ</w:t>
      </w:r>
      <w:r w:rsidR="00C8148F">
        <w:rPr>
          <w:b/>
          <w:color w:val="000000"/>
          <w:lang w:val="uk-UA" w:eastAsia="uk-UA" w:bidi="uk-UA"/>
        </w:rPr>
        <w:t>………………………………………………….</w:t>
      </w:r>
      <w:r w:rsidR="00D41B15">
        <w:rPr>
          <w:b/>
          <w:color w:val="000000"/>
          <w:lang w:val="uk-UA" w:eastAsia="uk-UA" w:bidi="uk-UA"/>
        </w:rPr>
        <w:t>………………</w:t>
      </w:r>
      <w:r w:rsidR="00255BC9">
        <w:rPr>
          <w:b/>
          <w:color w:val="000000"/>
          <w:lang w:val="uk-UA" w:eastAsia="uk-UA" w:bidi="uk-UA"/>
        </w:rPr>
        <w:t>...</w:t>
      </w:r>
      <w:r w:rsidR="00D41B15">
        <w:rPr>
          <w:b/>
          <w:color w:val="000000"/>
          <w:lang w:val="uk-UA" w:eastAsia="uk-UA" w:bidi="uk-UA"/>
        </w:rPr>
        <w:t>..61</w:t>
      </w:r>
    </w:p>
    <w:p w14:paraId="41E86840" w14:textId="77777777" w:rsidR="009E6981" w:rsidRPr="00C8148F" w:rsidRDefault="009E6981" w:rsidP="00C8148F">
      <w:pPr>
        <w:pStyle w:val="1"/>
        <w:spacing w:line="276" w:lineRule="auto"/>
        <w:ind w:firstLine="0"/>
        <w:jc w:val="both"/>
        <w:rPr>
          <w:b/>
          <w:color w:val="000000"/>
          <w:lang w:val="uk-UA" w:eastAsia="uk-UA" w:bidi="uk-UA"/>
        </w:rPr>
      </w:pPr>
      <w:r w:rsidRPr="00C8148F">
        <w:rPr>
          <w:b/>
          <w:color w:val="000000"/>
          <w:lang w:val="uk-UA" w:eastAsia="uk-UA" w:bidi="uk-UA"/>
        </w:rPr>
        <w:t>СПИСОК ВИКОРИСТАНИХ ДЖЕРЕЛ</w:t>
      </w:r>
      <w:r w:rsidR="00C8148F">
        <w:rPr>
          <w:b/>
          <w:color w:val="000000"/>
          <w:lang w:val="uk-UA" w:eastAsia="uk-UA" w:bidi="uk-UA"/>
        </w:rPr>
        <w:t>…………………………………</w:t>
      </w:r>
      <w:r w:rsidR="00D41B15">
        <w:rPr>
          <w:b/>
          <w:color w:val="000000"/>
          <w:lang w:val="uk-UA" w:eastAsia="uk-UA" w:bidi="uk-UA"/>
        </w:rPr>
        <w:t>….63</w:t>
      </w:r>
    </w:p>
    <w:p w14:paraId="0BF44023" w14:textId="77777777" w:rsidR="00EA67D8" w:rsidRPr="00C8148F" w:rsidRDefault="00EA67D8" w:rsidP="00C814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color w:val="000000"/>
          <w:sz w:val="28"/>
          <w:szCs w:val="28"/>
          <w:lang w:val="uk-UA" w:eastAsia="ru-RU"/>
        </w:rPr>
      </w:pPr>
    </w:p>
    <w:p w14:paraId="344D2CDF" w14:textId="77777777" w:rsidR="00EA67D8" w:rsidRDefault="00EA67D8"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val="uk-UA" w:eastAsia="ru-RU"/>
        </w:rPr>
      </w:pPr>
    </w:p>
    <w:p w14:paraId="0FBF3CA8" w14:textId="77777777" w:rsidR="00EA67D8" w:rsidRDefault="00EA67D8"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val="uk-UA" w:eastAsia="ru-RU"/>
        </w:rPr>
      </w:pPr>
    </w:p>
    <w:p w14:paraId="3686C41C" w14:textId="77777777" w:rsidR="00EA67D8" w:rsidRDefault="00EA67D8"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val="uk-UA" w:eastAsia="ru-RU"/>
        </w:rPr>
      </w:pPr>
    </w:p>
    <w:p w14:paraId="6B1E4029" w14:textId="77777777" w:rsidR="00EA67D8" w:rsidRDefault="00EA67D8"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val="uk-UA" w:eastAsia="ru-RU"/>
        </w:rPr>
      </w:pPr>
    </w:p>
    <w:p w14:paraId="02904482" w14:textId="77777777" w:rsidR="00EA67D8" w:rsidRDefault="00EA67D8"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val="uk-UA" w:eastAsia="ru-RU"/>
        </w:rPr>
      </w:pPr>
    </w:p>
    <w:p w14:paraId="73A0DA02" w14:textId="77777777" w:rsidR="00EA67D8" w:rsidRDefault="00EA67D8"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val="uk-UA" w:eastAsia="ru-RU"/>
        </w:rPr>
      </w:pPr>
    </w:p>
    <w:p w14:paraId="7CD87410" w14:textId="77777777" w:rsidR="00EA67D8" w:rsidRDefault="00EA67D8"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val="uk-UA" w:eastAsia="ru-RU"/>
        </w:rPr>
      </w:pPr>
    </w:p>
    <w:p w14:paraId="16E98BF7" w14:textId="77777777" w:rsidR="00EA67D8" w:rsidRDefault="00EA67D8"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val="uk-UA" w:eastAsia="ru-RU"/>
        </w:rPr>
      </w:pPr>
    </w:p>
    <w:p w14:paraId="18AB49D7" w14:textId="77777777" w:rsidR="00EA67D8" w:rsidRDefault="00EA67D8"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val="uk-UA" w:eastAsia="ru-RU"/>
        </w:rPr>
      </w:pPr>
    </w:p>
    <w:p w14:paraId="7E3C7F0A" w14:textId="77777777" w:rsidR="009E6981" w:rsidRDefault="009E6981" w:rsidP="009E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lang w:val="uk-UA" w:eastAsia="ru-RU"/>
        </w:rPr>
      </w:pPr>
    </w:p>
    <w:p w14:paraId="71E29CD7" w14:textId="77777777" w:rsidR="00EA67D8" w:rsidRDefault="00EA67D8"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val="uk-UA" w:eastAsia="ru-RU"/>
        </w:rPr>
      </w:pPr>
    </w:p>
    <w:p w14:paraId="1DA7C7D6" w14:textId="77777777" w:rsidR="00EA67D8" w:rsidRDefault="00EA67D8"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val="uk-UA" w:eastAsia="ru-RU"/>
        </w:rPr>
      </w:pPr>
    </w:p>
    <w:p w14:paraId="48AA2D97" w14:textId="77777777" w:rsidR="00EA67D8" w:rsidRDefault="00EA67D8"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val="uk-UA" w:eastAsia="ru-RU"/>
        </w:rPr>
      </w:pPr>
    </w:p>
    <w:p w14:paraId="43A3D352" w14:textId="77777777" w:rsidR="003E09D4" w:rsidRDefault="003E09D4">
      <w:pP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br w:type="page"/>
      </w:r>
    </w:p>
    <w:p w14:paraId="7EEEC5FB" w14:textId="77777777" w:rsidR="006C0330" w:rsidRPr="006C0330" w:rsidRDefault="006C0330"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val="uk-UA" w:eastAsia="ru-RU"/>
        </w:rPr>
      </w:pPr>
      <w:r w:rsidRPr="006C0330">
        <w:rPr>
          <w:rFonts w:ascii="Times New Roman" w:eastAsia="Times New Roman" w:hAnsi="Times New Roman" w:cs="Times New Roman"/>
          <w:b/>
          <w:color w:val="000000"/>
          <w:sz w:val="28"/>
          <w:szCs w:val="28"/>
          <w:lang w:val="uk-UA" w:eastAsia="ru-RU"/>
        </w:rPr>
        <w:lastRenderedPageBreak/>
        <w:t>ВСТУП</w:t>
      </w:r>
    </w:p>
    <w:p w14:paraId="292E1C2E" w14:textId="77777777" w:rsidR="006C0330" w:rsidRDefault="006C0330"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68FBDD10" w14:textId="77777777" w:rsidR="00A33B18" w:rsidRPr="00A33B18" w:rsidRDefault="006C0330" w:rsidP="00A33B18">
      <w:pPr>
        <w:pStyle w:val="1"/>
        <w:spacing w:line="360" w:lineRule="auto"/>
        <w:ind w:firstLine="580"/>
        <w:jc w:val="both"/>
        <w:rPr>
          <w:lang w:val="uk-UA" w:eastAsia="ru-RU" w:bidi="ru-RU"/>
        </w:rPr>
      </w:pPr>
      <w:r w:rsidRPr="00A33B18">
        <w:rPr>
          <w:b/>
          <w:bCs/>
          <w:lang w:val="uk-UA"/>
        </w:rPr>
        <w:t xml:space="preserve">Актуальність </w:t>
      </w:r>
      <w:r w:rsidRPr="00A33B18">
        <w:rPr>
          <w:b/>
          <w:bCs/>
          <w:lang w:val="uk-UA" w:eastAsia="ru-RU" w:bidi="ru-RU"/>
        </w:rPr>
        <w:t xml:space="preserve">теми. </w:t>
      </w:r>
      <w:r w:rsidR="00A33B18" w:rsidRPr="00A33B18">
        <w:rPr>
          <w:lang w:val="uk-UA" w:eastAsia="ru-RU" w:bidi="ru-RU"/>
        </w:rPr>
        <w:t>Збільшенню фінансової самостійності українських територіальних утворень сприяла реформа земських установ, зміни в територіальному устрої місцевих органів влади. Основою цієї самостійності є місцевий бюджет. Місцевий бюджет є основною частиною бюджетної системи України. Надзвичайно важливою є роль місцевих бюджетів у процесі перерозподілу ВВП, фінансового забезпечення надання послуг населенню, безпосереднього впливу на задоволення потреб населення, особливо соціальних.</w:t>
      </w:r>
    </w:p>
    <w:p w14:paraId="215C8C2D" w14:textId="77777777" w:rsidR="00A33B18" w:rsidRPr="00A33B18" w:rsidRDefault="00A33B18" w:rsidP="00A33B18">
      <w:pPr>
        <w:pStyle w:val="1"/>
        <w:spacing w:line="360" w:lineRule="auto"/>
        <w:ind w:firstLine="580"/>
        <w:jc w:val="both"/>
        <w:rPr>
          <w:lang w:val="uk-UA" w:eastAsia="ru-RU" w:bidi="ru-RU"/>
        </w:rPr>
      </w:pPr>
      <w:r w:rsidRPr="00A33B18">
        <w:rPr>
          <w:lang w:val="uk-UA" w:eastAsia="ru-RU" w:bidi="ru-RU"/>
        </w:rPr>
        <w:t>Адміністративно-територіальні реформи, зміни в бюджетному та податковому законодавстві, а також фіскальна децентралізація в результаті багатьох галузевих реформ в Україні сприяли певним позитивним зрушенням, таким як підвищення фіскальної самодостатності місцевих бюджетів та запровадження нових видів трансфертних платежів, відповідно до фіксованого стану Нові методи формування податків та бюджетного вирівнювання, серйозні зміни у міжбюджетних відносинах у розподілі повноважень на основі принципів субсидіарності та децентралізації, визначення соціальних видатків та сфери культури. Однак із таким значним результатом реформи виявилися деякі негативні тенденції, а саме: низькі фінансові ресурси земських органів для ефективного виконання переданих повноважень, структурні та регіональні відмінності між територіями з різним рівнем фінансового забезпечення, місцеві бюджети. фіскальної складової доходів та збільшення частки трансфертних платежів є ознакою недостатнього обсягу власних фіскальних ресурсів і відповідно низької фіскальної самостійності місцевих бюджетів, що зрештою призводить до обмежень соціально-економічного розвитку окремих територій.</w:t>
      </w:r>
    </w:p>
    <w:p w14:paraId="767A5A42" w14:textId="77777777" w:rsidR="006C0330" w:rsidRPr="00A33B18" w:rsidRDefault="00A33B18" w:rsidP="00A33B18">
      <w:pPr>
        <w:pStyle w:val="1"/>
        <w:spacing w:line="360" w:lineRule="auto"/>
        <w:ind w:firstLine="580"/>
        <w:jc w:val="both"/>
        <w:rPr>
          <w:lang w:val="uk-UA" w:eastAsia="ru-RU" w:bidi="ru-RU"/>
        </w:rPr>
      </w:pPr>
      <w:r w:rsidRPr="00A33B18">
        <w:rPr>
          <w:lang w:val="uk-UA" w:eastAsia="ru-RU" w:bidi="ru-RU"/>
        </w:rPr>
        <w:t xml:space="preserve">У цьому контексті актуальним стає питання розвитку та зміцнення місцевих бюджетів, оскільки лише за наявності достатніх фінансових ресурсів місцева влада може ефективно виконувати свої функції та тим самим </w:t>
      </w:r>
      <w:r w:rsidRPr="00A33B18">
        <w:rPr>
          <w:lang w:val="uk-UA" w:eastAsia="ru-RU" w:bidi="ru-RU"/>
        </w:rPr>
        <w:lastRenderedPageBreak/>
        <w:t>покращувати рівень життя населення певних територій. Цього можна досягти шляхом розширення дохідної бази місцевих бюджетів за рахунок залучення додаткових джерел наповнення, удосконалення системи регулювання міжбюджетних відносин, підвищення внутрішнього фіскального потенціалу, оптимізації використання ресурсів територіального бюджету для його стабільного економічного розвитку.</w:t>
      </w:r>
    </w:p>
    <w:p w14:paraId="4EE593DB" w14:textId="77777777" w:rsidR="006C0330" w:rsidRPr="006C0330" w:rsidRDefault="00A33B18" w:rsidP="00A33B18">
      <w:pPr>
        <w:pStyle w:val="1"/>
        <w:spacing w:line="360" w:lineRule="auto"/>
        <w:ind w:firstLine="0"/>
        <w:jc w:val="both"/>
        <w:rPr>
          <w:lang w:val="uk-UA"/>
        </w:rPr>
      </w:pPr>
      <w:r>
        <w:rPr>
          <w:lang w:val="uk-UA"/>
        </w:rPr>
        <w:t xml:space="preserve">     </w:t>
      </w:r>
      <w:r w:rsidR="006C0330" w:rsidRPr="00A33B18">
        <w:rPr>
          <w:lang w:val="uk-UA"/>
        </w:rPr>
        <w:t xml:space="preserve">Дослідженню теоретико-методологічних аспектів </w:t>
      </w:r>
      <w:r w:rsidR="006C0330" w:rsidRPr="00A33B18">
        <w:rPr>
          <w:lang w:val="uk-UA" w:eastAsia="ru-RU" w:bidi="ru-RU"/>
        </w:rPr>
        <w:t xml:space="preserve">формування та використання </w:t>
      </w:r>
      <w:r w:rsidR="006C0330" w:rsidRPr="00A33B18">
        <w:rPr>
          <w:lang w:val="uk-UA"/>
        </w:rPr>
        <w:t xml:space="preserve">місцевих бюджетів </w:t>
      </w:r>
      <w:r w:rsidR="006C0330" w:rsidRPr="00A33B18">
        <w:rPr>
          <w:lang w:val="uk-UA" w:eastAsia="ru-RU" w:bidi="ru-RU"/>
        </w:rPr>
        <w:t xml:space="preserve">присвячено </w:t>
      </w:r>
      <w:r w:rsidR="006C0330" w:rsidRPr="00A33B18">
        <w:rPr>
          <w:lang w:val="uk-UA"/>
        </w:rPr>
        <w:t xml:space="preserve">праці відомих українських </w:t>
      </w:r>
      <w:r w:rsidR="006C0330" w:rsidRPr="00A33B18">
        <w:rPr>
          <w:lang w:val="uk-UA" w:eastAsia="ru-RU" w:bidi="ru-RU"/>
        </w:rPr>
        <w:t xml:space="preserve">та закордонних учених, зокрема: В. Андрущенка, В. Базилевича, Т. Бондарук, О. Василика, В. </w:t>
      </w:r>
      <w:r w:rsidR="006C0330" w:rsidRPr="00A33B18">
        <w:rPr>
          <w:lang w:val="uk-UA"/>
        </w:rPr>
        <w:t xml:space="preserve">Виговської, </w:t>
      </w:r>
      <w:r w:rsidR="006C0330" w:rsidRPr="00A33B18">
        <w:rPr>
          <w:lang w:val="uk-UA" w:eastAsia="ru-RU" w:bidi="ru-RU"/>
        </w:rPr>
        <w:t xml:space="preserve">Р. Гнейста, О. Гонти, Б. Данилишина, В. Дем’янишина, М. Забаштанського, С. </w:t>
      </w:r>
      <w:r w:rsidR="006C0330" w:rsidRPr="00A33B18">
        <w:rPr>
          <w:lang w:val="uk-UA"/>
        </w:rPr>
        <w:t xml:space="preserve">Захаріна, </w:t>
      </w:r>
      <w:r w:rsidR="006C0330" w:rsidRPr="00A33B18">
        <w:rPr>
          <w:lang w:val="uk-UA" w:eastAsia="ru-RU" w:bidi="ru-RU"/>
        </w:rPr>
        <w:t xml:space="preserve">Б. </w:t>
      </w:r>
      <w:r w:rsidR="006C0330" w:rsidRPr="00A33B18">
        <w:rPr>
          <w:lang w:val="uk-UA"/>
        </w:rPr>
        <w:t xml:space="preserve">Карпінського, </w:t>
      </w:r>
      <w:r w:rsidR="006C0330" w:rsidRPr="00A33B18">
        <w:rPr>
          <w:lang w:val="uk-UA" w:eastAsia="ru-RU" w:bidi="ru-RU"/>
        </w:rPr>
        <w:t xml:space="preserve">О. Кириленко, М. Крупки, </w:t>
      </w:r>
      <w:r w:rsidR="006C0330" w:rsidRPr="00A33B18">
        <w:rPr>
          <w:lang w:val="uk-UA"/>
        </w:rPr>
        <w:t xml:space="preserve">І. Луніної, </w:t>
      </w:r>
      <w:r w:rsidR="006C0330" w:rsidRPr="00A33B18">
        <w:rPr>
          <w:lang w:val="uk-UA" w:eastAsia="ru-RU" w:bidi="ru-RU"/>
        </w:rPr>
        <w:t xml:space="preserve">В. </w:t>
      </w:r>
      <w:r w:rsidR="006C0330" w:rsidRPr="00A33B18">
        <w:rPr>
          <w:lang w:val="uk-UA"/>
        </w:rPr>
        <w:t xml:space="preserve">Лєбєдєва, </w:t>
      </w:r>
      <w:r w:rsidR="006C0330" w:rsidRPr="00A33B18">
        <w:rPr>
          <w:lang w:val="uk-UA" w:eastAsia="ru-RU" w:bidi="ru-RU"/>
        </w:rPr>
        <w:t xml:space="preserve">Ю. Лупенка, В. Лютого, В. </w:t>
      </w:r>
      <w:r w:rsidR="006C0330" w:rsidRPr="00A33B18">
        <w:rPr>
          <w:lang w:val="uk-UA"/>
        </w:rPr>
        <w:t xml:space="preserve">Маргасової, </w:t>
      </w:r>
      <w:r w:rsidR="006C0330" w:rsidRPr="00A33B18">
        <w:rPr>
          <w:lang w:val="uk-UA" w:eastAsia="ru-RU" w:bidi="ru-RU"/>
        </w:rPr>
        <w:t xml:space="preserve">С. Михайленко, В. </w:t>
      </w:r>
      <w:r w:rsidR="006C0330" w:rsidRPr="00A33B18">
        <w:rPr>
          <w:lang w:val="uk-UA"/>
        </w:rPr>
        <w:t xml:space="preserve">Опаріна, </w:t>
      </w:r>
      <w:r w:rsidR="006C0330" w:rsidRPr="00A33B18">
        <w:rPr>
          <w:lang w:val="uk-UA" w:eastAsia="ru-RU" w:bidi="ru-RU"/>
        </w:rPr>
        <w:t xml:space="preserve">Ю. </w:t>
      </w:r>
      <w:r w:rsidR="006C0330" w:rsidRPr="00A33B18">
        <w:rPr>
          <w:lang w:val="uk-UA"/>
        </w:rPr>
        <w:t xml:space="preserve">Пасічника, </w:t>
      </w:r>
      <w:r w:rsidR="006C0330" w:rsidRPr="00A33B18">
        <w:rPr>
          <w:lang w:val="uk-UA" w:eastAsia="ru-RU" w:bidi="ru-RU"/>
        </w:rPr>
        <w:t xml:space="preserve">Т. </w:t>
      </w:r>
      <w:r w:rsidR="006C0330" w:rsidRPr="00A33B18">
        <w:rPr>
          <w:lang w:val="uk-UA"/>
        </w:rPr>
        <w:t xml:space="preserve">Паєнтко, </w:t>
      </w:r>
      <w:r w:rsidR="006C0330" w:rsidRPr="00A33B18">
        <w:rPr>
          <w:lang w:val="uk-UA" w:eastAsia="ru-RU" w:bidi="ru-RU"/>
        </w:rPr>
        <w:t>К. Павлюк</w:t>
      </w:r>
      <w:r w:rsidR="006C0330">
        <w:rPr>
          <w:lang w:val="uk-UA" w:eastAsia="ru-RU" w:bidi="ru-RU"/>
        </w:rPr>
        <w:t xml:space="preserve"> та ін..</w:t>
      </w:r>
    </w:p>
    <w:p w14:paraId="58661864" w14:textId="77777777" w:rsidR="00A33B18" w:rsidRPr="00A33B18" w:rsidRDefault="006C0330" w:rsidP="00A33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lang w:val="uk-UA"/>
        </w:rPr>
      </w:pPr>
      <w:r w:rsidRPr="00A33B18">
        <w:rPr>
          <w:rFonts w:ascii="Times New Roman" w:hAnsi="Times New Roman" w:cs="Times New Roman"/>
          <w:b/>
          <w:bCs/>
          <w:sz w:val="28"/>
          <w:szCs w:val="28"/>
          <w:lang w:val="uk-UA"/>
        </w:rPr>
        <w:t xml:space="preserve">Мета та завдання дослідження. </w:t>
      </w:r>
      <w:r w:rsidR="00A33B18" w:rsidRPr="00A33B18">
        <w:rPr>
          <w:rFonts w:ascii="Times New Roman" w:hAnsi="Times New Roman" w:cs="Times New Roman"/>
          <w:sz w:val="28"/>
          <w:szCs w:val="28"/>
          <w:lang w:val="uk-UA"/>
        </w:rPr>
        <w:t>Метою роботи є обґрунтування теоретико-методологічних засад та розробка науково-практичних рекомендацій щодо впливу місцевих бюджетів на темпи економічного зростання регіону.</w:t>
      </w:r>
    </w:p>
    <w:p w14:paraId="5FC29A61" w14:textId="77777777" w:rsidR="006C0330" w:rsidRPr="006C0330" w:rsidRDefault="006C0330" w:rsidP="006C0330">
      <w:pPr>
        <w:pStyle w:val="1"/>
        <w:spacing w:line="360" w:lineRule="auto"/>
        <w:ind w:firstLine="567"/>
        <w:jc w:val="both"/>
      </w:pPr>
      <w:r w:rsidRPr="006C0330">
        <w:t>Для досягнення цієї мети в роботі поставлено такі завдання:</w:t>
      </w:r>
    </w:p>
    <w:p w14:paraId="47A96436" w14:textId="77777777" w:rsidR="006C0330" w:rsidRPr="006C0330" w:rsidRDefault="006C0330" w:rsidP="006C0330">
      <w:pPr>
        <w:pStyle w:val="1"/>
        <w:numPr>
          <w:ilvl w:val="0"/>
          <w:numId w:val="1"/>
        </w:numPr>
        <w:tabs>
          <w:tab w:val="left" w:pos="989"/>
        </w:tabs>
        <w:spacing w:line="360" w:lineRule="auto"/>
        <w:ind w:firstLine="580"/>
        <w:jc w:val="both"/>
      </w:pPr>
      <w:r w:rsidRPr="006C0330">
        <w:t>узагальнити та розвинути теоретичне обґрунтування формування та виконання місцевих бюджетів як ресурсної основи розвитку територіальних утворень країни;</w:t>
      </w:r>
    </w:p>
    <w:p w14:paraId="487657D0" w14:textId="77777777" w:rsidR="006C0330" w:rsidRPr="006C0330" w:rsidRDefault="006C0330" w:rsidP="00EA67D8">
      <w:pPr>
        <w:pStyle w:val="1"/>
        <w:numPr>
          <w:ilvl w:val="0"/>
          <w:numId w:val="1"/>
        </w:numPr>
        <w:tabs>
          <w:tab w:val="left" w:pos="993"/>
        </w:tabs>
        <w:spacing w:line="360" w:lineRule="auto"/>
        <w:ind w:firstLine="620"/>
        <w:jc w:val="both"/>
      </w:pPr>
      <w:r w:rsidRPr="006C0330">
        <w:t>охарактеризувати стан та тенденції наповнення місцевих бюджетів України;</w:t>
      </w:r>
    </w:p>
    <w:p w14:paraId="7F13AB7D" w14:textId="77777777" w:rsidR="006C0330" w:rsidRPr="006C0330" w:rsidRDefault="006C0330" w:rsidP="006C0330">
      <w:pPr>
        <w:pStyle w:val="1"/>
        <w:numPr>
          <w:ilvl w:val="0"/>
          <w:numId w:val="1"/>
        </w:numPr>
        <w:tabs>
          <w:tab w:val="left" w:pos="989"/>
        </w:tabs>
        <w:spacing w:line="360" w:lineRule="auto"/>
        <w:ind w:firstLine="620"/>
        <w:jc w:val="both"/>
      </w:pPr>
      <w:r w:rsidRPr="006C0330">
        <w:t>ідентифікувати якісні зрушення у структурі видатків місцевих бюджетів та висвітлити їхній вплив на економічний розвиток територіальних утворень;</w:t>
      </w:r>
    </w:p>
    <w:p w14:paraId="30A6CDF3" w14:textId="77777777" w:rsidR="006C0330" w:rsidRPr="006C0330" w:rsidRDefault="006C0330" w:rsidP="00EA67D8">
      <w:pPr>
        <w:pStyle w:val="1"/>
        <w:numPr>
          <w:ilvl w:val="0"/>
          <w:numId w:val="1"/>
        </w:numPr>
        <w:tabs>
          <w:tab w:val="left" w:pos="993"/>
          <w:tab w:val="left" w:pos="4239"/>
          <w:tab w:val="left" w:pos="8031"/>
        </w:tabs>
        <w:spacing w:line="360" w:lineRule="auto"/>
        <w:ind w:firstLine="620"/>
        <w:jc w:val="both"/>
      </w:pPr>
      <w:r w:rsidRPr="006C0330">
        <w:t>узагальнити прак</w:t>
      </w:r>
      <w:r w:rsidR="00EA67D8">
        <w:t>тику</w:t>
      </w:r>
      <w:r w:rsidR="00EA67D8">
        <w:tab/>
        <w:t>організаційно-економічного</w:t>
      </w:r>
      <w:r w:rsidR="00EA67D8">
        <w:rPr>
          <w:lang w:val="uk-UA"/>
        </w:rPr>
        <w:t xml:space="preserve"> </w:t>
      </w:r>
      <w:r w:rsidRPr="006C0330">
        <w:t>забезпечення</w:t>
      </w:r>
    </w:p>
    <w:p w14:paraId="0A37C0B7" w14:textId="77777777" w:rsidR="006C0330" w:rsidRPr="006C0330" w:rsidRDefault="006C0330" w:rsidP="006C0330">
      <w:pPr>
        <w:pStyle w:val="1"/>
        <w:spacing w:line="360" w:lineRule="auto"/>
        <w:ind w:firstLine="0"/>
        <w:jc w:val="both"/>
      </w:pPr>
      <w:r w:rsidRPr="006C0330">
        <w:t>місцевих бюджетів у країнах Європейського Союзу;</w:t>
      </w:r>
    </w:p>
    <w:p w14:paraId="17E8F35E" w14:textId="77777777" w:rsidR="006C0330" w:rsidRPr="006C0330" w:rsidRDefault="006C0330" w:rsidP="006C0330">
      <w:pPr>
        <w:pStyle w:val="1"/>
        <w:numPr>
          <w:ilvl w:val="0"/>
          <w:numId w:val="1"/>
        </w:numPr>
        <w:tabs>
          <w:tab w:val="left" w:pos="989"/>
        </w:tabs>
        <w:spacing w:line="360" w:lineRule="auto"/>
        <w:ind w:firstLine="620"/>
        <w:jc w:val="both"/>
      </w:pPr>
      <w:r w:rsidRPr="006C0330">
        <w:t xml:space="preserve">виявити можливості зміцнення фінансової самостійності місцевих </w:t>
      </w:r>
      <w:r w:rsidRPr="006C0330">
        <w:lastRenderedPageBreak/>
        <w:t>бюджетів;</w:t>
      </w:r>
    </w:p>
    <w:p w14:paraId="5ECD0A2E" w14:textId="77777777" w:rsidR="006C0330" w:rsidRPr="006C0330" w:rsidRDefault="006C0330" w:rsidP="006C0330">
      <w:pPr>
        <w:pStyle w:val="1"/>
        <w:numPr>
          <w:ilvl w:val="0"/>
          <w:numId w:val="1"/>
        </w:numPr>
        <w:tabs>
          <w:tab w:val="left" w:pos="989"/>
        </w:tabs>
        <w:spacing w:line="360" w:lineRule="auto"/>
        <w:ind w:firstLine="620"/>
        <w:jc w:val="both"/>
      </w:pPr>
      <w:r w:rsidRPr="006C0330">
        <w:t>сформулювати пропозиції щодо раціоналізації процесу передачі фінансових повноважень місцевим громадам;</w:t>
      </w:r>
    </w:p>
    <w:p w14:paraId="7B0C66EA" w14:textId="77777777" w:rsidR="006C0330" w:rsidRPr="006C0330" w:rsidRDefault="006C0330" w:rsidP="006C0330">
      <w:pPr>
        <w:pStyle w:val="1"/>
        <w:numPr>
          <w:ilvl w:val="0"/>
          <w:numId w:val="1"/>
        </w:numPr>
        <w:tabs>
          <w:tab w:val="left" w:pos="989"/>
        </w:tabs>
        <w:spacing w:line="360" w:lineRule="auto"/>
        <w:ind w:firstLine="620"/>
        <w:jc w:val="both"/>
      </w:pPr>
      <w:r w:rsidRPr="006C0330">
        <w:t>обґрунтувати варіативність розвитку фінансової децентралізації та запропонувати напрями модернізації механізмів його забезпечення;</w:t>
      </w:r>
    </w:p>
    <w:p w14:paraId="25D527E7" w14:textId="77777777" w:rsidR="006C0330" w:rsidRPr="006C0330" w:rsidRDefault="006C0330" w:rsidP="006C0330">
      <w:pPr>
        <w:pStyle w:val="1"/>
        <w:numPr>
          <w:ilvl w:val="0"/>
          <w:numId w:val="1"/>
        </w:numPr>
        <w:tabs>
          <w:tab w:val="left" w:pos="989"/>
        </w:tabs>
        <w:spacing w:line="360" w:lineRule="auto"/>
        <w:ind w:firstLine="620"/>
        <w:jc w:val="both"/>
      </w:pPr>
      <w:r w:rsidRPr="006C0330">
        <w:t>визначити напрями зміцнення фінансової самостійності місцевих бюджетів в Україні;</w:t>
      </w:r>
    </w:p>
    <w:p w14:paraId="7D689D5C" w14:textId="77777777" w:rsidR="006C0330" w:rsidRPr="006C0330" w:rsidRDefault="006C0330" w:rsidP="006C0330">
      <w:pPr>
        <w:pStyle w:val="1"/>
        <w:numPr>
          <w:ilvl w:val="0"/>
          <w:numId w:val="1"/>
        </w:numPr>
        <w:tabs>
          <w:tab w:val="left" w:pos="989"/>
        </w:tabs>
        <w:spacing w:line="360" w:lineRule="auto"/>
        <w:ind w:firstLine="620"/>
        <w:jc w:val="both"/>
      </w:pPr>
      <w:r w:rsidRPr="006C0330">
        <w:t>розробити пропозиції з удосконалення методичних підходів до планування місцевих бюджетів в умовах фінансової децентралізації.</w:t>
      </w:r>
    </w:p>
    <w:p w14:paraId="3169C776" w14:textId="77777777" w:rsidR="006C0330" w:rsidRPr="006C0330" w:rsidRDefault="006C0330" w:rsidP="00EA67D8">
      <w:pPr>
        <w:pStyle w:val="1"/>
        <w:spacing w:line="360" w:lineRule="auto"/>
        <w:ind w:firstLine="567"/>
        <w:jc w:val="both"/>
      </w:pPr>
      <w:r w:rsidRPr="006C0330">
        <w:rPr>
          <w:i/>
          <w:iCs/>
        </w:rPr>
        <w:t>Об’єктом дослідження</w:t>
      </w:r>
      <w:r w:rsidRPr="006C0330">
        <w:t xml:space="preserve"> є фінансові відносини, які виникають у процесі формування та виконання місцевих бюджетів.</w:t>
      </w:r>
    </w:p>
    <w:p w14:paraId="4215C937" w14:textId="77777777" w:rsidR="006C0330" w:rsidRPr="006C0330" w:rsidRDefault="006C0330" w:rsidP="00EA67D8">
      <w:pPr>
        <w:pStyle w:val="1"/>
        <w:spacing w:line="360" w:lineRule="auto"/>
        <w:ind w:firstLine="567"/>
        <w:jc w:val="both"/>
      </w:pPr>
      <w:r w:rsidRPr="006C0330">
        <w:rPr>
          <w:i/>
          <w:iCs/>
        </w:rPr>
        <w:t>Предметом дослідження</w:t>
      </w:r>
      <w:r w:rsidRPr="006C0330">
        <w:t xml:space="preserve"> є теоретичні, методичні та практичні аспекти формування та виконання місцевих бюджетів в умовах фінансової децентралізації в Україні.</w:t>
      </w:r>
    </w:p>
    <w:p w14:paraId="58D52A88" w14:textId="77777777" w:rsidR="00A33B18" w:rsidRPr="00A33B18" w:rsidRDefault="006C0330" w:rsidP="00A33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6C0330">
        <w:rPr>
          <w:rFonts w:ascii="Times New Roman" w:hAnsi="Times New Roman" w:cs="Times New Roman"/>
          <w:b/>
          <w:bCs/>
          <w:sz w:val="28"/>
          <w:szCs w:val="28"/>
        </w:rPr>
        <w:t xml:space="preserve">Методи дослідження. </w:t>
      </w:r>
      <w:r w:rsidR="00A33B18" w:rsidRPr="00A33B18">
        <w:rPr>
          <w:rFonts w:ascii="Times New Roman" w:hAnsi="Times New Roman" w:cs="Times New Roman"/>
          <w:sz w:val="28"/>
          <w:szCs w:val="28"/>
        </w:rPr>
        <w:t>У даній роботі використано сукупність методів загальнонаукового та спеціального пізнання, заснованих на сучасних теоретико-методологічних методах, які можуть забезпечити концептуальну єдність дослідження, досягнення поставлених цілей, вирішення сформульованих завдань.</w:t>
      </w:r>
    </w:p>
    <w:p w14:paraId="04CD7E4C" w14:textId="77777777" w:rsidR="00A33B18" w:rsidRPr="00A33B18" w:rsidRDefault="00A33B18" w:rsidP="00A33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A33B18">
        <w:rPr>
          <w:rFonts w:ascii="Times New Roman" w:hAnsi="Times New Roman" w:cs="Times New Roman"/>
          <w:sz w:val="28"/>
          <w:szCs w:val="28"/>
        </w:rPr>
        <w:t>Теоретичною основою даного дослідження є основні праці фіскальної теорії, особливо локальної фіскальної теорії, та роботи вітчизняних і зарубіжних науковців щодо вирішення проблем формування та виконання місцевих бюджетів в умовах фіскальної децентралізації.</w:t>
      </w:r>
    </w:p>
    <w:p w14:paraId="5A72E9BF" w14:textId="77777777" w:rsidR="00A33B18" w:rsidRPr="00255BC9" w:rsidRDefault="00A33B18" w:rsidP="00255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lang w:val="uk-UA"/>
        </w:rPr>
      </w:pPr>
      <w:r w:rsidRPr="00A33B18">
        <w:rPr>
          <w:rFonts w:ascii="Times New Roman" w:hAnsi="Times New Roman" w:cs="Times New Roman"/>
          <w:sz w:val="28"/>
          <w:szCs w:val="28"/>
        </w:rPr>
        <w:t xml:space="preserve">Статистичною основою дослідження є законодавчий та нормативно-правовий акт, що регулює формування та розподіл коштів місцевих бюджетів, звітні матеріали Міністерства фінансів України, Міністерства розвитку громад та територій України, Міністерства економічного розвитку, торгівлі України. і економіки України, Інститут бухгалтерського обліку України, Державна інформація Мінфіну, Державної аудиторської служби України, Національної </w:t>
      </w:r>
      <w:r w:rsidRPr="00A33B18">
        <w:rPr>
          <w:rFonts w:ascii="Times New Roman" w:hAnsi="Times New Roman" w:cs="Times New Roman"/>
          <w:sz w:val="28"/>
          <w:szCs w:val="28"/>
        </w:rPr>
        <w:lastRenderedPageBreak/>
        <w:t>служби статистики України, монографії, збірники наукових праць, матеріали міжнародних науково-практичних конференцій. , Інтернет ресурси.</w:t>
      </w:r>
    </w:p>
    <w:p w14:paraId="057E30D0" w14:textId="77777777" w:rsidR="006C0330" w:rsidRPr="006C0330" w:rsidRDefault="006C0330" w:rsidP="006C0330">
      <w:pPr>
        <w:pStyle w:val="1"/>
        <w:spacing w:line="360" w:lineRule="auto"/>
        <w:ind w:firstLine="580"/>
        <w:jc w:val="both"/>
        <w:rPr>
          <w:lang w:val="uk-UA"/>
        </w:rPr>
      </w:pPr>
      <w:r w:rsidRPr="00A33B18">
        <w:rPr>
          <w:b/>
          <w:bCs/>
          <w:lang w:val="uk-UA"/>
        </w:rPr>
        <w:t xml:space="preserve">Практичне значення роботи </w:t>
      </w:r>
      <w:r w:rsidRPr="00A33B18">
        <w:rPr>
          <w:lang w:val="uk-UA"/>
        </w:rPr>
        <w:t>полягає в тому, що розроблені науково- методичні пропозиції та практичні рекомендації збагачують теорію і практику формування, розподілу та використання місцевих бюджетів та можуть бути застосовані в діяльності законодавчих і виконавчих органів державної влади й органів місцевого самоврядування при розробці та прийнятті управлінських рішень щодо розвитку та зміцнення місцевих бюджетів в Україні.</w:t>
      </w:r>
    </w:p>
    <w:p w14:paraId="552348AB" w14:textId="77777777" w:rsidR="006C0330" w:rsidRPr="006C0330" w:rsidRDefault="006C0330" w:rsidP="006C0330">
      <w:pPr>
        <w:pStyle w:val="1"/>
        <w:spacing w:line="360" w:lineRule="auto"/>
        <w:ind w:firstLine="580"/>
        <w:jc w:val="both"/>
        <w:rPr>
          <w:lang w:val="uk-UA"/>
        </w:rPr>
      </w:pPr>
      <w:r w:rsidRPr="006C0330">
        <w:rPr>
          <w:b/>
          <w:bCs/>
          <w:lang w:eastAsia="ru-RU" w:bidi="ru-RU"/>
        </w:rPr>
        <w:t xml:space="preserve">Структура та обсяг </w:t>
      </w:r>
      <w:r w:rsidRPr="006C0330">
        <w:rPr>
          <w:b/>
          <w:bCs/>
          <w:lang w:val="uk-UA"/>
        </w:rPr>
        <w:t>кваліфікаційного дослідження</w:t>
      </w:r>
      <w:r w:rsidRPr="006C0330">
        <w:rPr>
          <w:b/>
          <w:bCs/>
        </w:rPr>
        <w:t xml:space="preserve">. </w:t>
      </w:r>
      <w:r w:rsidRPr="006C0330">
        <w:rPr>
          <w:lang w:eastAsia="ru-RU" w:bidi="ru-RU"/>
        </w:rPr>
        <w:t xml:space="preserve">Робота </w:t>
      </w:r>
      <w:r w:rsidRPr="006C0330">
        <w:t xml:space="preserve">складається зі </w:t>
      </w:r>
      <w:r w:rsidRPr="006C0330">
        <w:rPr>
          <w:lang w:eastAsia="ru-RU" w:bidi="ru-RU"/>
        </w:rPr>
        <w:t xml:space="preserve">вступу, </w:t>
      </w:r>
      <w:r w:rsidRPr="006C0330">
        <w:rPr>
          <w:lang w:val="uk-UA" w:eastAsia="ru-RU" w:bidi="ru-RU"/>
        </w:rPr>
        <w:t>трьох</w:t>
      </w:r>
      <w:r w:rsidRPr="006C0330">
        <w:rPr>
          <w:lang w:eastAsia="ru-RU" w:bidi="ru-RU"/>
        </w:rPr>
        <w:t xml:space="preserve"> </w:t>
      </w:r>
      <w:r w:rsidRPr="006C0330">
        <w:t>розділів, висновків</w:t>
      </w:r>
      <w:r w:rsidRPr="006C0330">
        <w:rPr>
          <w:lang w:val="uk-UA"/>
        </w:rPr>
        <w:t xml:space="preserve"> та </w:t>
      </w:r>
      <w:r w:rsidRPr="006C0330">
        <w:rPr>
          <w:lang w:eastAsia="ru-RU" w:bidi="ru-RU"/>
        </w:rPr>
        <w:t>списку використаних джерел</w:t>
      </w:r>
      <w:r w:rsidRPr="006C0330">
        <w:t>.</w:t>
      </w:r>
    </w:p>
    <w:p w14:paraId="45A7AF4C" w14:textId="77777777" w:rsidR="006C0330" w:rsidRPr="006C0330" w:rsidRDefault="006C0330" w:rsidP="006C0330">
      <w:pPr>
        <w:pStyle w:val="1"/>
        <w:spacing w:line="233" w:lineRule="auto"/>
        <w:ind w:firstLine="580"/>
        <w:jc w:val="both"/>
        <w:rPr>
          <w:lang w:val="uk-UA"/>
        </w:rPr>
      </w:pPr>
    </w:p>
    <w:p w14:paraId="4CFCD505" w14:textId="77777777" w:rsidR="006C0330" w:rsidRPr="006C0330" w:rsidRDefault="006C0330" w:rsidP="006C03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1A84F590" w14:textId="77777777" w:rsidR="00E90485" w:rsidRDefault="00E90485"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79CD597E"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55EF4237"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56CC132B"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6E0834A1"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4BD806CA"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3989486D"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62AC5DA7"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0991CAA1"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391738BD"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4AE8719E"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525B94C3"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1E66D8EE"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6A9CDF00"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1F23FA37"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4242C315"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1642D1D3" w14:textId="77777777" w:rsidR="00255BC9" w:rsidRDefault="00255BC9"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1C785349" w14:textId="77777777" w:rsidR="00255BC9" w:rsidRDefault="00255BC9"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4F1FE3DF" w14:textId="77777777" w:rsidR="00255BC9" w:rsidRDefault="00255BC9"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1575BF60" w14:textId="77777777" w:rsidR="00255BC9" w:rsidRDefault="00255BC9"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613B85CA"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43886DE6"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63ECF063"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13CEEC05" w14:textId="77777777" w:rsidR="00C8148F" w:rsidRDefault="00C8148F" w:rsidP="000A74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04413E6E" w14:textId="77777777" w:rsidR="00C8148F" w:rsidRDefault="00C8148F" w:rsidP="00C8148F">
      <w:pPr>
        <w:pStyle w:val="1"/>
        <w:spacing w:line="276" w:lineRule="auto"/>
        <w:ind w:firstLine="0"/>
        <w:jc w:val="center"/>
        <w:rPr>
          <w:b/>
          <w:color w:val="000000"/>
          <w:lang w:val="uk-UA" w:eastAsia="uk-UA" w:bidi="uk-UA"/>
        </w:rPr>
      </w:pPr>
      <w:r w:rsidRPr="00BB2166">
        <w:rPr>
          <w:b/>
          <w:color w:val="000000"/>
          <w:lang w:val="uk-UA" w:eastAsia="uk-UA" w:bidi="uk-UA"/>
        </w:rPr>
        <w:t>РОЗДІЛ 1.</w:t>
      </w:r>
      <w:r w:rsidRPr="00BB2166">
        <w:rPr>
          <w:b/>
          <w:bCs/>
          <w:color w:val="000000"/>
          <w:lang w:val="uk-UA" w:eastAsia="uk-UA" w:bidi="uk-UA"/>
        </w:rPr>
        <w:t xml:space="preserve"> ТЕОРЕТИЧНІ  ЗАСАДИ РОЗВИТКУ</w:t>
      </w:r>
      <w:r w:rsidRPr="00BB2166">
        <w:rPr>
          <w:b/>
          <w:color w:val="000000"/>
          <w:lang w:val="uk-UA" w:eastAsia="uk-UA" w:bidi="uk-UA"/>
        </w:rPr>
        <w:t xml:space="preserve"> МІСЦЕВИХ БЮДЖЕТІВ</w:t>
      </w:r>
    </w:p>
    <w:p w14:paraId="5604C7CB" w14:textId="77777777" w:rsidR="00255BC9" w:rsidRPr="00BB2166" w:rsidRDefault="00255BC9" w:rsidP="00255BC9">
      <w:pPr>
        <w:pStyle w:val="1"/>
        <w:spacing w:line="276" w:lineRule="auto"/>
        <w:ind w:firstLine="0"/>
        <w:rPr>
          <w:b/>
          <w:color w:val="000000"/>
          <w:lang w:val="uk-UA" w:eastAsia="uk-UA" w:bidi="uk-UA"/>
        </w:rPr>
      </w:pPr>
    </w:p>
    <w:p w14:paraId="10719BAD" w14:textId="77777777" w:rsidR="00C8148F" w:rsidRDefault="00C8148F" w:rsidP="00C8148F">
      <w:pPr>
        <w:pStyle w:val="1"/>
        <w:spacing w:line="276" w:lineRule="auto"/>
        <w:ind w:firstLine="567"/>
        <w:jc w:val="both"/>
        <w:rPr>
          <w:b/>
          <w:color w:val="000000"/>
          <w:lang w:val="uk-UA" w:eastAsia="uk-UA" w:bidi="uk-UA"/>
        </w:rPr>
      </w:pPr>
      <w:r w:rsidRPr="00C8148F">
        <w:rPr>
          <w:b/>
          <w:color w:val="000000"/>
          <w:lang w:val="uk-UA" w:eastAsia="uk-UA" w:bidi="uk-UA"/>
        </w:rPr>
        <w:lastRenderedPageBreak/>
        <w:t>1.1.</w:t>
      </w:r>
      <w:r w:rsidRPr="00C8148F">
        <w:rPr>
          <w:b/>
        </w:rPr>
        <w:t xml:space="preserve"> </w:t>
      </w:r>
      <w:r w:rsidRPr="00C8148F">
        <w:rPr>
          <w:b/>
          <w:color w:val="000000"/>
          <w:lang w:val="uk-UA" w:eastAsia="uk-UA" w:bidi="uk-UA"/>
        </w:rPr>
        <w:t>Періодизація формування місцевих бюджетів в умовах розвитку місцевого самоврядування</w:t>
      </w:r>
    </w:p>
    <w:p w14:paraId="716E0905" w14:textId="77777777" w:rsidR="009C040D" w:rsidRDefault="009C040D" w:rsidP="00C8148F">
      <w:pPr>
        <w:pStyle w:val="1"/>
        <w:spacing w:line="276" w:lineRule="auto"/>
        <w:ind w:firstLine="567"/>
        <w:jc w:val="both"/>
        <w:rPr>
          <w:b/>
          <w:color w:val="000000"/>
          <w:lang w:val="uk-UA" w:eastAsia="uk-UA" w:bidi="uk-UA"/>
        </w:rPr>
      </w:pPr>
    </w:p>
    <w:p w14:paraId="255D0878" w14:textId="77777777" w:rsidR="00A33B18" w:rsidRPr="00A33B18" w:rsidRDefault="00A33B18" w:rsidP="00A33B18">
      <w:pPr>
        <w:pStyle w:val="1"/>
        <w:spacing w:line="360" w:lineRule="auto"/>
        <w:ind w:firstLine="567"/>
        <w:jc w:val="both"/>
        <w:rPr>
          <w:color w:val="000000"/>
          <w:lang w:val="uk-UA" w:eastAsia="ru-RU" w:bidi="ru-RU"/>
        </w:rPr>
      </w:pPr>
      <w:r w:rsidRPr="00A33B18">
        <w:rPr>
          <w:color w:val="000000"/>
          <w:lang w:val="uk-UA" w:eastAsia="ru-RU" w:bidi="ru-RU"/>
        </w:rPr>
        <w:t>Сьогодні Українська держава переживає період реформування та оновлення бюджетної системи України, що потребує дослідження та розуміння ролі державного та місцевих бюджетів у питаннях становлення державності. Реформування системи місцевого самоврядування та фіскальна децентралізація актуалізували питання розвитку місцевого самоврядування та місцевих бюджетів у процесі подальшого становлення та зміцнення української державності. Розглянемо цей процес з історичної точки зору.</w:t>
      </w:r>
    </w:p>
    <w:p w14:paraId="7D1A9C9C" w14:textId="77777777" w:rsidR="00A33B18" w:rsidRPr="00A33B18" w:rsidRDefault="00A33B18" w:rsidP="00A33B18">
      <w:pPr>
        <w:pStyle w:val="1"/>
        <w:spacing w:line="360" w:lineRule="auto"/>
        <w:ind w:firstLine="567"/>
        <w:jc w:val="both"/>
        <w:rPr>
          <w:color w:val="000000"/>
          <w:lang w:val="uk-UA" w:eastAsia="ru-RU" w:bidi="ru-RU"/>
        </w:rPr>
      </w:pPr>
      <w:r w:rsidRPr="00A33B18">
        <w:rPr>
          <w:color w:val="000000"/>
          <w:lang w:val="uk-UA" w:eastAsia="ru-RU" w:bidi="ru-RU"/>
        </w:rPr>
        <w:t>Становлення та розвиток системи бюджетних відносин на сьогоднішній день пов’язаний із засновницьким періодом, однак формування бюджету є обов’язковим елементом ефективної побудови фіскальних та управлінських відносин держави для забезпечення виконання суміжних функцій значно пізніше. . Це результат еволюції товарно-валютних відносин і формування механізмів господарювання, здійснення податкової та видаткової політики, захисту від зовнішнього втручання. Таким чином, формування бюджету стає передумовою функціонування держави як суб’єкта з максимальною концентрацією управлінських функцій і фінансових ресурсів.</w:t>
      </w:r>
    </w:p>
    <w:p w14:paraId="00F715A5" w14:textId="77777777" w:rsidR="00A33B18" w:rsidRPr="00A33B18" w:rsidRDefault="00A33B18" w:rsidP="00A33B18">
      <w:pPr>
        <w:pStyle w:val="1"/>
        <w:spacing w:line="360" w:lineRule="auto"/>
        <w:ind w:firstLine="567"/>
        <w:jc w:val="both"/>
        <w:rPr>
          <w:color w:val="000000"/>
          <w:lang w:eastAsia="ru-RU" w:bidi="ru-RU"/>
        </w:rPr>
      </w:pPr>
      <w:r w:rsidRPr="00A33B18">
        <w:rPr>
          <w:color w:val="000000"/>
          <w:lang w:eastAsia="ru-RU" w:bidi="ru-RU"/>
        </w:rPr>
        <w:t>Формування земського ладу почалося в ХІ-ХV ст., в епоху дрібних князівств та інших територіально-соціальних об'єднань. Історичний характер розвитку, становлення торговельних зв’язків з іншими територіальними утвореннями, розгортання господарської діяльності призводять до посилення ролі міських поселень як автономних адміністративно-територіальних одиниць, що мають можливість самостійного управління та</w:t>
      </w:r>
    </w:p>
    <w:p w14:paraId="22060FEB" w14:textId="77777777" w:rsidR="00A33B18" w:rsidRPr="00A33B18" w:rsidRDefault="00A33B18" w:rsidP="00A33B18">
      <w:pPr>
        <w:pStyle w:val="1"/>
        <w:spacing w:line="360" w:lineRule="auto"/>
        <w:ind w:firstLine="567"/>
        <w:jc w:val="both"/>
        <w:rPr>
          <w:color w:val="000000"/>
          <w:lang w:eastAsia="ru-RU" w:bidi="ru-RU"/>
        </w:rPr>
      </w:pPr>
      <w:r w:rsidRPr="00A33B18">
        <w:rPr>
          <w:color w:val="000000"/>
          <w:lang w:eastAsia="ru-RU" w:bidi="ru-RU"/>
        </w:rPr>
        <w:t xml:space="preserve">Впроваджувати на своїй території норми магдебурзького права. Термін «самоврядування» вперше був використаний під час Французької революції, маючи на увазі незалежність громади від держави, і був конкретизований і виділений в окрему категорію в середині XIX століття німецьким юристом Р. Гнейстом, щоб визначити врядування на місцевому рівні, можливість і право </w:t>
      </w:r>
      <w:r w:rsidRPr="00A33B18">
        <w:rPr>
          <w:color w:val="000000"/>
          <w:lang w:eastAsia="ru-RU" w:bidi="ru-RU"/>
        </w:rPr>
        <w:lastRenderedPageBreak/>
        <w:t>територіальної громади самостійно вирішувати власні проблеми [27].</w:t>
      </w:r>
    </w:p>
    <w:p w14:paraId="5D9D6DF5" w14:textId="77777777" w:rsidR="00A33B18" w:rsidRPr="00A33B18" w:rsidRDefault="00A33B18" w:rsidP="00A33B18">
      <w:pPr>
        <w:pStyle w:val="1"/>
        <w:spacing w:line="360" w:lineRule="auto"/>
        <w:ind w:firstLine="567"/>
        <w:jc w:val="both"/>
        <w:rPr>
          <w:color w:val="000000"/>
          <w:lang w:eastAsia="ru-RU" w:bidi="ru-RU"/>
        </w:rPr>
      </w:pPr>
      <w:r w:rsidRPr="00A33B18">
        <w:rPr>
          <w:color w:val="000000"/>
          <w:lang w:eastAsia="ru-RU" w:bidi="ru-RU"/>
        </w:rPr>
        <w:t>На території сучасної України земство розвинулося за часів існування Київської Русі (IX ст.), Галицько-Волинського князівства (X-XII ст.), продовжилось за часів козаччини, в Австро-Угорській імперії та Росії. імперія, УНР (у різних формах (Центральна Рада, Директорія, Емірат)). Проте, за сучасними уявленнями, місцеве самоврядування на території нашої країни отримало розвиток у ХІХ-ХХ ст. На рисунку 1 схематично представлено характеристику розвитку місцевого самоврядування. 1.1, з якого бачимо: Під час розвитку української території як колонії великої імперії розвиток місцевого самоврядування відбувався під впливом адміністративних традицій метрополії та чіткого контролю центру .</w:t>
      </w:r>
    </w:p>
    <w:p w14:paraId="7B902F32" w14:textId="77777777" w:rsidR="00A33B18" w:rsidRPr="00A33B18" w:rsidRDefault="00A33B18" w:rsidP="00A33B18">
      <w:pPr>
        <w:pStyle w:val="1"/>
        <w:spacing w:line="360" w:lineRule="auto"/>
        <w:ind w:firstLine="567"/>
        <w:jc w:val="both"/>
        <w:rPr>
          <w:color w:val="000000"/>
          <w:lang w:eastAsia="ru-RU" w:bidi="ru-RU"/>
        </w:rPr>
      </w:pPr>
      <w:r w:rsidRPr="00A33B18">
        <w:rPr>
          <w:color w:val="000000"/>
          <w:lang w:eastAsia="ru-RU" w:bidi="ru-RU"/>
        </w:rPr>
        <w:t>Певною мірою результатом розвитку місцевого самоврядування є формування місцевих бюджетів. В Україні їх поява пов’язана з комплексною реформою державного управління в Російській імперії, зокрема створенням земських органів у 1864 р., коли почалося формування земської влади.</w:t>
      </w:r>
    </w:p>
    <w:p w14:paraId="656F9BEE" w14:textId="77777777" w:rsidR="009C040D" w:rsidRPr="00255BC9" w:rsidRDefault="00A33B18" w:rsidP="00255BC9">
      <w:pPr>
        <w:pStyle w:val="1"/>
        <w:spacing w:line="360" w:lineRule="auto"/>
        <w:ind w:firstLine="567"/>
        <w:jc w:val="both"/>
        <w:rPr>
          <w:color w:val="000000"/>
          <w:lang w:eastAsia="ru-RU" w:bidi="ru-RU"/>
        </w:rPr>
      </w:pPr>
      <w:r w:rsidRPr="00A33B18">
        <w:rPr>
          <w:color w:val="000000"/>
          <w:lang w:eastAsia="ru-RU" w:bidi="ru-RU"/>
        </w:rPr>
        <w:t>Напочатку формування місцевого бюджету після прийняття земського уложення 1864 р. була зроблена спроба передати господарські справи земським відомствам, що означало утворення земського управління та певну децентралізацію.</w:t>
      </w:r>
      <w:r w:rsidR="00255BC9">
        <w:rPr>
          <w:color w:val="000000"/>
          <w:lang w:val="uk-UA" w:eastAsia="ru-RU" w:bidi="ru-RU"/>
        </w:rPr>
        <w:t xml:space="preserve"> </w:t>
      </w:r>
      <w:r w:rsidR="009C040D">
        <w:rPr>
          <w:color w:val="000000"/>
          <w:lang w:eastAsia="ru-RU" w:bidi="ru-RU"/>
        </w:rPr>
        <w:t xml:space="preserve">Основою </w:t>
      </w:r>
      <w:r w:rsidR="009C040D">
        <w:rPr>
          <w:color w:val="000000"/>
          <w:lang w:val="uk-UA" w:eastAsia="uk-UA" w:bidi="uk-UA"/>
        </w:rPr>
        <w:t xml:space="preserve">доходів місцевих бюджетів </w:t>
      </w:r>
      <w:r w:rsidR="009C040D">
        <w:rPr>
          <w:color w:val="000000"/>
          <w:lang w:eastAsia="ru-RU" w:bidi="ru-RU"/>
        </w:rPr>
        <w:t xml:space="preserve">на той час було майнове оподаткування. При цьому, податки </w:t>
      </w:r>
      <w:r w:rsidR="009C040D">
        <w:rPr>
          <w:color w:val="000000"/>
          <w:lang w:val="uk-UA" w:eastAsia="uk-UA" w:bidi="uk-UA"/>
        </w:rPr>
        <w:t xml:space="preserve">поділялися </w:t>
      </w:r>
      <w:r w:rsidR="009C040D">
        <w:rPr>
          <w:color w:val="000000"/>
          <w:lang w:eastAsia="ru-RU" w:bidi="ru-RU"/>
        </w:rPr>
        <w:t xml:space="preserve">на </w:t>
      </w:r>
      <w:r w:rsidR="009C040D">
        <w:rPr>
          <w:color w:val="000000"/>
          <w:lang w:val="uk-UA" w:eastAsia="uk-UA" w:bidi="uk-UA"/>
        </w:rPr>
        <w:t xml:space="preserve">окладні </w:t>
      </w:r>
      <w:r w:rsidR="009C040D">
        <w:rPr>
          <w:color w:val="000000"/>
          <w:lang w:eastAsia="ru-RU" w:bidi="ru-RU"/>
        </w:rPr>
        <w:t xml:space="preserve">та </w:t>
      </w:r>
      <w:r w:rsidR="009C040D">
        <w:rPr>
          <w:color w:val="000000"/>
          <w:lang w:val="uk-UA" w:eastAsia="uk-UA" w:bidi="uk-UA"/>
        </w:rPr>
        <w:t>неокладні.</w:t>
      </w:r>
    </w:p>
    <w:p w14:paraId="05BDE297" w14:textId="77777777" w:rsidR="009C040D" w:rsidRDefault="009C040D" w:rsidP="009C040D">
      <w:pPr>
        <w:pStyle w:val="1"/>
        <w:spacing w:line="360" w:lineRule="auto"/>
        <w:ind w:firstLine="567"/>
        <w:jc w:val="both"/>
      </w:pPr>
      <w:r>
        <w:rPr>
          <w:color w:val="000000"/>
          <w:lang w:eastAsia="ru-RU" w:bidi="ru-RU"/>
        </w:rPr>
        <w:t xml:space="preserve">Окладними податками були саме податки на нерухоме майно (землю, </w:t>
      </w:r>
      <w:r>
        <w:rPr>
          <w:color w:val="000000"/>
          <w:lang w:val="uk-UA" w:eastAsia="uk-UA" w:bidi="uk-UA"/>
        </w:rPr>
        <w:t xml:space="preserve">ліси, житлові </w:t>
      </w:r>
      <w:r>
        <w:rPr>
          <w:color w:val="000000"/>
          <w:lang w:eastAsia="ru-RU" w:bidi="ru-RU"/>
        </w:rPr>
        <w:t xml:space="preserve">споруди, </w:t>
      </w:r>
      <w:r>
        <w:rPr>
          <w:color w:val="000000"/>
          <w:lang w:val="uk-UA" w:eastAsia="uk-UA" w:bidi="uk-UA"/>
        </w:rPr>
        <w:t xml:space="preserve">нежитлові </w:t>
      </w:r>
      <w:r>
        <w:rPr>
          <w:color w:val="000000"/>
          <w:lang w:eastAsia="ru-RU" w:bidi="ru-RU"/>
        </w:rPr>
        <w:t xml:space="preserve">споруди, </w:t>
      </w:r>
      <w:r>
        <w:rPr>
          <w:color w:val="000000"/>
          <w:lang w:val="uk-UA" w:eastAsia="uk-UA" w:bidi="uk-UA"/>
        </w:rPr>
        <w:t xml:space="preserve">які </w:t>
      </w:r>
      <w:r>
        <w:rPr>
          <w:color w:val="000000"/>
          <w:lang w:eastAsia="ru-RU" w:bidi="ru-RU"/>
        </w:rPr>
        <w:t xml:space="preserve">використовувалися в </w:t>
      </w:r>
      <w:r>
        <w:rPr>
          <w:color w:val="000000"/>
          <w:lang w:val="uk-UA" w:eastAsia="uk-UA" w:bidi="uk-UA"/>
        </w:rPr>
        <w:t>процесі господарської діяльності).</w:t>
      </w:r>
    </w:p>
    <w:p w14:paraId="60AA6843" w14:textId="77777777" w:rsidR="00C8148F" w:rsidRPr="00C8148F" w:rsidRDefault="00C8148F" w:rsidP="00C8148F">
      <w:pPr>
        <w:pStyle w:val="1"/>
        <w:spacing w:line="276" w:lineRule="auto"/>
        <w:ind w:firstLine="0"/>
        <w:jc w:val="both"/>
        <w:rPr>
          <w:b/>
          <w:color w:val="000000"/>
          <w:lang w:val="uk-UA" w:eastAsia="uk-UA" w:bidi="uk-UA"/>
        </w:rPr>
      </w:pPr>
      <w:r w:rsidRPr="00C8148F">
        <w:rPr>
          <w:b/>
          <w:noProof/>
          <w:color w:val="000000"/>
          <w:lang w:val="uk-UA" w:eastAsia="uk-UA"/>
        </w:rPr>
        <w:lastRenderedPageBreak/>
        <w:drawing>
          <wp:inline distT="0" distB="0" distL="0" distR="0" wp14:anchorId="3D9B3BCB" wp14:editId="07519E43">
            <wp:extent cx="5940425" cy="7268800"/>
            <wp:effectExtent l="19050" t="0" r="3175" b="0"/>
            <wp:docPr id="2"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tretch/>
                  </pic:blipFill>
                  <pic:spPr>
                    <a:xfrm>
                      <a:off x="0" y="0"/>
                      <a:ext cx="5940425" cy="7268800"/>
                    </a:xfrm>
                    <a:prstGeom prst="rect">
                      <a:avLst/>
                    </a:prstGeom>
                  </pic:spPr>
                </pic:pic>
              </a:graphicData>
            </a:graphic>
          </wp:inline>
        </w:drawing>
      </w:r>
    </w:p>
    <w:p w14:paraId="046EAF08"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253D6D78"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409D6AD6"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72187033"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2E955A47" w14:textId="77777777" w:rsidR="009C040D" w:rsidRDefault="00C8148F" w:rsidP="00C8148F">
      <w:pPr>
        <w:pStyle w:val="a7"/>
        <w:spacing w:line="360" w:lineRule="auto"/>
        <w:ind w:firstLine="600"/>
        <w:rPr>
          <w:color w:val="000000"/>
          <w:lang w:val="uk-UA" w:eastAsia="uk-UA" w:bidi="uk-UA"/>
        </w:rPr>
      </w:pPr>
      <w:r>
        <w:rPr>
          <w:color w:val="000000"/>
          <w:lang w:eastAsia="ru-RU" w:bidi="ru-RU"/>
        </w:rPr>
        <w:t xml:space="preserve">Рис. 1.1. </w:t>
      </w:r>
      <w:r>
        <w:rPr>
          <w:color w:val="000000"/>
          <w:lang w:val="uk-UA" w:eastAsia="uk-UA" w:bidi="uk-UA"/>
        </w:rPr>
        <w:t xml:space="preserve">Періоди </w:t>
      </w:r>
      <w:r>
        <w:rPr>
          <w:color w:val="000000"/>
          <w:lang w:eastAsia="ru-RU" w:bidi="ru-RU"/>
        </w:rPr>
        <w:t xml:space="preserve">розвитку </w:t>
      </w:r>
      <w:r>
        <w:rPr>
          <w:color w:val="000000"/>
          <w:lang w:val="uk-UA" w:eastAsia="uk-UA" w:bidi="uk-UA"/>
        </w:rPr>
        <w:t xml:space="preserve">місцевого </w:t>
      </w:r>
      <w:r>
        <w:rPr>
          <w:color w:val="000000"/>
          <w:lang w:eastAsia="ru-RU" w:bidi="ru-RU"/>
        </w:rPr>
        <w:t xml:space="preserve">самоврядування в </w:t>
      </w:r>
      <w:r>
        <w:rPr>
          <w:color w:val="000000"/>
          <w:lang w:val="uk-UA" w:eastAsia="uk-UA" w:bidi="uk-UA"/>
        </w:rPr>
        <w:t>Україні</w:t>
      </w:r>
    </w:p>
    <w:p w14:paraId="32B5121D" w14:textId="77777777" w:rsidR="00C8148F" w:rsidRDefault="00C8148F" w:rsidP="00C8148F">
      <w:pPr>
        <w:pStyle w:val="a7"/>
        <w:spacing w:line="360" w:lineRule="auto"/>
        <w:ind w:firstLine="600"/>
        <w:rPr>
          <w:sz w:val="24"/>
          <w:szCs w:val="24"/>
        </w:rPr>
      </w:pPr>
      <w:r>
        <w:rPr>
          <w:color w:val="000000"/>
          <w:lang w:val="uk-UA" w:eastAsia="uk-UA" w:bidi="uk-UA"/>
        </w:rPr>
        <w:t xml:space="preserve"> </w:t>
      </w:r>
      <w:r>
        <w:rPr>
          <w:color w:val="000000"/>
          <w:sz w:val="24"/>
          <w:szCs w:val="24"/>
          <w:lang w:eastAsia="ru-RU" w:bidi="ru-RU"/>
        </w:rPr>
        <w:t xml:space="preserve">Джерело: складено на </w:t>
      </w:r>
      <w:r>
        <w:rPr>
          <w:color w:val="000000"/>
          <w:sz w:val="24"/>
          <w:szCs w:val="24"/>
          <w:lang w:val="uk-UA" w:eastAsia="uk-UA" w:bidi="uk-UA"/>
        </w:rPr>
        <w:t xml:space="preserve">основі </w:t>
      </w:r>
      <w:r w:rsidR="009C040D">
        <w:rPr>
          <w:color w:val="000000"/>
          <w:sz w:val="24"/>
          <w:szCs w:val="24"/>
          <w:lang w:eastAsia="ru-RU" w:bidi="ru-RU"/>
        </w:rPr>
        <w:t>[27</w:t>
      </w:r>
      <w:r>
        <w:rPr>
          <w:color w:val="000000"/>
          <w:sz w:val="24"/>
          <w:szCs w:val="24"/>
          <w:lang w:eastAsia="ru-RU" w:bidi="ru-RU"/>
        </w:rPr>
        <w:t>].</w:t>
      </w:r>
    </w:p>
    <w:p w14:paraId="67849E7A" w14:textId="77777777" w:rsidR="00C8148F" w:rsidRDefault="00C8148F" w:rsidP="00C814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65C09425" w14:textId="77777777" w:rsidR="00A33B18" w:rsidRPr="00A33B18" w:rsidRDefault="00A33B18" w:rsidP="00A33B18">
      <w:pPr>
        <w:pStyle w:val="1"/>
        <w:spacing w:line="360" w:lineRule="auto"/>
        <w:ind w:firstLine="567"/>
        <w:jc w:val="both"/>
        <w:rPr>
          <w:color w:val="000000"/>
          <w:lang w:eastAsia="ru-RU" w:bidi="ru-RU"/>
        </w:rPr>
      </w:pPr>
      <w:r w:rsidRPr="00A33B18">
        <w:rPr>
          <w:color w:val="000000"/>
          <w:lang w:eastAsia="ru-RU" w:bidi="ru-RU"/>
        </w:rPr>
        <w:t xml:space="preserve">Звільняються від податку доходи від користування земським нерухомим </w:t>
      </w:r>
      <w:r w:rsidRPr="00A33B18">
        <w:rPr>
          <w:color w:val="000000"/>
          <w:lang w:eastAsia="ru-RU" w:bidi="ru-RU"/>
        </w:rPr>
        <w:lastRenderedPageBreak/>
        <w:t>майном, судові зобов'язання, сплата процентів із земського капіталу, плата за видачу документів під час розгляду цивільних справ, користування закладами та послугами, що належать до власності місцевої. влади, користування місцевими дорогами та мостами, штрафи та відсотки тощо. При цьому особливо важливо, що земські кошти з моменту стягнення є власністю місцевої влади і не можуть перерозподілятися до державного бюджету.</w:t>
      </w:r>
    </w:p>
    <w:p w14:paraId="280049E0" w14:textId="77777777" w:rsidR="00A33B18" w:rsidRPr="00A33B18" w:rsidRDefault="00A33B18" w:rsidP="00A33B18">
      <w:pPr>
        <w:pStyle w:val="1"/>
        <w:spacing w:line="360" w:lineRule="auto"/>
        <w:ind w:firstLine="567"/>
        <w:jc w:val="both"/>
        <w:rPr>
          <w:color w:val="000000"/>
          <w:lang w:eastAsia="ru-RU" w:bidi="ru-RU"/>
        </w:rPr>
      </w:pPr>
      <w:r w:rsidRPr="00A33B18">
        <w:rPr>
          <w:color w:val="000000"/>
          <w:lang w:eastAsia="ru-RU" w:bidi="ru-RU"/>
        </w:rPr>
        <w:t>Щодо видаткової частини місцевого бюджету за аналізований період, то вона включає обов'язкові видатки та необов'язкові видатки. Реалізація перших полягає в тому, щоб забезпечити виконання державних функцій без коригування земськими органами (земські поштові станції, витрати на утримання кінних станцій, витрати на відрядження земських чиновників, витрати на поліцейські квартири), утримання місць покарання, витрати на утримання місць позбавлення волі, витрати на утримування кінних станцій, витрати на відрядження. дороги та утримання окремих споруд стратегічного значення тощо). Другий - видатки місцевого значення, які можуть регулюватися органами місцевого самоврядування (заходи охорони здоров'я, освітніх закладів, фінансування протипожежної охорони та ветеринарії, реалізація проектів розвитку телеграфно-телефонної мережі, заходи розвитку сільського господарства, страхування майна).</w:t>
      </w:r>
    </w:p>
    <w:p w14:paraId="2E1EE893" w14:textId="77777777" w:rsidR="00A33B18" w:rsidRPr="00255BC9" w:rsidRDefault="00A33B18" w:rsidP="00A33B18">
      <w:pPr>
        <w:pStyle w:val="1"/>
        <w:spacing w:line="360" w:lineRule="auto"/>
        <w:ind w:firstLine="567"/>
        <w:jc w:val="both"/>
        <w:rPr>
          <w:color w:val="000000"/>
          <w:lang w:val="uk-UA" w:eastAsia="ru-RU" w:bidi="ru-RU"/>
        </w:rPr>
      </w:pPr>
      <w:r w:rsidRPr="00A33B18">
        <w:rPr>
          <w:color w:val="000000"/>
          <w:lang w:eastAsia="ru-RU" w:bidi="ru-RU"/>
        </w:rPr>
        <w:t>Система місцевого самоврядування та місцеві бюджети базуються на характеристиках функціонування, сформованих особливостями їх розвитку, і існують проблеми нерівномірного розподілу фінансових ресурсів між центральною та місцевою владою, фінансових ресурсів, які не відповідають місцевим фінансовим ресурсам. Повноваження місцевих органів влади. Земства намагаються вирішити невідповідність фінансування та відповідальності шляхом забезпечення кредитних джерел у приватних установ і держави. Так, станом на січень 1902 і 1903 рр. усі земства мали борги: губернії — державі, повіти — губерніям [59]. Беручи до уваги те, що готується земський бюджет</w:t>
      </w:r>
      <w:r w:rsidR="00255BC9">
        <w:rPr>
          <w:color w:val="000000"/>
          <w:lang w:val="uk-UA" w:eastAsia="ru-RU" w:bidi="ru-RU"/>
        </w:rPr>
        <w:t>.</w:t>
      </w:r>
    </w:p>
    <w:p w14:paraId="72CD0CD7" w14:textId="77777777" w:rsidR="00A33B18" w:rsidRPr="00A33B18" w:rsidRDefault="00A33B18" w:rsidP="00A33B18">
      <w:pPr>
        <w:pStyle w:val="1"/>
        <w:spacing w:line="360" w:lineRule="auto"/>
        <w:ind w:firstLine="567"/>
        <w:jc w:val="both"/>
        <w:rPr>
          <w:color w:val="000000"/>
          <w:lang w:eastAsia="ru-RU" w:bidi="ru-RU"/>
        </w:rPr>
      </w:pPr>
      <w:r w:rsidRPr="00A33B18">
        <w:rPr>
          <w:color w:val="000000"/>
          <w:lang w:eastAsia="ru-RU" w:bidi="ru-RU"/>
        </w:rPr>
        <w:t xml:space="preserve">Оцінивши доходи та подальші видатки, можна чітко побачити проблему </w:t>
      </w:r>
      <w:r w:rsidRPr="00A33B18">
        <w:rPr>
          <w:color w:val="000000"/>
          <w:lang w:eastAsia="ru-RU" w:bidi="ru-RU"/>
        </w:rPr>
        <w:lastRenderedPageBreak/>
        <w:t>недостатності коштів на розвиток адміністративно-територіальних одиниць.</w:t>
      </w:r>
    </w:p>
    <w:p w14:paraId="3F729236" w14:textId="77777777" w:rsidR="00A33B18" w:rsidRPr="00A33B18" w:rsidRDefault="00A33B18" w:rsidP="00A33B18">
      <w:pPr>
        <w:pStyle w:val="1"/>
        <w:spacing w:line="360" w:lineRule="auto"/>
        <w:ind w:firstLine="567"/>
        <w:jc w:val="both"/>
        <w:rPr>
          <w:color w:val="000000"/>
          <w:lang w:eastAsia="ru-RU" w:bidi="ru-RU"/>
        </w:rPr>
      </w:pPr>
      <w:r w:rsidRPr="00A33B18">
        <w:rPr>
          <w:color w:val="000000"/>
          <w:lang w:eastAsia="ru-RU" w:bidi="ru-RU"/>
        </w:rPr>
        <w:t>Тим не менш, земство функціонувало з метою сприяння децентралізації, яка супроводжувалася прискоренням економічного і соціального зростання, розвитком підприємництва та сільського господарства, а також універсалізацією освіти та покращенням надання медичних послуг у регіоні. Слід зазначити, що це зростання особливо виражене в регіонах, віддалених від промислово розвинутих центрів [10].</w:t>
      </w:r>
    </w:p>
    <w:p w14:paraId="295FF012" w14:textId="77777777" w:rsidR="00A33B18" w:rsidRDefault="00A33B18" w:rsidP="00A33B18">
      <w:pPr>
        <w:pStyle w:val="1"/>
        <w:spacing w:line="360" w:lineRule="auto"/>
        <w:ind w:firstLine="567"/>
        <w:jc w:val="both"/>
        <w:rPr>
          <w:color w:val="000000"/>
          <w:lang w:eastAsia="ru-RU" w:bidi="ru-RU"/>
        </w:rPr>
      </w:pPr>
      <w:r w:rsidRPr="00A33B18">
        <w:rPr>
          <w:color w:val="000000"/>
          <w:lang w:eastAsia="ru-RU" w:bidi="ru-RU"/>
        </w:rPr>
        <w:t>З 1930 по 1931 рр. формування місцевої бюджетної системи головним чином зосереджувалося на організаційному оформленні сільських бюджетів і встановленні відповідних джерел доходу. Слід зазначити, що на той час 10% податку на некомерційну діяльність підприємств державного сектору належало до місцевого бюджету, а решта 90% перераховувалася до республіканського або, залежно від року, бюджету союзної республіки. Проте з 1935 року цей 100% податок зараховується до місцевих бюджетів. Це не єдиний випадок перенесення джерел надходжень повністю на місцевий рівень. Так, у цьому ж році до місцевого бюджету було передано податки з радгоспів у розмірі 1% від загального обсягу виробництва, який до 1935 р. розподілявся між державним бюджетом – 25% та місцевим – 75%. Зміни також торкаються одного з основних надходжень до місцевих бюджетів – сільськогосподарського податку. До 1935 року до сільського бюджету надходило 20 % доходів, до міського — 50 %, до районного — 30 %. З 1935 р. - 75% для місцевих бюджетів, 25% - для державних бюджетів. Крім того, для фермерів-одноосібників стягується додатковий податок – 25% податку надходить до місцевих бюджетів, 10% – до районного та обласного, 15% – до обласного. Крім того, до місцевого бюджету зараховуються такі державні податки: податок на прибуток акціонерних кооперативів місцевого значення, прибутковий податок з фізичних осіб, промисловий податок, державне мито, рибний збір, податок на дарування, плата за воду та інші податкові платежі.</w:t>
      </w:r>
    </w:p>
    <w:p w14:paraId="60899CD5"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 xml:space="preserve">З 1986 року розпочався наступний етап розвитку місцевих бюджетів у радянський період і, насамперед, новий етап національного розвитку, який </w:t>
      </w:r>
      <w:r w:rsidRPr="00A33B18">
        <w:rPr>
          <w:color w:val="000000"/>
          <w:lang w:val="uk-UA" w:eastAsia="uk-UA" w:bidi="uk-UA"/>
        </w:rPr>
        <w:lastRenderedPageBreak/>
        <w:t>характеризувався прискоренням економічного розвитку та новими повноваженнями комітетів. Цей період в історії розвитку СРСР запам'ятовується зародженням демократичної основи державного розвитку, розширенням прав і повноважень земських установ і формуванням нових типів.</w:t>
      </w:r>
    </w:p>
    <w:p w14:paraId="1A527D5C"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У цілому, щоб охарактеризувати наявність місцевого самоврядування та місцевої бюджетної системи на території України в радянські часи, варто</w:t>
      </w:r>
    </w:p>
    <w:p w14:paraId="699FEE10"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Виділіть такі основні тенденції та характеристики систем управління та фінансової підтримки на місцевому рівні того часу:</w:t>
      </w:r>
    </w:p>
    <w:p w14:paraId="377CCC21"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1. Розвиток земства в УСРР характеризувався «вмонтуванням» місцевих органів влади в систему державної влади та їх діяльністю за принципом «демократичного централізму», що означало формальну самостійність – державні органи з фактичною централізацією. державної влади [37]. Результатом цього аспекту розвитку інститутів самоврядування та їх фінансових ресурсів є те, що в діяльності місцевих органів влади інтереси «національного масштабу» надаються пріоритетом над інтересами адміністративно-територіальних утворень.</w:t>
      </w:r>
    </w:p>
    <w:p w14:paraId="49AFF28B"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2. Для розвитку місцевої бюджетної системи характерна її повна залежність від державної бюджетної політики та адміністративно-командної економіки. Як наслідок, формування місцевих бюджетів повністю залежить від забезпеченості державними фінансовими ресурсами. Про це яскраво свідчить зміна джерел формування доходів місцевих бюджетів та видаткової спроможності в міру зміни напрямків соціально-економічної політики та міжнародної ситуації. Забезпечення розвитку власних доходів місцевого бюджету не є пріоритетним напрямком формування місцевої бюджетної системи та поглиблення реформування.</w:t>
      </w:r>
    </w:p>
    <w:p w14:paraId="7DF88F31"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 xml:space="preserve">З 1991 року розпочався новий період в історії розвитку місцевих бюджетів на території сучасної України. Із здобуттям незалежності Україна почала формувати власну бюджетно-податкову систему та місцеве самоврядування. Хронологічно, хоча цей період триває до наших днів, його </w:t>
      </w:r>
      <w:r w:rsidRPr="00A33B18">
        <w:rPr>
          <w:color w:val="000000"/>
          <w:lang w:val="uk-UA" w:eastAsia="uk-UA" w:bidi="uk-UA"/>
        </w:rPr>
        <w:lastRenderedPageBreak/>
        <w:t>можна розділити на три фази:</w:t>
      </w:r>
    </w:p>
    <w:p w14:paraId="439A3CB1"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- 1991-2000 рр. - Становлення Української держави як самостійного державного утворення з власною бюджетною системою, а також системою державного управління та місцевого самоврядування, що характеризується формуванням державних інститутів та економічних систем,</w:t>
      </w:r>
    </w:p>
    <w:p w14:paraId="0F172FBD"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система адміністративно-територіального устрою, заснована на принципах і досвіді радянської доби;</w:t>
      </w:r>
    </w:p>
    <w:p w14:paraId="078F2C8C"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- 2001-2014 рр. - Спроби реформування системи місцевого самоврядування та місцевих бюджетів, прийняття Закону про бюджет України та інших важливих законів;</w:t>
      </w:r>
    </w:p>
    <w:p w14:paraId="1AACA3E5"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- 2014 - Майбутнє продовження - Здійснення земської реформи та децентралізації, реформа адміністративно-територіального устрою України, вибір проєвропейського механізму національного розвитку.</w:t>
      </w:r>
    </w:p>
    <w:p w14:paraId="6C184209"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На початку 1991-2000 рр. міжбюджетні відносини в незалежній Україні регулювалися Законом УРСР «Про бюджетну систему УРСР» від 5 грудня 1990 р. у зв’язку з тим, що умови повної централізації визначають, що ці «особливості» стосуються і бюджетної системи незалежної України. Відповідно до Закону бюджети районів, районів, міст, сіл і сіл віднесені до місцевих бюджетів.</w:t>
      </w:r>
    </w:p>
    <w:p w14:paraId="79AA35CC" w14:textId="77777777" w:rsid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Закон Української РСР «Про бюджетний устрій Української РСР» [24] був відредагований і оновлений у 1995 році відповідно до потреб та умов розвитку незалежної України. Внесені зміни є прикладом перш за все становлення незалежної держави, формування земських установ, бюджетів, податкової та фінансової систем. Відповідно до законодавчого акту бюджетна система України має такі структурні особливості – рис.1.2.</w:t>
      </w:r>
    </w:p>
    <w:p w14:paraId="11DECDEC" w14:textId="77777777" w:rsidR="00C8148F" w:rsidRDefault="00C8148F" w:rsidP="00A33B18">
      <w:pPr>
        <w:pStyle w:val="1"/>
        <w:spacing w:line="360" w:lineRule="auto"/>
        <w:ind w:firstLine="567"/>
        <w:jc w:val="both"/>
      </w:pPr>
      <w:r>
        <w:rPr>
          <w:color w:val="000000"/>
          <w:lang w:val="uk-UA" w:eastAsia="uk-UA" w:bidi="uk-UA"/>
        </w:rPr>
        <w:t xml:space="preserve">Бюджетна система України на той час включала три ланки: державний бюджет, бюджет Автономної Республіки Крим та місцеві бюджети. Ще однією особливістю бюджетної системи було включення бюджетів нижчого рівня до місцевих бюджетів вищого рівня. Будучи спадком розвитку бюджетної системи часів радянського періоду, така залежність місцевих бюджетів від </w:t>
      </w:r>
      <w:r>
        <w:rPr>
          <w:color w:val="000000"/>
          <w:lang w:val="uk-UA" w:eastAsia="uk-UA" w:bidi="uk-UA"/>
        </w:rPr>
        <w:lastRenderedPageBreak/>
        <w:t>інших бюджетів виключала можливість самостійного та повноцінного функціонування органів місцевого самоврядування. Окрім</w:t>
      </w:r>
    </w:p>
    <w:p w14:paraId="2B8E7F1F" w14:textId="77777777" w:rsidR="00C8148F" w:rsidRDefault="00C8148F" w:rsidP="009C040D">
      <w:pPr>
        <w:pStyle w:val="1"/>
        <w:spacing w:line="360" w:lineRule="auto"/>
        <w:ind w:firstLine="0"/>
        <w:jc w:val="both"/>
      </w:pPr>
      <w:r>
        <w:rPr>
          <w:color w:val="000000"/>
          <w:lang w:eastAsia="ru-RU" w:bidi="ru-RU"/>
        </w:rPr>
        <w:t xml:space="preserve">того, </w:t>
      </w:r>
      <w:r>
        <w:rPr>
          <w:color w:val="000000"/>
          <w:lang w:val="uk-UA" w:eastAsia="uk-UA" w:bidi="uk-UA"/>
        </w:rPr>
        <w:t xml:space="preserve">сільські </w:t>
      </w:r>
      <w:r>
        <w:rPr>
          <w:color w:val="000000"/>
          <w:lang w:eastAsia="ru-RU" w:bidi="ru-RU"/>
        </w:rPr>
        <w:t xml:space="preserve">та </w:t>
      </w:r>
      <w:r>
        <w:rPr>
          <w:color w:val="000000"/>
          <w:lang w:val="uk-UA" w:eastAsia="uk-UA" w:bidi="uk-UA"/>
        </w:rPr>
        <w:t xml:space="preserve">селищні </w:t>
      </w:r>
      <w:r>
        <w:rPr>
          <w:color w:val="000000"/>
          <w:lang w:eastAsia="ru-RU" w:bidi="ru-RU"/>
        </w:rPr>
        <w:t xml:space="preserve">бюджети формувалися </w:t>
      </w:r>
      <w:r>
        <w:rPr>
          <w:color w:val="000000"/>
          <w:lang w:val="uk-UA" w:eastAsia="uk-UA" w:bidi="uk-UA"/>
        </w:rPr>
        <w:t xml:space="preserve">відповідно </w:t>
      </w:r>
      <w:r>
        <w:rPr>
          <w:color w:val="000000"/>
          <w:lang w:eastAsia="ru-RU" w:bidi="ru-RU"/>
        </w:rPr>
        <w:t xml:space="preserve">до </w:t>
      </w:r>
      <w:r>
        <w:rPr>
          <w:color w:val="000000"/>
          <w:lang w:val="uk-UA" w:eastAsia="uk-UA" w:bidi="uk-UA"/>
        </w:rPr>
        <w:t xml:space="preserve">рішень районної </w:t>
      </w:r>
      <w:r>
        <w:rPr>
          <w:color w:val="000000"/>
          <w:lang w:eastAsia="ru-RU" w:bidi="ru-RU"/>
        </w:rPr>
        <w:t xml:space="preserve">чи </w:t>
      </w:r>
      <w:r>
        <w:rPr>
          <w:color w:val="000000"/>
          <w:lang w:val="uk-UA" w:eastAsia="uk-UA" w:bidi="uk-UA"/>
        </w:rPr>
        <w:t xml:space="preserve">міської </w:t>
      </w:r>
      <w:r>
        <w:rPr>
          <w:color w:val="000000"/>
          <w:lang w:eastAsia="ru-RU" w:bidi="ru-RU"/>
        </w:rPr>
        <w:t xml:space="preserve">ради </w:t>
      </w:r>
      <w:r>
        <w:rPr>
          <w:color w:val="000000"/>
          <w:lang w:val="uk-UA" w:eastAsia="uk-UA" w:bidi="uk-UA"/>
        </w:rPr>
        <w:t xml:space="preserve">відповідно </w:t>
      </w:r>
      <w:r>
        <w:rPr>
          <w:color w:val="000000"/>
          <w:lang w:eastAsia="ru-RU" w:bidi="ru-RU"/>
        </w:rPr>
        <w:t xml:space="preserve">до </w:t>
      </w:r>
      <w:r>
        <w:rPr>
          <w:color w:val="000000"/>
          <w:lang w:val="uk-UA" w:eastAsia="uk-UA" w:bidi="uk-UA"/>
        </w:rPr>
        <w:t xml:space="preserve">наявності фінансової </w:t>
      </w:r>
      <w:r>
        <w:rPr>
          <w:color w:val="000000"/>
          <w:lang w:eastAsia="ru-RU" w:bidi="ru-RU"/>
        </w:rPr>
        <w:t xml:space="preserve">бази для </w:t>
      </w:r>
      <w:r>
        <w:rPr>
          <w:color w:val="000000"/>
          <w:lang w:val="uk-UA" w:eastAsia="uk-UA" w:bidi="uk-UA"/>
        </w:rPr>
        <w:t xml:space="preserve">їх функціонування; </w:t>
      </w:r>
      <w:r>
        <w:rPr>
          <w:color w:val="000000"/>
          <w:lang w:eastAsia="ru-RU" w:bidi="ru-RU"/>
        </w:rPr>
        <w:t xml:space="preserve">районними </w:t>
      </w:r>
      <w:r>
        <w:rPr>
          <w:color w:val="000000"/>
          <w:lang w:val="uk-UA" w:eastAsia="uk-UA" w:bidi="uk-UA"/>
        </w:rPr>
        <w:t xml:space="preserve">і міськими </w:t>
      </w:r>
      <w:r>
        <w:rPr>
          <w:color w:val="000000"/>
          <w:lang w:eastAsia="ru-RU" w:bidi="ru-RU"/>
        </w:rPr>
        <w:t>радами також визначалися доходи</w:t>
      </w:r>
    </w:p>
    <w:p w14:paraId="14AF9E6F" w14:textId="77777777" w:rsidR="002008AC" w:rsidRDefault="002008AC" w:rsidP="009C040D">
      <w:pPr>
        <w:pStyle w:val="1"/>
        <w:spacing w:line="360" w:lineRule="auto"/>
        <w:ind w:firstLine="0"/>
        <w:jc w:val="both"/>
      </w:pPr>
      <w:r>
        <w:rPr>
          <w:color w:val="000000"/>
          <w:lang w:eastAsia="ru-RU" w:bidi="ru-RU"/>
        </w:rPr>
        <w:t xml:space="preserve">таких </w:t>
      </w:r>
      <w:r>
        <w:rPr>
          <w:color w:val="000000"/>
          <w:lang w:val="uk-UA" w:eastAsia="uk-UA" w:bidi="uk-UA"/>
        </w:rPr>
        <w:t>бюджетів.</w:t>
      </w:r>
    </w:p>
    <w:p w14:paraId="305DB775" w14:textId="77777777" w:rsidR="00C8148F" w:rsidRDefault="00C8148F" w:rsidP="002008AC">
      <w:pPr>
        <w:pStyle w:val="1"/>
        <w:ind w:firstLine="0"/>
        <w:jc w:val="center"/>
        <w:rPr>
          <w:lang w:val="uk-UA"/>
        </w:rPr>
      </w:pPr>
    </w:p>
    <w:p w14:paraId="1653C0A6" w14:textId="77777777" w:rsidR="002008AC" w:rsidRPr="009C040D" w:rsidRDefault="002008AC" w:rsidP="002008AC">
      <w:pPr>
        <w:pStyle w:val="a7"/>
        <w:spacing w:line="240" w:lineRule="auto"/>
        <w:jc w:val="center"/>
        <w:rPr>
          <w:b/>
        </w:rPr>
      </w:pPr>
      <w:r w:rsidRPr="009C040D">
        <w:rPr>
          <w:rFonts w:eastAsia="Bookman Old Style"/>
          <w:b/>
          <w:color w:val="000000"/>
          <w:lang w:val="uk-UA" w:eastAsia="uk-UA" w:bidi="uk-UA"/>
        </w:rPr>
        <w:t>Зведений бюджет</w:t>
      </w:r>
      <w:r w:rsidRPr="009C040D">
        <w:rPr>
          <w:rFonts w:eastAsia="Bookman Old Style"/>
          <w:b/>
          <w:color w:val="000000"/>
          <w:lang w:val="uk-UA" w:eastAsia="uk-UA" w:bidi="uk-UA"/>
        </w:rPr>
        <w:br/>
        <w:t>України</w:t>
      </w:r>
    </w:p>
    <w:p w14:paraId="26125C2D" w14:textId="77777777" w:rsidR="002008AC" w:rsidRPr="00C8148F" w:rsidRDefault="002008AC" w:rsidP="002008AC">
      <w:pPr>
        <w:pStyle w:val="1"/>
        <w:ind w:firstLine="0"/>
        <w:jc w:val="center"/>
        <w:rPr>
          <w:lang w:val="uk-UA"/>
        </w:rPr>
      </w:pPr>
    </w:p>
    <w:p w14:paraId="2966E2D8" w14:textId="77777777" w:rsidR="00C8148F" w:rsidRDefault="00C8148F" w:rsidP="00C814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6B1950A8" w14:textId="77777777" w:rsidR="00C8148F" w:rsidRDefault="002008AC"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r w:rsidRPr="002008AC">
        <w:rPr>
          <w:rFonts w:ascii="Times New Roman" w:eastAsia="Times New Roman" w:hAnsi="Times New Roman" w:cs="Times New Roman"/>
          <w:noProof/>
          <w:color w:val="000000"/>
          <w:sz w:val="28"/>
          <w:szCs w:val="28"/>
          <w:lang w:val="uk-UA" w:eastAsia="uk-UA"/>
        </w:rPr>
        <w:drawing>
          <wp:inline distT="0" distB="0" distL="0" distR="0" wp14:anchorId="613116B4" wp14:editId="3340D13B">
            <wp:extent cx="5940425" cy="2488903"/>
            <wp:effectExtent l="19050" t="0" r="3175"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tretch/>
                  </pic:blipFill>
                  <pic:spPr>
                    <a:xfrm>
                      <a:off x="0" y="0"/>
                      <a:ext cx="5940425" cy="2488903"/>
                    </a:xfrm>
                    <a:prstGeom prst="rect">
                      <a:avLst/>
                    </a:prstGeom>
                  </pic:spPr>
                </pic:pic>
              </a:graphicData>
            </a:graphic>
          </wp:inline>
        </w:drawing>
      </w:r>
    </w:p>
    <w:p w14:paraId="45383537" w14:textId="77777777" w:rsidR="002008AC" w:rsidRDefault="002008AC"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185E664F" w14:textId="77777777" w:rsidR="002008AC" w:rsidRDefault="00B00C6C" w:rsidP="002008AC">
      <w:pPr>
        <w:pStyle w:val="a7"/>
        <w:spacing w:line="360" w:lineRule="auto"/>
        <w:jc w:val="center"/>
        <w:rPr>
          <w:color w:val="000000"/>
          <w:lang w:val="uk-UA" w:eastAsia="uk-UA" w:bidi="uk-UA"/>
        </w:rPr>
      </w:pPr>
      <w:r>
        <w:rPr>
          <w:color w:val="000000"/>
          <w:lang w:val="uk-UA" w:eastAsia="uk-UA" w:bidi="uk-UA"/>
        </w:rPr>
        <w:t>Рис. 1.2</w:t>
      </w:r>
      <w:r w:rsidR="002008AC">
        <w:rPr>
          <w:color w:val="000000"/>
          <w:lang w:val="uk-UA" w:eastAsia="uk-UA" w:bidi="uk-UA"/>
        </w:rPr>
        <w:t>. Структура бюджетної системи України відповідно до Закону</w:t>
      </w:r>
      <w:r w:rsidR="002008AC">
        <w:rPr>
          <w:color w:val="000000"/>
          <w:lang w:val="uk-UA" w:eastAsia="uk-UA" w:bidi="uk-UA"/>
        </w:rPr>
        <w:br/>
        <w:t>України «Про внесення змін і доповнень до Закону Української РСР «Про</w:t>
      </w:r>
      <w:r w:rsidR="002008AC">
        <w:rPr>
          <w:color w:val="000000"/>
          <w:lang w:val="uk-UA" w:eastAsia="uk-UA" w:bidi="uk-UA"/>
        </w:rPr>
        <w:br/>
        <w:t>бюджетну систему Української РСР» від 29.06.1995 р.</w:t>
      </w:r>
    </w:p>
    <w:p w14:paraId="7887AAAE" w14:textId="77777777" w:rsidR="00255BC9" w:rsidRDefault="00255BC9" w:rsidP="002008AC">
      <w:pPr>
        <w:pStyle w:val="a7"/>
        <w:spacing w:line="360" w:lineRule="auto"/>
        <w:jc w:val="center"/>
      </w:pPr>
    </w:p>
    <w:p w14:paraId="07ABC814" w14:textId="77777777" w:rsidR="00A33B18" w:rsidRPr="00A33B18" w:rsidRDefault="00A33B18" w:rsidP="00255BC9">
      <w:pPr>
        <w:pStyle w:val="1"/>
        <w:tabs>
          <w:tab w:val="left" w:pos="788"/>
        </w:tabs>
        <w:spacing w:line="360" w:lineRule="auto"/>
        <w:jc w:val="both"/>
        <w:rPr>
          <w:color w:val="000000"/>
          <w:lang w:eastAsia="ru-RU" w:bidi="ru-RU"/>
        </w:rPr>
      </w:pPr>
      <w:r w:rsidRPr="00A33B18">
        <w:rPr>
          <w:color w:val="000000"/>
          <w:lang w:eastAsia="ru-RU" w:bidi="ru-RU"/>
        </w:rPr>
        <w:t>Особливої ​​уваги заслуговує те, що Україна стала членом Ради Європи в 1995 році, а наша держава підписала «Європейську хартію місцевого самоврядування» [12] в 1996 році, згідно з якою вона зобов’язалася створити систему місцевого самоврядування. . Фінансування відповідно до міжнародних норм прав</w:t>
      </w:r>
    </w:p>
    <w:p w14:paraId="64276C46" w14:textId="77777777" w:rsidR="00A33B18" w:rsidRPr="00A33B18" w:rsidRDefault="00A33B18" w:rsidP="00255BC9">
      <w:pPr>
        <w:pStyle w:val="1"/>
        <w:tabs>
          <w:tab w:val="left" w:pos="788"/>
        </w:tabs>
        <w:spacing w:line="360" w:lineRule="auto"/>
        <w:jc w:val="both"/>
        <w:rPr>
          <w:color w:val="000000"/>
          <w:lang w:eastAsia="ru-RU" w:bidi="ru-RU"/>
        </w:rPr>
      </w:pPr>
      <w:r w:rsidRPr="00A33B18">
        <w:rPr>
          <w:color w:val="000000"/>
          <w:lang w:eastAsia="ru-RU" w:bidi="ru-RU"/>
        </w:rPr>
        <w:t xml:space="preserve">Другий етап становлення самостійної української державної місцевої бюджетної системи розпочався з прийняттям 21 червня 2001 року Закону про бюджет України. Цей документ забезпечує систематизацію всіх аспектів </w:t>
      </w:r>
      <w:r w:rsidRPr="00A33B18">
        <w:rPr>
          <w:color w:val="000000"/>
          <w:lang w:eastAsia="ru-RU" w:bidi="ru-RU"/>
        </w:rPr>
        <w:lastRenderedPageBreak/>
        <w:t>розвитку та функціонування бюджетної системи, особливо місцевих бюджетів. Аналізуючи закон про бюджет України, осн</w:t>
      </w:r>
    </w:p>
    <w:p w14:paraId="57719E6F" w14:textId="77777777" w:rsidR="00A33B18" w:rsidRPr="00A33B18" w:rsidRDefault="00A33B18" w:rsidP="00255BC9">
      <w:pPr>
        <w:pStyle w:val="1"/>
        <w:tabs>
          <w:tab w:val="left" w:pos="788"/>
        </w:tabs>
        <w:spacing w:line="360" w:lineRule="auto"/>
        <w:jc w:val="both"/>
        <w:rPr>
          <w:color w:val="000000"/>
          <w:lang w:eastAsia="ru-RU" w:bidi="ru-RU"/>
        </w:rPr>
      </w:pPr>
      <w:r w:rsidRPr="00A33B18">
        <w:rPr>
          <w:color w:val="000000"/>
          <w:lang w:eastAsia="ru-RU" w:bidi="ru-RU"/>
        </w:rPr>
        <w:t>Мета функціонування місцевих бюджетів як інструменту забезпечення соціально-економічного розвитку адміністративно-територіальних одиниць та країни в цілому. Крім того, основним шляхом досягнення цієї мети є реформування місцевої фіскальної системи та бюджетних відносин для забезпечення самостійності та фіскальної спроможності місцевих бюджетів.</w:t>
      </w:r>
    </w:p>
    <w:p w14:paraId="3CD7DC78" w14:textId="77777777" w:rsidR="00A33B18" w:rsidRPr="00A33B18" w:rsidRDefault="00A33B18" w:rsidP="00255BC9">
      <w:pPr>
        <w:pStyle w:val="1"/>
        <w:tabs>
          <w:tab w:val="left" w:pos="788"/>
        </w:tabs>
        <w:spacing w:line="360" w:lineRule="auto"/>
        <w:jc w:val="both"/>
      </w:pPr>
      <w:r w:rsidRPr="00A33B18">
        <w:rPr>
          <w:color w:val="000000"/>
          <w:lang w:eastAsia="ru-RU" w:bidi="ru-RU"/>
        </w:rPr>
        <w:t xml:space="preserve">Прийняття ряду законодавчих та нормативно-правових актів, а саме: «Указу Президента України про затвердження Концепції», Закону України «Про стимулювання регіонального розвитку» від 25.05.2001[17], Закону України від 8.9.2005 « [24], Постанова КМУ «Про затвердження Національної стратегії регіонального розвитку на період до 2015 року» від 21 липня 2006 р. [12]. </w:t>
      </w:r>
    </w:p>
    <w:p w14:paraId="4031C0C2" w14:textId="77777777" w:rsidR="00A33B18" w:rsidRPr="00A33B18" w:rsidRDefault="00A33B18" w:rsidP="00A33B18">
      <w:pPr>
        <w:pStyle w:val="1"/>
        <w:tabs>
          <w:tab w:val="left" w:pos="788"/>
        </w:tabs>
        <w:spacing w:line="360" w:lineRule="auto"/>
        <w:ind w:firstLine="0"/>
        <w:jc w:val="both"/>
      </w:pPr>
      <w:r>
        <w:rPr>
          <w:color w:val="000000"/>
          <w:lang w:val="uk-UA" w:eastAsia="ru-RU" w:bidi="ru-RU"/>
        </w:rPr>
        <w:t xml:space="preserve">        </w:t>
      </w:r>
      <w:r w:rsidRPr="00A33B18">
        <w:rPr>
          <w:color w:val="000000"/>
          <w:lang w:eastAsia="ru-RU" w:bidi="ru-RU"/>
        </w:rPr>
        <w:t>Аналізуючи ці документи, можна виділити основні напрямки розвитку місцевих бюджетів і земських органів:</w:t>
      </w:r>
    </w:p>
    <w:p w14:paraId="4FBCB229" w14:textId="77777777" w:rsidR="002008AC" w:rsidRDefault="002008AC" w:rsidP="00A33B18">
      <w:pPr>
        <w:pStyle w:val="1"/>
        <w:numPr>
          <w:ilvl w:val="0"/>
          <w:numId w:val="4"/>
        </w:numPr>
        <w:tabs>
          <w:tab w:val="left" w:pos="788"/>
        </w:tabs>
        <w:spacing w:line="360" w:lineRule="auto"/>
        <w:ind w:firstLine="600"/>
        <w:jc w:val="both"/>
      </w:pPr>
      <w:r>
        <w:rPr>
          <w:color w:val="000000"/>
          <w:lang w:eastAsia="ru-RU" w:bidi="ru-RU"/>
        </w:rPr>
        <w:t xml:space="preserve">формування </w:t>
      </w:r>
      <w:r>
        <w:rPr>
          <w:color w:val="000000"/>
          <w:lang w:val="uk-UA" w:eastAsia="uk-UA" w:bidi="uk-UA"/>
        </w:rPr>
        <w:t xml:space="preserve">ефективної </w:t>
      </w:r>
      <w:r>
        <w:rPr>
          <w:color w:val="000000"/>
          <w:lang w:eastAsia="ru-RU" w:bidi="ru-RU"/>
        </w:rPr>
        <w:t xml:space="preserve">системи бюджетного планування та удосконалення системи </w:t>
      </w:r>
      <w:r>
        <w:rPr>
          <w:color w:val="000000"/>
          <w:lang w:val="uk-UA" w:eastAsia="uk-UA" w:bidi="uk-UA"/>
        </w:rPr>
        <w:t>фінансового вирівнювання;</w:t>
      </w:r>
    </w:p>
    <w:p w14:paraId="150BA703" w14:textId="77777777" w:rsidR="002008AC" w:rsidRDefault="002008AC" w:rsidP="00B00C6C">
      <w:pPr>
        <w:pStyle w:val="1"/>
        <w:numPr>
          <w:ilvl w:val="0"/>
          <w:numId w:val="4"/>
        </w:numPr>
        <w:tabs>
          <w:tab w:val="left" w:pos="793"/>
        </w:tabs>
        <w:spacing w:line="360" w:lineRule="auto"/>
        <w:ind w:firstLine="600"/>
        <w:jc w:val="both"/>
      </w:pPr>
      <w:r>
        <w:rPr>
          <w:color w:val="000000"/>
          <w:lang w:eastAsia="ru-RU" w:bidi="ru-RU"/>
        </w:rPr>
        <w:t xml:space="preserve">забезпечення розмежування повноважень на </w:t>
      </w:r>
      <w:r>
        <w:rPr>
          <w:color w:val="000000"/>
          <w:lang w:val="uk-UA" w:eastAsia="uk-UA" w:bidi="uk-UA"/>
        </w:rPr>
        <w:t xml:space="preserve">рівні органів місцевого </w:t>
      </w:r>
      <w:r>
        <w:rPr>
          <w:color w:val="000000"/>
          <w:lang w:eastAsia="ru-RU" w:bidi="ru-RU"/>
        </w:rPr>
        <w:t xml:space="preserve">самоврядування та </w:t>
      </w:r>
      <w:r>
        <w:rPr>
          <w:color w:val="000000"/>
          <w:lang w:val="uk-UA" w:eastAsia="uk-UA" w:bidi="uk-UA"/>
        </w:rPr>
        <w:t xml:space="preserve">органів виконавчої </w:t>
      </w:r>
      <w:r>
        <w:rPr>
          <w:color w:val="000000"/>
          <w:lang w:eastAsia="ru-RU" w:bidi="ru-RU"/>
        </w:rPr>
        <w:t xml:space="preserve">влади на </w:t>
      </w:r>
      <w:r>
        <w:rPr>
          <w:color w:val="000000"/>
          <w:lang w:val="uk-UA" w:eastAsia="uk-UA" w:bidi="uk-UA"/>
        </w:rPr>
        <w:t xml:space="preserve">місцях </w:t>
      </w:r>
      <w:r>
        <w:rPr>
          <w:color w:val="000000"/>
          <w:lang w:eastAsia="ru-RU" w:bidi="ru-RU"/>
        </w:rPr>
        <w:t xml:space="preserve">для </w:t>
      </w:r>
      <w:r>
        <w:rPr>
          <w:color w:val="000000"/>
          <w:lang w:val="uk-UA" w:eastAsia="uk-UA" w:bidi="uk-UA"/>
        </w:rPr>
        <w:t xml:space="preserve">їх ефективної </w:t>
      </w:r>
      <w:r>
        <w:rPr>
          <w:color w:val="000000"/>
          <w:lang w:eastAsia="ru-RU" w:bidi="ru-RU"/>
        </w:rPr>
        <w:t>роботи;</w:t>
      </w:r>
    </w:p>
    <w:p w14:paraId="7B12E8F1" w14:textId="77777777" w:rsidR="002008AC" w:rsidRDefault="002008AC" w:rsidP="00B00C6C">
      <w:pPr>
        <w:pStyle w:val="1"/>
        <w:numPr>
          <w:ilvl w:val="0"/>
          <w:numId w:val="4"/>
        </w:numPr>
        <w:tabs>
          <w:tab w:val="left" w:pos="788"/>
        </w:tabs>
        <w:spacing w:line="360" w:lineRule="auto"/>
        <w:ind w:firstLine="600"/>
        <w:jc w:val="both"/>
      </w:pPr>
      <w:r>
        <w:rPr>
          <w:color w:val="000000"/>
          <w:lang w:eastAsia="ru-RU" w:bidi="ru-RU"/>
        </w:rPr>
        <w:t xml:space="preserve">стимулювання </w:t>
      </w:r>
      <w:r>
        <w:rPr>
          <w:color w:val="000000"/>
          <w:lang w:val="uk-UA" w:eastAsia="uk-UA" w:bidi="uk-UA"/>
        </w:rPr>
        <w:t xml:space="preserve">органів місцевого </w:t>
      </w:r>
      <w:r>
        <w:rPr>
          <w:color w:val="000000"/>
          <w:lang w:eastAsia="ru-RU" w:bidi="ru-RU"/>
        </w:rPr>
        <w:t xml:space="preserve">самоврядування до пошуку додаткових джерел наповнення </w:t>
      </w:r>
      <w:r>
        <w:rPr>
          <w:color w:val="000000"/>
          <w:lang w:val="uk-UA" w:eastAsia="uk-UA" w:bidi="uk-UA"/>
        </w:rPr>
        <w:t xml:space="preserve">місцевих бюджетів </w:t>
      </w:r>
      <w:r>
        <w:rPr>
          <w:color w:val="000000"/>
          <w:lang w:eastAsia="ru-RU" w:bidi="ru-RU"/>
        </w:rPr>
        <w:t xml:space="preserve">та забезпечення </w:t>
      </w:r>
      <w:r>
        <w:rPr>
          <w:color w:val="000000"/>
          <w:lang w:val="uk-UA" w:eastAsia="uk-UA" w:bidi="uk-UA"/>
        </w:rPr>
        <w:t xml:space="preserve">фінансової самостійності адміністративно-територіальних </w:t>
      </w:r>
      <w:r>
        <w:rPr>
          <w:color w:val="000000"/>
          <w:lang w:eastAsia="ru-RU" w:bidi="ru-RU"/>
        </w:rPr>
        <w:t>одиниць;</w:t>
      </w:r>
    </w:p>
    <w:p w14:paraId="1F7F5100" w14:textId="77777777" w:rsidR="002008AC" w:rsidRDefault="002008AC" w:rsidP="00B00C6C">
      <w:pPr>
        <w:pStyle w:val="1"/>
        <w:numPr>
          <w:ilvl w:val="0"/>
          <w:numId w:val="4"/>
        </w:numPr>
        <w:tabs>
          <w:tab w:val="left" w:pos="783"/>
        </w:tabs>
        <w:spacing w:line="360" w:lineRule="auto"/>
        <w:ind w:firstLine="600"/>
        <w:jc w:val="both"/>
      </w:pPr>
      <w:r>
        <w:rPr>
          <w:color w:val="000000"/>
          <w:lang w:val="uk-UA" w:eastAsia="uk-UA" w:bidi="uk-UA"/>
        </w:rPr>
        <w:t xml:space="preserve">закріплення </w:t>
      </w:r>
      <w:r>
        <w:rPr>
          <w:color w:val="000000"/>
          <w:lang w:eastAsia="ru-RU" w:bidi="ru-RU"/>
        </w:rPr>
        <w:t xml:space="preserve">за </w:t>
      </w:r>
      <w:r>
        <w:rPr>
          <w:color w:val="000000"/>
          <w:lang w:val="uk-UA" w:eastAsia="uk-UA" w:bidi="uk-UA"/>
        </w:rPr>
        <w:t xml:space="preserve">місцевими </w:t>
      </w:r>
      <w:r>
        <w:rPr>
          <w:color w:val="000000"/>
          <w:lang w:eastAsia="ru-RU" w:bidi="ru-RU"/>
        </w:rPr>
        <w:t xml:space="preserve">бюджетами частки загальнодержавних </w:t>
      </w:r>
      <w:r>
        <w:rPr>
          <w:color w:val="000000"/>
          <w:lang w:val="uk-UA" w:eastAsia="uk-UA" w:bidi="uk-UA"/>
        </w:rPr>
        <w:t xml:space="preserve">податків </w:t>
      </w:r>
      <w:r>
        <w:rPr>
          <w:color w:val="000000"/>
          <w:lang w:eastAsia="ru-RU" w:bidi="ru-RU"/>
        </w:rPr>
        <w:t xml:space="preserve">та </w:t>
      </w:r>
      <w:r>
        <w:rPr>
          <w:color w:val="000000"/>
          <w:lang w:val="uk-UA" w:eastAsia="uk-UA" w:bidi="uk-UA"/>
        </w:rPr>
        <w:t xml:space="preserve">зборів і підняття </w:t>
      </w:r>
      <w:r>
        <w:rPr>
          <w:color w:val="000000"/>
          <w:lang w:eastAsia="ru-RU" w:bidi="ru-RU"/>
        </w:rPr>
        <w:t xml:space="preserve">ваги </w:t>
      </w:r>
      <w:r>
        <w:rPr>
          <w:color w:val="000000"/>
          <w:lang w:val="uk-UA" w:eastAsia="uk-UA" w:bidi="uk-UA"/>
        </w:rPr>
        <w:t xml:space="preserve">місцевих податків </w:t>
      </w:r>
      <w:r>
        <w:rPr>
          <w:color w:val="000000"/>
          <w:lang w:eastAsia="ru-RU" w:bidi="ru-RU"/>
        </w:rPr>
        <w:t xml:space="preserve">та </w:t>
      </w:r>
      <w:r>
        <w:rPr>
          <w:color w:val="000000"/>
          <w:lang w:val="uk-UA" w:eastAsia="uk-UA" w:bidi="uk-UA"/>
        </w:rPr>
        <w:t xml:space="preserve">зборів </w:t>
      </w:r>
      <w:r>
        <w:rPr>
          <w:color w:val="000000"/>
          <w:lang w:eastAsia="ru-RU" w:bidi="ru-RU"/>
        </w:rPr>
        <w:t xml:space="preserve">в доходах </w:t>
      </w:r>
      <w:r>
        <w:rPr>
          <w:color w:val="000000"/>
          <w:lang w:val="uk-UA" w:eastAsia="uk-UA" w:bidi="uk-UA"/>
        </w:rPr>
        <w:t>місцевих бюджетів;</w:t>
      </w:r>
    </w:p>
    <w:p w14:paraId="725332C1" w14:textId="77777777" w:rsidR="002008AC" w:rsidRDefault="002008AC" w:rsidP="00B00C6C">
      <w:pPr>
        <w:pStyle w:val="1"/>
        <w:numPr>
          <w:ilvl w:val="0"/>
          <w:numId w:val="4"/>
        </w:numPr>
        <w:tabs>
          <w:tab w:val="left" w:pos="793"/>
        </w:tabs>
        <w:spacing w:line="360" w:lineRule="auto"/>
        <w:ind w:firstLine="600"/>
        <w:jc w:val="both"/>
      </w:pPr>
      <w:r>
        <w:rPr>
          <w:color w:val="000000"/>
          <w:lang w:eastAsia="ru-RU" w:bidi="ru-RU"/>
        </w:rPr>
        <w:t xml:space="preserve">забезпечення доступу </w:t>
      </w:r>
      <w:r>
        <w:rPr>
          <w:color w:val="000000"/>
          <w:lang w:val="uk-UA" w:eastAsia="uk-UA" w:bidi="uk-UA"/>
        </w:rPr>
        <w:t xml:space="preserve">органів місцевого </w:t>
      </w:r>
      <w:r>
        <w:rPr>
          <w:color w:val="000000"/>
          <w:lang w:eastAsia="ru-RU" w:bidi="ru-RU"/>
        </w:rPr>
        <w:t xml:space="preserve">самоврядування до кредитних </w:t>
      </w:r>
      <w:r>
        <w:rPr>
          <w:color w:val="000000"/>
          <w:lang w:val="uk-UA" w:eastAsia="uk-UA" w:bidi="uk-UA"/>
        </w:rPr>
        <w:t xml:space="preserve">ресурсів </w:t>
      </w:r>
      <w:r>
        <w:rPr>
          <w:color w:val="000000"/>
          <w:lang w:eastAsia="ru-RU" w:bidi="ru-RU"/>
        </w:rPr>
        <w:t xml:space="preserve">на ринку </w:t>
      </w:r>
      <w:r>
        <w:rPr>
          <w:color w:val="000000"/>
          <w:lang w:val="uk-UA" w:eastAsia="uk-UA" w:bidi="uk-UA"/>
        </w:rPr>
        <w:t xml:space="preserve">фінансових </w:t>
      </w:r>
      <w:r>
        <w:rPr>
          <w:color w:val="000000"/>
          <w:lang w:eastAsia="ru-RU" w:bidi="ru-RU"/>
        </w:rPr>
        <w:t>запозичень.</w:t>
      </w:r>
    </w:p>
    <w:p w14:paraId="7CCF1A6F" w14:textId="77777777" w:rsidR="002008AC" w:rsidRDefault="002008AC" w:rsidP="00B00C6C">
      <w:pPr>
        <w:pStyle w:val="1"/>
        <w:spacing w:line="360" w:lineRule="auto"/>
        <w:ind w:firstLine="600"/>
        <w:jc w:val="both"/>
      </w:pPr>
      <w:r>
        <w:rPr>
          <w:color w:val="000000"/>
          <w:lang w:eastAsia="ru-RU" w:bidi="ru-RU"/>
        </w:rPr>
        <w:t xml:space="preserve">Ще </w:t>
      </w:r>
      <w:r>
        <w:rPr>
          <w:color w:val="000000"/>
          <w:lang w:val="uk-UA" w:eastAsia="uk-UA" w:bidi="uk-UA"/>
        </w:rPr>
        <w:t xml:space="preserve">однією </w:t>
      </w:r>
      <w:r>
        <w:rPr>
          <w:color w:val="000000"/>
          <w:lang w:eastAsia="ru-RU" w:bidi="ru-RU"/>
        </w:rPr>
        <w:t xml:space="preserve">важливою </w:t>
      </w:r>
      <w:r>
        <w:rPr>
          <w:color w:val="000000"/>
          <w:lang w:val="uk-UA" w:eastAsia="uk-UA" w:bidi="uk-UA"/>
        </w:rPr>
        <w:t xml:space="preserve">подією </w:t>
      </w:r>
      <w:r>
        <w:rPr>
          <w:color w:val="000000"/>
          <w:lang w:eastAsia="ru-RU" w:bidi="ru-RU"/>
        </w:rPr>
        <w:t xml:space="preserve">стало прийняття </w:t>
      </w:r>
      <w:r>
        <w:rPr>
          <w:color w:val="000000"/>
          <w:lang w:val="uk-UA" w:eastAsia="uk-UA" w:bidi="uk-UA"/>
        </w:rPr>
        <w:t xml:space="preserve">нової редакції </w:t>
      </w:r>
      <w:r>
        <w:rPr>
          <w:color w:val="000000"/>
          <w:lang w:eastAsia="ru-RU" w:bidi="ru-RU"/>
        </w:rPr>
        <w:t xml:space="preserve">Бюджетного кодексу </w:t>
      </w:r>
      <w:r>
        <w:rPr>
          <w:color w:val="000000"/>
          <w:lang w:val="uk-UA" w:eastAsia="uk-UA" w:bidi="uk-UA"/>
        </w:rPr>
        <w:t xml:space="preserve">України </w:t>
      </w:r>
      <w:r>
        <w:rPr>
          <w:color w:val="000000"/>
          <w:lang w:eastAsia="ru-RU" w:bidi="ru-RU"/>
        </w:rPr>
        <w:t xml:space="preserve">8 липня 2010 року [45] та 2 грудня 2010 року Податкового </w:t>
      </w:r>
      <w:r>
        <w:rPr>
          <w:color w:val="000000"/>
          <w:lang w:eastAsia="ru-RU" w:bidi="ru-RU"/>
        </w:rPr>
        <w:lastRenderedPageBreak/>
        <w:t xml:space="preserve">кодексу </w:t>
      </w:r>
      <w:r>
        <w:rPr>
          <w:color w:val="000000"/>
          <w:lang w:val="uk-UA" w:eastAsia="uk-UA" w:bidi="uk-UA"/>
        </w:rPr>
        <w:t xml:space="preserve">України </w:t>
      </w:r>
      <w:r w:rsidR="00B00C6C">
        <w:rPr>
          <w:color w:val="000000"/>
          <w:lang w:eastAsia="ru-RU" w:bidi="ru-RU"/>
        </w:rPr>
        <w:t>[1</w:t>
      </w:r>
      <w:r>
        <w:rPr>
          <w:color w:val="000000"/>
          <w:lang w:eastAsia="ru-RU" w:bidi="ru-RU"/>
        </w:rPr>
        <w:t xml:space="preserve">7]. </w:t>
      </w:r>
      <w:r>
        <w:rPr>
          <w:color w:val="000000"/>
          <w:lang w:val="uk-UA" w:eastAsia="uk-UA" w:bidi="uk-UA"/>
        </w:rPr>
        <w:t xml:space="preserve">Ці законодавчі </w:t>
      </w:r>
      <w:r>
        <w:rPr>
          <w:color w:val="000000"/>
          <w:lang w:eastAsia="ru-RU" w:bidi="ru-RU"/>
        </w:rPr>
        <w:t xml:space="preserve">акти було прийнято в рамках Програми </w:t>
      </w:r>
      <w:r>
        <w:rPr>
          <w:color w:val="000000"/>
          <w:lang w:val="uk-UA" w:eastAsia="uk-UA" w:bidi="uk-UA"/>
        </w:rPr>
        <w:t xml:space="preserve">економічних </w:t>
      </w:r>
      <w:r>
        <w:rPr>
          <w:color w:val="000000"/>
          <w:lang w:eastAsia="ru-RU" w:bidi="ru-RU"/>
        </w:rPr>
        <w:t xml:space="preserve">реформ на 2010-2014 роки «Заможне </w:t>
      </w:r>
      <w:r>
        <w:rPr>
          <w:color w:val="000000"/>
          <w:lang w:val="uk-UA" w:eastAsia="uk-UA" w:bidi="uk-UA"/>
        </w:rPr>
        <w:t xml:space="preserve">суспільство, </w:t>
      </w:r>
      <w:r>
        <w:rPr>
          <w:color w:val="000000"/>
          <w:lang w:eastAsia="ru-RU" w:bidi="ru-RU"/>
        </w:rPr>
        <w:t xml:space="preserve">конкурентоспроможна </w:t>
      </w:r>
      <w:r>
        <w:rPr>
          <w:color w:val="000000"/>
          <w:lang w:val="uk-UA" w:eastAsia="uk-UA" w:bidi="uk-UA"/>
        </w:rPr>
        <w:t xml:space="preserve">економіка, </w:t>
      </w:r>
      <w:r w:rsidR="00B00C6C">
        <w:rPr>
          <w:color w:val="000000"/>
          <w:lang w:eastAsia="ru-RU" w:bidi="ru-RU"/>
        </w:rPr>
        <w:t>ефективна держава» [1</w:t>
      </w:r>
      <w:r>
        <w:rPr>
          <w:color w:val="000000"/>
          <w:lang w:eastAsia="ru-RU" w:bidi="ru-RU"/>
        </w:rPr>
        <w:t xml:space="preserve">9]. Проте, </w:t>
      </w:r>
      <w:r>
        <w:rPr>
          <w:color w:val="000000"/>
          <w:lang w:val="uk-UA" w:eastAsia="uk-UA" w:bidi="uk-UA"/>
        </w:rPr>
        <w:t xml:space="preserve">і </w:t>
      </w:r>
      <w:r>
        <w:rPr>
          <w:color w:val="000000"/>
          <w:lang w:eastAsia="ru-RU" w:bidi="ru-RU"/>
        </w:rPr>
        <w:t xml:space="preserve">ця програма </w:t>
      </w:r>
      <w:r>
        <w:rPr>
          <w:color w:val="000000"/>
          <w:lang w:val="uk-UA" w:eastAsia="uk-UA" w:bidi="uk-UA"/>
        </w:rPr>
        <w:t xml:space="preserve">реалізованою </w:t>
      </w:r>
      <w:r>
        <w:rPr>
          <w:color w:val="000000"/>
          <w:lang w:eastAsia="ru-RU" w:bidi="ru-RU"/>
        </w:rPr>
        <w:t xml:space="preserve">не була, хоча передбачала </w:t>
      </w:r>
      <w:r>
        <w:rPr>
          <w:color w:val="000000"/>
          <w:lang w:val="uk-UA" w:eastAsia="uk-UA" w:bidi="uk-UA"/>
        </w:rPr>
        <w:t xml:space="preserve">такі </w:t>
      </w:r>
      <w:r>
        <w:rPr>
          <w:color w:val="000000"/>
          <w:lang w:eastAsia="ru-RU" w:bidi="ru-RU"/>
        </w:rPr>
        <w:t>кроки:</w:t>
      </w:r>
    </w:p>
    <w:p w14:paraId="30360C23" w14:textId="77777777" w:rsidR="002008AC" w:rsidRDefault="002008AC" w:rsidP="00B00C6C">
      <w:pPr>
        <w:pStyle w:val="1"/>
        <w:numPr>
          <w:ilvl w:val="0"/>
          <w:numId w:val="4"/>
        </w:numPr>
        <w:tabs>
          <w:tab w:val="left" w:pos="851"/>
        </w:tabs>
        <w:spacing w:line="360" w:lineRule="auto"/>
        <w:ind w:firstLine="600"/>
        <w:jc w:val="both"/>
      </w:pPr>
      <w:r>
        <w:rPr>
          <w:color w:val="000000"/>
          <w:lang w:eastAsia="ru-RU" w:bidi="ru-RU"/>
        </w:rPr>
        <w:t xml:space="preserve">забезпечення </w:t>
      </w:r>
      <w:r>
        <w:rPr>
          <w:color w:val="000000"/>
          <w:lang w:val="uk-UA" w:eastAsia="uk-UA" w:bidi="uk-UA"/>
        </w:rPr>
        <w:t>фінансової самостійності місцевих бюджетів;</w:t>
      </w:r>
    </w:p>
    <w:p w14:paraId="247C5F47" w14:textId="77777777" w:rsidR="002008AC" w:rsidRDefault="002008AC" w:rsidP="00B00C6C">
      <w:pPr>
        <w:pStyle w:val="1"/>
        <w:numPr>
          <w:ilvl w:val="0"/>
          <w:numId w:val="4"/>
        </w:numPr>
        <w:tabs>
          <w:tab w:val="left" w:pos="798"/>
        </w:tabs>
        <w:spacing w:line="360" w:lineRule="auto"/>
        <w:ind w:firstLine="600"/>
        <w:jc w:val="both"/>
      </w:pPr>
      <w:r>
        <w:rPr>
          <w:color w:val="000000"/>
          <w:lang w:eastAsia="ru-RU" w:bidi="ru-RU"/>
        </w:rPr>
        <w:t xml:space="preserve">забезпечення </w:t>
      </w:r>
      <w:r>
        <w:rPr>
          <w:color w:val="000000"/>
          <w:lang w:val="uk-UA" w:eastAsia="uk-UA" w:bidi="uk-UA"/>
        </w:rPr>
        <w:t xml:space="preserve">автономії </w:t>
      </w:r>
      <w:r>
        <w:rPr>
          <w:color w:val="000000"/>
          <w:lang w:eastAsia="ru-RU" w:bidi="ru-RU"/>
        </w:rPr>
        <w:t xml:space="preserve">видаткових повноважень </w:t>
      </w:r>
      <w:r>
        <w:rPr>
          <w:color w:val="000000"/>
          <w:lang w:val="uk-UA" w:eastAsia="uk-UA" w:bidi="uk-UA"/>
        </w:rPr>
        <w:t xml:space="preserve">органів місцевої </w:t>
      </w:r>
      <w:r>
        <w:rPr>
          <w:color w:val="000000"/>
          <w:lang w:eastAsia="ru-RU" w:bidi="ru-RU"/>
        </w:rPr>
        <w:t xml:space="preserve">влади та </w:t>
      </w:r>
      <w:r>
        <w:rPr>
          <w:color w:val="000000"/>
          <w:lang w:val="uk-UA" w:eastAsia="uk-UA" w:bidi="uk-UA"/>
        </w:rPr>
        <w:t xml:space="preserve">підвищення ефективності </w:t>
      </w:r>
      <w:r>
        <w:rPr>
          <w:color w:val="000000"/>
          <w:lang w:eastAsia="ru-RU" w:bidi="ru-RU"/>
        </w:rPr>
        <w:t xml:space="preserve">витрачання бюджетних </w:t>
      </w:r>
      <w:r>
        <w:rPr>
          <w:color w:val="000000"/>
          <w:lang w:val="uk-UA" w:eastAsia="uk-UA" w:bidi="uk-UA"/>
        </w:rPr>
        <w:t>ресурсів;</w:t>
      </w:r>
    </w:p>
    <w:p w14:paraId="525FE1FC" w14:textId="77777777" w:rsidR="002008AC" w:rsidRDefault="002008AC" w:rsidP="00B00C6C">
      <w:pPr>
        <w:pStyle w:val="1"/>
        <w:numPr>
          <w:ilvl w:val="0"/>
          <w:numId w:val="4"/>
        </w:numPr>
        <w:tabs>
          <w:tab w:val="left" w:pos="793"/>
        </w:tabs>
        <w:spacing w:line="360" w:lineRule="auto"/>
        <w:ind w:firstLine="600"/>
        <w:jc w:val="both"/>
      </w:pPr>
      <w:r>
        <w:rPr>
          <w:color w:val="000000"/>
          <w:lang w:val="uk-UA" w:eastAsia="uk-UA" w:bidi="uk-UA"/>
        </w:rPr>
        <w:t xml:space="preserve">оптимізація розподілу </w:t>
      </w:r>
      <w:r>
        <w:rPr>
          <w:color w:val="000000"/>
          <w:lang w:eastAsia="ru-RU" w:bidi="ru-RU"/>
        </w:rPr>
        <w:t xml:space="preserve">повноважень та </w:t>
      </w:r>
      <w:r>
        <w:rPr>
          <w:color w:val="000000"/>
          <w:lang w:val="uk-UA" w:eastAsia="uk-UA" w:bidi="uk-UA"/>
        </w:rPr>
        <w:t xml:space="preserve">функцій органів центральної </w:t>
      </w:r>
      <w:r>
        <w:rPr>
          <w:color w:val="000000"/>
          <w:lang w:eastAsia="ru-RU" w:bidi="ru-RU"/>
        </w:rPr>
        <w:t xml:space="preserve">влади та </w:t>
      </w:r>
      <w:r>
        <w:rPr>
          <w:color w:val="000000"/>
          <w:lang w:val="uk-UA" w:eastAsia="uk-UA" w:bidi="uk-UA"/>
        </w:rPr>
        <w:t xml:space="preserve">органів місцевого </w:t>
      </w:r>
      <w:r>
        <w:rPr>
          <w:color w:val="000000"/>
          <w:lang w:eastAsia="ru-RU" w:bidi="ru-RU"/>
        </w:rPr>
        <w:t>самоврядування;</w:t>
      </w:r>
    </w:p>
    <w:p w14:paraId="436D6D6B" w14:textId="77777777" w:rsidR="002008AC" w:rsidRDefault="002008AC" w:rsidP="00B00C6C">
      <w:pPr>
        <w:pStyle w:val="1"/>
        <w:numPr>
          <w:ilvl w:val="0"/>
          <w:numId w:val="4"/>
        </w:numPr>
        <w:tabs>
          <w:tab w:val="left" w:pos="788"/>
        </w:tabs>
        <w:spacing w:line="360" w:lineRule="auto"/>
        <w:ind w:firstLine="600"/>
        <w:jc w:val="both"/>
      </w:pPr>
      <w:r>
        <w:rPr>
          <w:color w:val="000000"/>
          <w:lang w:eastAsia="ru-RU" w:bidi="ru-RU"/>
        </w:rPr>
        <w:t xml:space="preserve">стимулювання надходжень </w:t>
      </w:r>
      <w:r>
        <w:rPr>
          <w:color w:val="000000"/>
          <w:lang w:val="uk-UA" w:eastAsia="uk-UA" w:bidi="uk-UA"/>
        </w:rPr>
        <w:t xml:space="preserve">інвестиційних ресурсів </w:t>
      </w:r>
      <w:r>
        <w:rPr>
          <w:color w:val="000000"/>
          <w:lang w:eastAsia="ru-RU" w:bidi="ru-RU"/>
        </w:rPr>
        <w:t xml:space="preserve">до </w:t>
      </w:r>
      <w:r>
        <w:rPr>
          <w:color w:val="000000"/>
          <w:lang w:val="uk-UA" w:eastAsia="uk-UA" w:bidi="uk-UA"/>
        </w:rPr>
        <w:t>місцевих бюджетів.</w:t>
      </w:r>
    </w:p>
    <w:p w14:paraId="580B78C9" w14:textId="77777777" w:rsidR="00A33B18" w:rsidRPr="00A33B18" w:rsidRDefault="00A33B18" w:rsidP="00A33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33B18">
        <w:rPr>
          <w:rFonts w:ascii="Times New Roman" w:eastAsia="Times New Roman" w:hAnsi="Times New Roman" w:cs="Times New Roman"/>
          <w:color w:val="000000"/>
          <w:sz w:val="28"/>
          <w:szCs w:val="28"/>
          <w:lang w:val="uk-UA" w:eastAsia="ru-RU"/>
        </w:rPr>
        <w:t>Окремої уваги заслуговує питання змін до закону про бюджет України на 2010 рік. У результаті розширено перелік основних джерел доходів бюджету розвитку, встановлено порядок застосування програмно-цільового методу на рівні місцевих бюджетів, визначено доходи місцевих бюджетів тощо.</w:t>
      </w:r>
    </w:p>
    <w:p w14:paraId="4B25ABD5" w14:textId="77777777" w:rsidR="00A33B18" w:rsidRPr="00A33B18" w:rsidRDefault="00A33B18" w:rsidP="00A33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r w:rsidRPr="00A33B18">
        <w:rPr>
          <w:rFonts w:ascii="Times New Roman" w:eastAsia="Times New Roman" w:hAnsi="Times New Roman" w:cs="Times New Roman"/>
          <w:color w:val="000000"/>
          <w:sz w:val="28"/>
          <w:szCs w:val="28"/>
          <w:lang w:val="uk-UA" w:eastAsia="ru-RU"/>
        </w:rPr>
        <w:t>Завершальний етап розробки місцевих бюджетів ще триває з 2014 року, коли у зв’язку з подіями Революції Гідності та підписанням</w:t>
      </w:r>
      <w:r w:rsidR="00255BC9">
        <w:rPr>
          <w:rFonts w:ascii="Times New Roman" w:eastAsia="Times New Roman" w:hAnsi="Times New Roman" w:cs="Times New Roman"/>
          <w:color w:val="000000"/>
          <w:sz w:val="28"/>
          <w:szCs w:val="28"/>
          <w:lang w:val="uk-UA" w:eastAsia="ru-RU"/>
        </w:rPr>
        <w:t xml:space="preserve"> </w:t>
      </w:r>
      <w:r w:rsidRPr="00A33B18">
        <w:rPr>
          <w:rFonts w:ascii="Times New Roman" w:eastAsia="Times New Roman" w:hAnsi="Times New Roman" w:cs="Times New Roman"/>
          <w:color w:val="000000"/>
          <w:sz w:val="28"/>
          <w:szCs w:val="28"/>
          <w:lang w:val="uk-UA" w:eastAsia="ru-RU"/>
        </w:rPr>
        <w:t>Угода про асоціацію з Європейським Союзом [28] взяла на себе процес реформування системи державного управління. Водночас основними напрямками реформ у сфері місцевого самоврядування є реформа децентралізації, реформа адміністративного поділу та податкова реформа. З огляду на те, що першим плодом реформи є формування спроможних територіальних громад, можна говорити про позитивну тенденцію реформи – реформа поступово впроваджується.</w:t>
      </w:r>
    </w:p>
    <w:p w14:paraId="7F3DEB08" w14:textId="77777777" w:rsidR="002008AC" w:rsidRDefault="00A33B18" w:rsidP="00A33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33B18">
        <w:rPr>
          <w:rFonts w:ascii="Times New Roman" w:eastAsia="Times New Roman" w:hAnsi="Times New Roman" w:cs="Times New Roman"/>
          <w:color w:val="000000"/>
          <w:sz w:val="28"/>
          <w:szCs w:val="28"/>
          <w:lang w:val="uk-UA" w:eastAsia="ru-RU"/>
        </w:rPr>
        <w:t xml:space="preserve">Підсумовуючи, можна відзначити наступне: У процесі розвитку державності на території сучасної України система місцевого самоврядування та місцевого бюджету формувалася відповідно до умов розвитку та традицій державотворення. Ті країни, до складу яких на той час входили українські землі. Зі становленням незалежної Української держави розвиток місцевого самоврядування та місцевих бюджетів продовжувався відповідно до досвіду </w:t>
      </w:r>
      <w:r w:rsidRPr="00A33B18">
        <w:rPr>
          <w:rFonts w:ascii="Times New Roman" w:eastAsia="Times New Roman" w:hAnsi="Times New Roman" w:cs="Times New Roman"/>
          <w:color w:val="000000"/>
          <w:sz w:val="28"/>
          <w:szCs w:val="28"/>
          <w:lang w:val="uk-UA" w:eastAsia="ru-RU"/>
        </w:rPr>
        <w:lastRenderedPageBreak/>
        <w:t>управління розвитком на місцевому рівні, набутого ще з радянських часів у системі виконавчо-командної економіки. Проте події 2014 року та підписання Угоди про асоціацію з Європейським Союзом сприяли формуванню нових напрямів розвитку державності, органів державного управління та місцевого самоврядування, які зараз поступово впроваджуються через реформи в усіх сферах. державного управління.</w:t>
      </w:r>
    </w:p>
    <w:p w14:paraId="056E9E40" w14:textId="77777777" w:rsidR="00A33B18" w:rsidRDefault="00A33B18" w:rsidP="00A33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7FB9B8F7" w14:textId="77777777" w:rsidR="00C8148F" w:rsidRPr="00B00C6C" w:rsidRDefault="002008AC" w:rsidP="00B00C6C">
      <w:pPr>
        <w:pStyle w:val="1"/>
        <w:spacing w:line="276" w:lineRule="auto"/>
        <w:ind w:firstLine="567"/>
        <w:jc w:val="both"/>
        <w:rPr>
          <w:b/>
          <w:color w:val="000000"/>
          <w:lang w:val="uk-UA" w:eastAsia="uk-UA" w:bidi="uk-UA"/>
        </w:rPr>
      </w:pPr>
      <w:r w:rsidRPr="002008AC">
        <w:rPr>
          <w:b/>
          <w:color w:val="000000"/>
          <w:lang w:val="uk-UA" w:eastAsia="uk-UA" w:bidi="uk-UA"/>
        </w:rPr>
        <w:t>1.2.</w:t>
      </w:r>
      <w:r w:rsidRPr="00A33B18">
        <w:rPr>
          <w:b/>
          <w:lang w:val="uk-UA"/>
        </w:rPr>
        <w:t xml:space="preserve"> Методологічні засади дослідження рівня бюджетної децентралізації регіонів</w:t>
      </w:r>
    </w:p>
    <w:p w14:paraId="12F9D305"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152120E4" w14:textId="77777777" w:rsidR="00A33B18" w:rsidRPr="00A33B18" w:rsidRDefault="00A33B18" w:rsidP="00A33B18">
      <w:pPr>
        <w:pStyle w:val="1"/>
        <w:spacing w:line="360" w:lineRule="auto"/>
        <w:ind w:firstLine="567"/>
        <w:jc w:val="both"/>
        <w:rPr>
          <w:color w:val="000000"/>
          <w:lang w:val="uk-UA" w:eastAsia="ru-RU" w:bidi="ru-RU"/>
        </w:rPr>
      </w:pPr>
      <w:r w:rsidRPr="00A33B18">
        <w:rPr>
          <w:color w:val="000000"/>
          <w:lang w:val="uk-UA" w:eastAsia="ru-RU" w:bidi="ru-RU"/>
        </w:rPr>
        <w:t>Виявлення та дослідження особливостей проблем розвитку місцевих бюджетів в Україні в попередньому розділі дозволило визначити їх роль як фактора забезпечення економічного розвитку території та соціальної захищеності населення.</w:t>
      </w:r>
    </w:p>
    <w:p w14:paraId="32F7758A" w14:textId="77777777" w:rsidR="00A33B18" w:rsidRPr="00A33B18" w:rsidRDefault="00A33B18" w:rsidP="00A33B18">
      <w:pPr>
        <w:pStyle w:val="1"/>
        <w:spacing w:line="360" w:lineRule="auto"/>
        <w:ind w:firstLine="567"/>
        <w:jc w:val="both"/>
        <w:rPr>
          <w:color w:val="000000"/>
          <w:lang w:val="uk-UA" w:eastAsia="ru-RU" w:bidi="ru-RU"/>
        </w:rPr>
      </w:pPr>
      <w:r w:rsidRPr="00A33B18">
        <w:rPr>
          <w:color w:val="000000"/>
          <w:lang w:val="uk-UA" w:eastAsia="ru-RU" w:bidi="ru-RU"/>
        </w:rPr>
        <w:t>За оцінками експертів та науковців, на неефективність місцевого бюджету у забезпеченні соціально-економічного розвитку Території впливають негативні фактори у сфері нормативно-правового регулювання, відсутність чіткого розподілу повноважень між рівнями. системи державного управління, висока концентрація фінансових ресурсів та місцевого бюджету. Джерело формування дохідної частини є нестабільним тощо. Саме для вирішення цих проблем в Україні відбувається реформування місцевого самоврядування в напрямку фіскальної та адміністративної децентралізації. Зазначені обставини зумовили необхідність об’єктивної оцінки процесів, що відбуваються у сфері державного управління та організації публічних фінансів, та розробки науково-обґрунтованого інструментарію оцінки рівня бюджетної децентралізації в Україні як передумови подолання проблеми забезпечення регіонального та соціально-економічного розвитку громад краю.</w:t>
      </w:r>
    </w:p>
    <w:p w14:paraId="5A64F723" w14:textId="77777777" w:rsidR="00A33B18" w:rsidRPr="00A33B18" w:rsidRDefault="00A33B18" w:rsidP="00A33B18">
      <w:pPr>
        <w:pStyle w:val="1"/>
        <w:spacing w:line="360" w:lineRule="auto"/>
        <w:ind w:firstLine="567"/>
        <w:jc w:val="both"/>
        <w:rPr>
          <w:color w:val="000000"/>
          <w:lang w:val="uk-UA" w:eastAsia="ru-RU" w:bidi="ru-RU"/>
        </w:rPr>
      </w:pPr>
      <w:r w:rsidRPr="00A33B18">
        <w:rPr>
          <w:color w:val="000000"/>
          <w:lang w:val="uk-UA" w:eastAsia="ru-RU" w:bidi="ru-RU"/>
        </w:rPr>
        <w:t xml:space="preserve">Критичний аналіз напрацювань науковців щодо визначення методів оцінки формування та виконання місцевих бюджетів та їх ролі в забезпеченні соціально-економічного розвитку територій дозволяє зосередити увагу на перевагах і здобутках, які можна отримати за допомогою цих методів. </w:t>
      </w:r>
      <w:r w:rsidRPr="00A33B18">
        <w:rPr>
          <w:color w:val="000000"/>
          <w:lang w:val="uk-UA" w:eastAsia="ru-RU" w:bidi="ru-RU"/>
        </w:rPr>
        <w:lastRenderedPageBreak/>
        <w:t>Наприклад, Н. В. Апатов запропонував модель оцінки ефективності місцевих бюджетів, яка базується на визначенні фіскальної результативності бюджету, соціально-економічної ефективності та визначенні рівня доходної збалансованості самого місцевого бюджету [10]. Тому фінансовий аналіз місцевого бюджету</w:t>
      </w:r>
    </w:p>
    <w:p w14:paraId="6E69E8E8" w14:textId="77777777" w:rsidR="00A33B18" w:rsidRPr="00A33B18" w:rsidRDefault="00A33B18" w:rsidP="00A33B18">
      <w:pPr>
        <w:pStyle w:val="1"/>
        <w:spacing w:line="360" w:lineRule="auto"/>
        <w:ind w:firstLine="567"/>
        <w:jc w:val="both"/>
        <w:rPr>
          <w:color w:val="000000"/>
          <w:lang w:val="uk-UA" w:eastAsia="ru-RU" w:bidi="ru-RU"/>
        </w:rPr>
      </w:pPr>
      <w:r w:rsidRPr="00A33B18">
        <w:rPr>
          <w:color w:val="000000"/>
          <w:lang w:val="uk-UA" w:eastAsia="ru-RU" w:bidi="ru-RU"/>
        </w:rPr>
        <w:t>Це включає пошук відповідей на питання про здатність території задовольняти потреби демографічного та соціально-економічного розвитку. Цього напряму дотримувався і І.М. Вахович та І.М. Камінський при визначенні зведеного показника фіскальної спроможності бюджету в основу розрахунку та аналізу покладено фіскальну достатність, ефективність та стабільність усіх суб’єктів господарювання регіону [56].</w:t>
      </w:r>
    </w:p>
    <w:p w14:paraId="7018FB66" w14:textId="77777777" w:rsidR="00A33B18" w:rsidRPr="00A33B18" w:rsidRDefault="00A33B18" w:rsidP="00A33B18">
      <w:pPr>
        <w:pStyle w:val="1"/>
        <w:spacing w:line="360" w:lineRule="auto"/>
        <w:ind w:firstLine="567"/>
        <w:jc w:val="both"/>
        <w:rPr>
          <w:color w:val="000000"/>
          <w:lang w:val="uk-UA" w:eastAsia="ru-RU" w:bidi="ru-RU"/>
        </w:rPr>
      </w:pPr>
      <w:r w:rsidRPr="00A33B18">
        <w:rPr>
          <w:color w:val="000000"/>
          <w:lang w:val="uk-UA" w:eastAsia="ru-RU" w:bidi="ru-RU"/>
        </w:rPr>
        <w:t>Окремої уваги заслуговує оцінка бюджетної децентралізації групою науковців під керівництвом І. Луніної [54], яка визначила деякі коефіцієнти для врахування змін показників місцевих бюджетів у контексті реформування комунального самоврядування та фіскальної децентралізації. : Коефіцієнт децентралізації видатків, модифікований коефіцієнт децентралізації видатків, коефіцієнт децентралізації доходів, коефіцієнт децентралізації податків, коефіцієнт фіскальної залежності. Також М. Кульчицький надав свою методику оцінки ефективності міжбюджетних відносин в економічній системі, яка базується на побудові багатофакторної моделі системної ефективності міжбюджетних відносин [51]. Зокрема, він пропонує систематизувати основні фактори впливу, що впливають на оцінку ефективності взаємовідносин між бюджетами в кожній групі: економічні, інституційні, соціальні та політичні.</w:t>
      </w:r>
    </w:p>
    <w:p w14:paraId="09716049" w14:textId="77777777" w:rsidR="00A33B18" w:rsidRDefault="00A33B18" w:rsidP="00A33B18">
      <w:pPr>
        <w:pStyle w:val="1"/>
        <w:spacing w:line="360" w:lineRule="auto"/>
        <w:ind w:firstLine="567"/>
        <w:jc w:val="both"/>
        <w:rPr>
          <w:color w:val="000000"/>
          <w:lang w:val="uk-UA" w:eastAsia="ru-RU" w:bidi="ru-RU"/>
        </w:rPr>
      </w:pPr>
      <w:r w:rsidRPr="00A33B18">
        <w:rPr>
          <w:color w:val="000000"/>
          <w:lang w:val="uk-UA" w:eastAsia="ru-RU" w:bidi="ru-RU"/>
        </w:rPr>
        <w:t>Отже, можна звернути увагу на те, що, незважаючи на досягнення в оцінці рівня бюджетної децентралізації та розвитку місцевих бюджетів, а запропоновані показники можуть бути певною мірою інформативними, проблема аналізу впливу децентралізації на місцеве самоврядування -державне управління як процес розвитку загального явища залишається невирішеним і вимагає єдиного підходу до нього.</w:t>
      </w:r>
    </w:p>
    <w:p w14:paraId="5D87771B"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 xml:space="preserve">Поняття «методологія» визначається як відповідна сукупність </w:t>
      </w:r>
      <w:r w:rsidRPr="00A33B18">
        <w:rPr>
          <w:color w:val="000000"/>
          <w:lang w:val="uk-UA" w:eastAsia="uk-UA" w:bidi="uk-UA"/>
        </w:rPr>
        <w:lastRenderedPageBreak/>
        <w:t>дослідницьких методів, що використовуються в певній науці; методи навчання пізнання і перетворення дійсності. Тому методику діагностики рівня бюджетної децентралізації в регіонах рекомендується розглянути з дефініційної точки зору.</w:t>
      </w:r>
    </w:p>
    <w:p w14:paraId="30F1358E" w14:textId="77777777" w:rsid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Комплекс дослідницьких прийомів і методологій для забезпечення ефективної оцінки впливу реформування української системи місцевого самоврядування та організації територіальних повноважень на розвиток місцевих бюджетів та фінансове забезпечення територіальних громад, а також дослідження наслідків такі зміни, причини низької спроможності органів місцевого самоврядування, ризик бюджетної децентралізації.</w:t>
      </w:r>
    </w:p>
    <w:p w14:paraId="30A04DE5" w14:textId="77777777" w:rsidR="007A2FCB" w:rsidRPr="00A33B18" w:rsidRDefault="007A2FCB" w:rsidP="00A33B18">
      <w:pPr>
        <w:pStyle w:val="1"/>
        <w:spacing w:line="360" w:lineRule="auto"/>
        <w:ind w:firstLine="567"/>
        <w:jc w:val="both"/>
        <w:rPr>
          <w:lang w:val="uk-UA"/>
        </w:rPr>
      </w:pPr>
      <w:r>
        <w:rPr>
          <w:color w:val="000000"/>
          <w:lang w:val="uk-UA" w:eastAsia="uk-UA" w:bidi="uk-UA"/>
        </w:rPr>
        <w:t xml:space="preserve">Методологія діагностики рівня бюджетної децентралізації регіону включає </w:t>
      </w:r>
      <w:r w:rsidRPr="00A33B18">
        <w:rPr>
          <w:color w:val="000000"/>
          <w:lang w:val="uk-UA" w:eastAsia="ru-RU" w:bidi="ru-RU"/>
        </w:rPr>
        <w:t>елементи:</w:t>
      </w:r>
    </w:p>
    <w:p w14:paraId="10D924B5" w14:textId="77777777" w:rsidR="007A2FCB" w:rsidRPr="00A33B18" w:rsidRDefault="007A2FCB" w:rsidP="00B00C6C">
      <w:pPr>
        <w:pStyle w:val="1"/>
        <w:numPr>
          <w:ilvl w:val="0"/>
          <w:numId w:val="5"/>
        </w:numPr>
        <w:tabs>
          <w:tab w:val="left" w:pos="1075"/>
        </w:tabs>
        <w:spacing w:line="360" w:lineRule="auto"/>
        <w:ind w:firstLine="567"/>
        <w:jc w:val="both"/>
        <w:rPr>
          <w:lang w:val="uk-UA"/>
        </w:rPr>
      </w:pPr>
      <w:r>
        <w:rPr>
          <w:color w:val="000000"/>
          <w:lang w:val="uk-UA" w:eastAsia="uk-UA" w:bidi="uk-UA"/>
        </w:rPr>
        <w:t>концепцію діагностики рівня бюджетної децентралізації регіону;</w:t>
      </w:r>
    </w:p>
    <w:p w14:paraId="7561F769" w14:textId="77777777" w:rsidR="007A2FCB" w:rsidRDefault="007A2FCB" w:rsidP="00B00C6C">
      <w:pPr>
        <w:pStyle w:val="1"/>
        <w:numPr>
          <w:ilvl w:val="0"/>
          <w:numId w:val="5"/>
        </w:numPr>
        <w:tabs>
          <w:tab w:val="left" w:pos="1075"/>
        </w:tabs>
        <w:spacing w:line="360" w:lineRule="auto"/>
        <w:ind w:firstLine="567"/>
        <w:jc w:val="both"/>
      </w:pPr>
      <w:r>
        <w:rPr>
          <w:color w:val="000000"/>
          <w:lang w:eastAsia="ru-RU" w:bidi="ru-RU"/>
        </w:rPr>
        <w:t xml:space="preserve">принципи </w:t>
      </w:r>
      <w:r>
        <w:rPr>
          <w:color w:val="000000"/>
          <w:lang w:val="uk-UA" w:eastAsia="uk-UA" w:bidi="uk-UA"/>
        </w:rPr>
        <w:t>діагностики рівня бюджетної децентралізації регіону;</w:t>
      </w:r>
    </w:p>
    <w:p w14:paraId="4A5D782C" w14:textId="77777777" w:rsidR="007A2FCB" w:rsidRDefault="007A2FCB" w:rsidP="00B00C6C">
      <w:pPr>
        <w:pStyle w:val="1"/>
        <w:numPr>
          <w:ilvl w:val="0"/>
          <w:numId w:val="5"/>
        </w:numPr>
        <w:tabs>
          <w:tab w:val="left" w:pos="1075"/>
        </w:tabs>
        <w:spacing w:line="360" w:lineRule="auto"/>
        <w:ind w:firstLine="567"/>
        <w:jc w:val="both"/>
      </w:pPr>
      <w:r>
        <w:rPr>
          <w:color w:val="000000"/>
          <w:lang w:eastAsia="ru-RU" w:bidi="ru-RU"/>
        </w:rPr>
        <w:t xml:space="preserve">методи </w:t>
      </w:r>
      <w:r>
        <w:rPr>
          <w:color w:val="000000"/>
          <w:lang w:val="uk-UA" w:eastAsia="uk-UA" w:bidi="uk-UA"/>
        </w:rPr>
        <w:t>діагностики рівня бюджетної децентралізації регіону;</w:t>
      </w:r>
    </w:p>
    <w:p w14:paraId="7ED801BA" w14:textId="77777777" w:rsidR="007A2FCB" w:rsidRDefault="007A2FCB" w:rsidP="00B00C6C">
      <w:pPr>
        <w:pStyle w:val="1"/>
        <w:numPr>
          <w:ilvl w:val="0"/>
          <w:numId w:val="5"/>
        </w:numPr>
        <w:tabs>
          <w:tab w:val="left" w:pos="1075"/>
        </w:tabs>
        <w:spacing w:line="360" w:lineRule="auto"/>
        <w:ind w:firstLine="567"/>
        <w:jc w:val="both"/>
      </w:pPr>
      <w:r>
        <w:rPr>
          <w:color w:val="000000"/>
          <w:lang w:eastAsia="ru-RU" w:bidi="ru-RU"/>
        </w:rPr>
        <w:t xml:space="preserve">напрями </w:t>
      </w:r>
      <w:r>
        <w:rPr>
          <w:color w:val="000000"/>
          <w:lang w:val="uk-UA" w:eastAsia="uk-UA" w:bidi="uk-UA"/>
        </w:rPr>
        <w:t>діагностики рівня бюджетної децентралізації регіону;</w:t>
      </w:r>
    </w:p>
    <w:p w14:paraId="3FC7434B" w14:textId="77777777" w:rsidR="007A2FCB" w:rsidRDefault="007A2FCB" w:rsidP="00B00C6C">
      <w:pPr>
        <w:pStyle w:val="1"/>
        <w:numPr>
          <w:ilvl w:val="0"/>
          <w:numId w:val="5"/>
        </w:numPr>
        <w:tabs>
          <w:tab w:val="left" w:pos="975"/>
        </w:tabs>
        <w:spacing w:line="360" w:lineRule="auto"/>
        <w:ind w:firstLine="567"/>
        <w:jc w:val="both"/>
      </w:pPr>
      <w:r>
        <w:rPr>
          <w:color w:val="000000"/>
          <w:lang w:val="uk-UA" w:eastAsia="uk-UA" w:bidi="uk-UA"/>
        </w:rPr>
        <w:t xml:space="preserve">методичні підходи </w:t>
      </w:r>
      <w:r>
        <w:rPr>
          <w:color w:val="000000"/>
          <w:lang w:eastAsia="ru-RU" w:bidi="ru-RU"/>
        </w:rPr>
        <w:t xml:space="preserve">та </w:t>
      </w:r>
      <w:r>
        <w:rPr>
          <w:color w:val="000000"/>
          <w:lang w:val="uk-UA" w:eastAsia="uk-UA" w:bidi="uk-UA"/>
        </w:rPr>
        <w:t>інструментарій діагностики рівня бюджетної децентралізації регіону.</w:t>
      </w:r>
    </w:p>
    <w:p w14:paraId="5A6D5E80"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Тому, пропонуючи методичну методику діагностики рівня регіональної бюджетної децентралізації, насамперед слід визначити зміст поняття «діагностика рівня регіональної бюджетної децентралізації».</w:t>
      </w:r>
    </w:p>
    <w:p w14:paraId="30CF2E91"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Нині в науковій літературі немає єдиного визначення поняття «діагноз». Якщо зупинитися на значенні самого слова «діагноз», то зазначимо, що в перекладі з грецької воно означає здатність щось розпізнавати. Тому вчені думають категоріями визначення статусу об’єкта діагностики, виявлення «вузьких місць» і відмінностей, які існують і чому вони виникають. Слід також зазначити, що діагностика включає цілий комплекс процедур, спрямованих на точне вивчення суб'єкта з метою виявлення та оцінки сильних і слабких сторін та усунення можливих ризиків.</w:t>
      </w:r>
    </w:p>
    <w:p w14:paraId="173A30E4" w14:textId="77777777" w:rsidR="00A33B18" w:rsidRPr="00A33B18" w:rsidRDefault="00A33B18" w:rsidP="00255BC9">
      <w:pPr>
        <w:pStyle w:val="1"/>
        <w:spacing w:line="360" w:lineRule="auto"/>
        <w:ind w:firstLine="567"/>
        <w:jc w:val="both"/>
        <w:rPr>
          <w:color w:val="000000"/>
          <w:lang w:val="uk-UA" w:eastAsia="uk-UA" w:bidi="uk-UA"/>
        </w:rPr>
      </w:pPr>
      <w:r w:rsidRPr="00A33B18">
        <w:rPr>
          <w:color w:val="000000"/>
          <w:lang w:val="uk-UA" w:eastAsia="uk-UA" w:bidi="uk-UA"/>
        </w:rPr>
        <w:t xml:space="preserve">За географічним рівнем охоплення визначення діагнозу об’єктом </w:t>
      </w:r>
      <w:r w:rsidRPr="00A33B18">
        <w:rPr>
          <w:color w:val="000000"/>
          <w:lang w:val="uk-UA" w:eastAsia="uk-UA" w:bidi="uk-UA"/>
        </w:rPr>
        <w:lastRenderedPageBreak/>
        <w:t>дослідження може бути як країна, область, місто, район, тобто будь-яка адміністративно-географічна одиниця, так і</w:t>
      </w:r>
      <w:r w:rsidR="00255BC9">
        <w:rPr>
          <w:color w:val="000000"/>
          <w:lang w:val="uk-UA" w:eastAsia="uk-UA" w:bidi="uk-UA"/>
        </w:rPr>
        <w:t xml:space="preserve"> т</w:t>
      </w:r>
      <w:r w:rsidRPr="00A33B18">
        <w:rPr>
          <w:color w:val="000000"/>
          <w:lang w:val="uk-UA" w:eastAsia="uk-UA" w:bidi="uk-UA"/>
        </w:rPr>
        <w:t>ериторіальні міжвиробничі комплекси в нашому дослідженні діагностуються як регіони як адміністративно-територіальні одиниці, в яких формується економічний потенціал держави, створюються умови для розвитку територіальних громад.</w:t>
      </w:r>
    </w:p>
    <w:p w14:paraId="2E7267DB"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Щодо спрямованості діагностики, то метою дослідження було визначити ступінь бюджетної децентралізації з кількох причин: по-перше, актуальність цього аналізу в контексті завершення першої черги земства. Визначення проміжних результатів і наслідків державних реформ і змін до бюджетного та податкового законодавства, оновлення адміністративно-регіональної організаційної системи та перерозподілу фінансових ресурсів і повноважень, по-друге, необхідність розуміння реальної ситуації у сфері державного управління та місцевого самоврядування. самоврядування, зрозуміти структуру дохідних і видаткових повноважень, фактичний ступінь децентралізації.</w:t>
      </w:r>
    </w:p>
    <w:p w14:paraId="76070BE8"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Поняття «регіональна діагностика» та «фінансова діагностика» є економічними поняттями, які формують розуміння сутності діагностики регіональної фінансової спроможності. Тому, досліджуючи діагностику фінансової спроможності регіону, ми будемо спиратися на визначення регіональної діагностики та фінансової діагностики та приділимо увагу розкриттю її змісту, щоб сформулювати методичні засади діагностики. фінансова спроможність регіону.</w:t>
      </w:r>
    </w:p>
    <w:p w14:paraId="0760AAD6" w14:textId="77777777" w:rsid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Тому під діагностикою рівня бюджетної децентралізації регіону слід розуміти аналітичне дослідження, яке складається з кількісної та якісної оцінки впливу змін децентралізації на бюджетне забезпечення регіону, спрямоване на виявлення тенденцій розвитку місцевого бюджету регіону. , влада Проблеми та переваги децентралізації та резерви покращення бюджетної спроможності регіону.</w:t>
      </w:r>
    </w:p>
    <w:p w14:paraId="2286886B" w14:textId="77777777" w:rsidR="007A2FCB" w:rsidRPr="00A33B18" w:rsidRDefault="007A2FCB" w:rsidP="00A33B18">
      <w:pPr>
        <w:pStyle w:val="1"/>
        <w:spacing w:line="360" w:lineRule="auto"/>
        <w:ind w:firstLine="567"/>
        <w:jc w:val="both"/>
        <w:rPr>
          <w:lang w:val="uk-UA"/>
        </w:rPr>
      </w:pPr>
      <w:r>
        <w:rPr>
          <w:color w:val="000000"/>
          <w:lang w:val="uk-UA" w:eastAsia="uk-UA" w:bidi="uk-UA"/>
        </w:rPr>
        <w:t xml:space="preserve">Для формування методики діагностики рівня бюджетної децентралізації регіонів на основі дослідження наукових праць в сфері визначення ефективних </w:t>
      </w:r>
      <w:r>
        <w:rPr>
          <w:color w:val="000000"/>
          <w:lang w:val="uk-UA" w:eastAsia="uk-UA" w:bidi="uk-UA"/>
        </w:rPr>
        <w:lastRenderedPageBreak/>
        <w:t>методик оцінювання розвитку місцевих бюджетів, визначено, що доцільним є використання таких підходів:</w:t>
      </w:r>
    </w:p>
    <w:p w14:paraId="1E2C3EF3" w14:textId="77777777" w:rsidR="007A2FCB" w:rsidRPr="00A33B18" w:rsidRDefault="007A2FCB" w:rsidP="00B00C6C">
      <w:pPr>
        <w:pStyle w:val="1"/>
        <w:numPr>
          <w:ilvl w:val="0"/>
          <w:numId w:val="5"/>
        </w:numPr>
        <w:tabs>
          <w:tab w:val="left" w:pos="966"/>
        </w:tabs>
        <w:spacing w:line="360" w:lineRule="auto"/>
        <w:ind w:firstLine="567"/>
        <w:jc w:val="both"/>
        <w:rPr>
          <w:lang w:val="uk-UA"/>
        </w:rPr>
      </w:pPr>
      <w:r>
        <w:rPr>
          <w:color w:val="000000"/>
          <w:lang w:val="uk-UA" w:eastAsia="uk-UA" w:bidi="uk-UA"/>
        </w:rPr>
        <w:t>по-перше, оцінювання рівня бюджетної децентралізації за доходами та видатками має охоплювати індикатори збалансованості бюджетних можливостей і потреб регіону; відтак доцільним є використання не лише абсолютних, а і відносних величин, що дозволить охарактеризувати і обсяги фінансових ресурсів в складі місцевих бюджетів, і співвідношення показників з іншими макроекономічними показниками;</w:t>
      </w:r>
    </w:p>
    <w:p w14:paraId="2277AE18" w14:textId="77777777" w:rsidR="007A2FCB" w:rsidRDefault="007A2FCB" w:rsidP="00B00C6C">
      <w:pPr>
        <w:pStyle w:val="1"/>
        <w:numPr>
          <w:ilvl w:val="0"/>
          <w:numId w:val="5"/>
        </w:numPr>
        <w:tabs>
          <w:tab w:val="left" w:pos="992"/>
        </w:tabs>
        <w:spacing w:line="360" w:lineRule="auto"/>
        <w:ind w:firstLine="567"/>
        <w:jc w:val="both"/>
      </w:pPr>
      <w:r>
        <w:rPr>
          <w:color w:val="000000"/>
          <w:lang w:eastAsia="ru-RU" w:bidi="ru-RU"/>
        </w:rPr>
        <w:t xml:space="preserve">по-друге, </w:t>
      </w:r>
      <w:r>
        <w:rPr>
          <w:color w:val="000000"/>
          <w:lang w:val="uk-UA" w:eastAsia="uk-UA" w:bidi="uk-UA"/>
        </w:rPr>
        <w:t xml:space="preserve">використовувані </w:t>
      </w:r>
      <w:r>
        <w:rPr>
          <w:color w:val="000000"/>
          <w:lang w:eastAsia="ru-RU" w:bidi="ru-RU"/>
        </w:rPr>
        <w:t xml:space="preserve">в </w:t>
      </w:r>
      <w:r>
        <w:rPr>
          <w:color w:val="000000"/>
          <w:lang w:val="uk-UA" w:eastAsia="uk-UA" w:bidi="uk-UA"/>
        </w:rPr>
        <w:t xml:space="preserve">оцінці </w:t>
      </w:r>
      <w:r>
        <w:rPr>
          <w:color w:val="000000"/>
          <w:lang w:eastAsia="ru-RU" w:bidi="ru-RU"/>
        </w:rPr>
        <w:t xml:space="preserve">показники мають </w:t>
      </w:r>
      <w:r>
        <w:rPr>
          <w:color w:val="000000"/>
          <w:lang w:val="uk-UA" w:eastAsia="uk-UA" w:bidi="uk-UA"/>
        </w:rPr>
        <w:t xml:space="preserve">відображати результативність </w:t>
      </w:r>
      <w:r>
        <w:rPr>
          <w:color w:val="000000"/>
          <w:lang w:eastAsia="ru-RU" w:bidi="ru-RU"/>
        </w:rPr>
        <w:t xml:space="preserve">бюджетного забезпечення потреб у </w:t>
      </w:r>
      <w:r>
        <w:rPr>
          <w:color w:val="000000"/>
          <w:lang w:val="uk-UA" w:eastAsia="uk-UA" w:bidi="uk-UA"/>
        </w:rPr>
        <w:t xml:space="preserve">регіоні, </w:t>
      </w:r>
      <w:r>
        <w:rPr>
          <w:color w:val="000000"/>
          <w:lang w:eastAsia="ru-RU" w:bidi="ru-RU"/>
        </w:rPr>
        <w:t xml:space="preserve">характеризувати </w:t>
      </w:r>
      <w:r>
        <w:rPr>
          <w:color w:val="000000"/>
          <w:lang w:val="uk-UA" w:eastAsia="uk-UA" w:bidi="uk-UA"/>
        </w:rPr>
        <w:t xml:space="preserve">ефективність </w:t>
      </w:r>
      <w:r>
        <w:rPr>
          <w:color w:val="000000"/>
          <w:lang w:eastAsia="ru-RU" w:bidi="ru-RU"/>
        </w:rPr>
        <w:t xml:space="preserve">використання </w:t>
      </w:r>
      <w:r>
        <w:rPr>
          <w:color w:val="000000"/>
          <w:lang w:val="uk-UA" w:eastAsia="uk-UA" w:bidi="uk-UA"/>
        </w:rPr>
        <w:t xml:space="preserve">ресурсів місцевих бюджетів </w:t>
      </w:r>
      <w:r>
        <w:rPr>
          <w:color w:val="000000"/>
          <w:lang w:eastAsia="ru-RU" w:bidi="ru-RU"/>
        </w:rPr>
        <w:t xml:space="preserve">та </w:t>
      </w:r>
      <w:r>
        <w:rPr>
          <w:color w:val="000000"/>
          <w:lang w:val="uk-UA" w:eastAsia="uk-UA" w:bidi="uk-UA"/>
        </w:rPr>
        <w:t>оптимальності їх розподілу;</w:t>
      </w:r>
    </w:p>
    <w:p w14:paraId="645EA2F0" w14:textId="77777777" w:rsidR="007A2FCB" w:rsidRDefault="007A2FCB" w:rsidP="00B00C6C">
      <w:pPr>
        <w:pStyle w:val="1"/>
        <w:numPr>
          <w:ilvl w:val="0"/>
          <w:numId w:val="5"/>
        </w:numPr>
        <w:tabs>
          <w:tab w:val="left" w:pos="987"/>
        </w:tabs>
        <w:spacing w:line="360" w:lineRule="auto"/>
        <w:ind w:firstLine="567"/>
        <w:jc w:val="both"/>
      </w:pPr>
      <w:r>
        <w:rPr>
          <w:color w:val="000000"/>
          <w:lang w:val="uk-UA" w:eastAsia="uk-UA" w:bidi="uk-UA"/>
        </w:rPr>
        <w:t xml:space="preserve">по-третє, </w:t>
      </w:r>
      <w:r>
        <w:rPr>
          <w:color w:val="000000"/>
          <w:lang w:eastAsia="ru-RU" w:bidi="ru-RU"/>
        </w:rPr>
        <w:t xml:space="preserve">на </w:t>
      </w:r>
      <w:r>
        <w:rPr>
          <w:color w:val="000000"/>
          <w:lang w:val="uk-UA" w:eastAsia="uk-UA" w:bidi="uk-UA"/>
        </w:rPr>
        <w:t xml:space="preserve">етапі оцінювання рівня фінансової стійкості місцевих бюджетів </w:t>
      </w:r>
      <w:r>
        <w:rPr>
          <w:color w:val="000000"/>
          <w:lang w:eastAsia="ru-RU" w:bidi="ru-RU"/>
        </w:rPr>
        <w:t xml:space="preserve">за трансфертами </w:t>
      </w:r>
      <w:r>
        <w:rPr>
          <w:color w:val="000000"/>
          <w:lang w:val="uk-UA" w:eastAsia="uk-UA" w:bidi="uk-UA"/>
        </w:rPr>
        <w:t xml:space="preserve">регіону </w:t>
      </w:r>
      <w:r>
        <w:rPr>
          <w:color w:val="000000"/>
          <w:lang w:eastAsia="ru-RU" w:bidi="ru-RU"/>
        </w:rPr>
        <w:t xml:space="preserve">в основу проведення </w:t>
      </w:r>
      <w:r>
        <w:rPr>
          <w:color w:val="000000"/>
          <w:lang w:val="uk-UA" w:eastAsia="uk-UA" w:bidi="uk-UA"/>
        </w:rPr>
        <w:t xml:space="preserve">оцінки слід </w:t>
      </w:r>
      <w:r>
        <w:rPr>
          <w:color w:val="000000"/>
          <w:lang w:eastAsia="ru-RU" w:bidi="ru-RU"/>
        </w:rPr>
        <w:t xml:space="preserve">закласти </w:t>
      </w:r>
      <w:r>
        <w:rPr>
          <w:color w:val="000000"/>
          <w:lang w:val="uk-UA" w:eastAsia="uk-UA" w:bidi="uk-UA"/>
        </w:rPr>
        <w:t xml:space="preserve">дослідження стабільності </w:t>
      </w:r>
      <w:r>
        <w:rPr>
          <w:color w:val="000000"/>
          <w:lang w:eastAsia="ru-RU" w:bidi="ru-RU"/>
        </w:rPr>
        <w:t xml:space="preserve">бюджетного забезпечення </w:t>
      </w:r>
      <w:r>
        <w:rPr>
          <w:color w:val="000000"/>
          <w:lang w:val="uk-UA" w:eastAsia="uk-UA" w:bidi="uk-UA"/>
        </w:rPr>
        <w:t xml:space="preserve">регіонального </w:t>
      </w:r>
      <w:r>
        <w:rPr>
          <w:color w:val="000000"/>
          <w:lang w:eastAsia="ru-RU" w:bidi="ru-RU"/>
        </w:rPr>
        <w:t xml:space="preserve">розвитку та водночас </w:t>
      </w:r>
      <w:r>
        <w:rPr>
          <w:color w:val="000000"/>
          <w:lang w:val="uk-UA" w:eastAsia="uk-UA" w:bidi="uk-UA"/>
        </w:rPr>
        <w:t xml:space="preserve">рівня самостійності і незалежності від </w:t>
      </w:r>
      <w:r>
        <w:rPr>
          <w:color w:val="000000"/>
          <w:lang w:eastAsia="ru-RU" w:bidi="ru-RU"/>
        </w:rPr>
        <w:t>державного бюджету.</w:t>
      </w:r>
    </w:p>
    <w:p w14:paraId="1D9DB153" w14:textId="77777777" w:rsidR="007A2FCB" w:rsidRDefault="007A2FCB" w:rsidP="00B00C6C">
      <w:pPr>
        <w:pStyle w:val="1"/>
        <w:spacing w:line="360" w:lineRule="auto"/>
        <w:ind w:firstLine="567"/>
        <w:jc w:val="both"/>
      </w:pPr>
      <w:r>
        <w:rPr>
          <w:color w:val="000000"/>
          <w:lang w:val="uk-UA" w:eastAsia="uk-UA" w:bidi="uk-UA"/>
        </w:rPr>
        <w:t xml:space="preserve">Відтак </w:t>
      </w:r>
      <w:r>
        <w:rPr>
          <w:color w:val="000000"/>
          <w:lang w:eastAsia="ru-RU" w:bidi="ru-RU"/>
        </w:rPr>
        <w:t xml:space="preserve">на </w:t>
      </w:r>
      <w:r>
        <w:rPr>
          <w:color w:val="000000"/>
          <w:lang w:val="uk-UA" w:eastAsia="uk-UA" w:bidi="uk-UA"/>
        </w:rPr>
        <w:t xml:space="preserve">основі систематизації </w:t>
      </w:r>
      <w:r>
        <w:rPr>
          <w:color w:val="000000"/>
          <w:lang w:eastAsia="ru-RU" w:bidi="ru-RU"/>
        </w:rPr>
        <w:t xml:space="preserve">наукових </w:t>
      </w:r>
      <w:r>
        <w:rPr>
          <w:color w:val="000000"/>
          <w:lang w:val="uk-UA" w:eastAsia="uk-UA" w:bidi="uk-UA"/>
        </w:rPr>
        <w:t xml:space="preserve">підходів методів </w:t>
      </w:r>
      <w:r>
        <w:rPr>
          <w:color w:val="000000"/>
          <w:lang w:eastAsia="ru-RU" w:bidi="ru-RU"/>
        </w:rPr>
        <w:t xml:space="preserve">та </w:t>
      </w:r>
      <w:r>
        <w:rPr>
          <w:color w:val="000000"/>
          <w:lang w:val="uk-UA" w:eastAsia="uk-UA" w:bidi="uk-UA"/>
        </w:rPr>
        <w:t xml:space="preserve">ситуації зміни соціально-економічного </w:t>
      </w:r>
      <w:r>
        <w:rPr>
          <w:color w:val="000000"/>
          <w:lang w:eastAsia="ru-RU" w:bidi="ru-RU"/>
        </w:rPr>
        <w:t xml:space="preserve">розвитку </w:t>
      </w:r>
      <w:r>
        <w:rPr>
          <w:color w:val="000000"/>
          <w:lang w:val="uk-UA" w:eastAsia="uk-UA" w:bidi="uk-UA"/>
        </w:rPr>
        <w:t xml:space="preserve">регіонів </w:t>
      </w:r>
      <w:r>
        <w:rPr>
          <w:color w:val="000000"/>
          <w:lang w:eastAsia="ru-RU" w:bidi="ru-RU"/>
        </w:rPr>
        <w:t xml:space="preserve">та </w:t>
      </w:r>
      <w:r>
        <w:rPr>
          <w:color w:val="000000"/>
          <w:lang w:val="uk-UA" w:eastAsia="uk-UA" w:bidi="uk-UA"/>
        </w:rPr>
        <w:t xml:space="preserve">ролі місцевих бюджетів </w:t>
      </w:r>
      <w:r>
        <w:rPr>
          <w:color w:val="000000"/>
          <w:lang w:eastAsia="ru-RU" w:bidi="ru-RU"/>
        </w:rPr>
        <w:t xml:space="preserve">у його </w:t>
      </w:r>
      <w:r>
        <w:rPr>
          <w:color w:val="000000"/>
          <w:lang w:val="uk-UA" w:eastAsia="uk-UA" w:bidi="uk-UA"/>
        </w:rPr>
        <w:t xml:space="preserve">забезпеченні </w:t>
      </w:r>
      <w:r>
        <w:rPr>
          <w:color w:val="000000"/>
          <w:lang w:eastAsia="ru-RU" w:bidi="ru-RU"/>
        </w:rPr>
        <w:t xml:space="preserve">в </w:t>
      </w:r>
      <w:r>
        <w:rPr>
          <w:color w:val="000000"/>
          <w:lang w:val="uk-UA" w:eastAsia="uk-UA" w:bidi="uk-UA"/>
        </w:rPr>
        <w:t xml:space="preserve">контексті </w:t>
      </w:r>
      <w:r>
        <w:rPr>
          <w:color w:val="000000"/>
          <w:lang w:eastAsia="ru-RU" w:bidi="ru-RU"/>
        </w:rPr>
        <w:t xml:space="preserve">проведення </w:t>
      </w:r>
      <w:r>
        <w:rPr>
          <w:color w:val="000000"/>
          <w:lang w:val="uk-UA" w:eastAsia="uk-UA" w:bidi="uk-UA"/>
        </w:rPr>
        <w:t xml:space="preserve">фінансової </w:t>
      </w:r>
      <w:r>
        <w:rPr>
          <w:color w:val="000000"/>
          <w:lang w:eastAsia="ru-RU" w:bidi="ru-RU"/>
        </w:rPr>
        <w:t xml:space="preserve">та </w:t>
      </w:r>
      <w:r>
        <w:rPr>
          <w:color w:val="000000"/>
          <w:lang w:val="uk-UA" w:eastAsia="uk-UA" w:bidi="uk-UA"/>
        </w:rPr>
        <w:t xml:space="preserve">адміністративної децентралізації </w:t>
      </w:r>
      <w:r>
        <w:rPr>
          <w:color w:val="000000"/>
          <w:lang w:eastAsia="ru-RU" w:bidi="ru-RU"/>
        </w:rPr>
        <w:t xml:space="preserve">запропоновано модель </w:t>
      </w:r>
      <w:r>
        <w:rPr>
          <w:color w:val="000000"/>
          <w:lang w:val="uk-UA" w:eastAsia="uk-UA" w:bidi="uk-UA"/>
        </w:rPr>
        <w:t>оцінки рівня бюджетної децентралізації регіонів України</w:t>
      </w:r>
      <w:r>
        <w:rPr>
          <w:color w:val="000000"/>
          <w:lang w:eastAsia="ru-RU" w:bidi="ru-RU"/>
        </w:rPr>
        <w:t>.</w:t>
      </w:r>
    </w:p>
    <w:p w14:paraId="45A8725A" w14:textId="77777777" w:rsidR="007A2FCB" w:rsidRDefault="007A2FCB" w:rsidP="00B00C6C">
      <w:pPr>
        <w:pStyle w:val="1"/>
        <w:spacing w:line="360" w:lineRule="auto"/>
        <w:ind w:firstLine="567"/>
        <w:jc w:val="both"/>
      </w:pPr>
      <w:r>
        <w:rPr>
          <w:color w:val="000000"/>
          <w:lang w:val="uk-UA" w:eastAsia="uk-UA" w:bidi="uk-UA"/>
        </w:rPr>
        <w:t xml:space="preserve">Часові </w:t>
      </w:r>
      <w:r>
        <w:rPr>
          <w:color w:val="000000"/>
          <w:lang w:eastAsia="ru-RU" w:bidi="ru-RU"/>
        </w:rPr>
        <w:t xml:space="preserve">рамки </w:t>
      </w:r>
      <w:r>
        <w:rPr>
          <w:color w:val="000000"/>
          <w:lang w:val="uk-UA" w:eastAsia="uk-UA" w:bidi="uk-UA"/>
        </w:rPr>
        <w:t xml:space="preserve">аналізу </w:t>
      </w:r>
      <w:r>
        <w:rPr>
          <w:color w:val="000000"/>
          <w:lang w:eastAsia="ru-RU" w:bidi="ru-RU"/>
        </w:rPr>
        <w:t xml:space="preserve">складають </w:t>
      </w:r>
      <w:r>
        <w:rPr>
          <w:color w:val="000000"/>
          <w:lang w:val="uk-UA" w:eastAsia="uk-UA" w:bidi="uk-UA"/>
        </w:rPr>
        <w:t xml:space="preserve">період </w:t>
      </w:r>
      <w:r>
        <w:rPr>
          <w:color w:val="000000"/>
          <w:lang w:eastAsia="ru-RU" w:bidi="ru-RU"/>
        </w:rPr>
        <w:t xml:space="preserve">2013-2017 рр., що дозволить </w:t>
      </w:r>
      <w:r>
        <w:rPr>
          <w:color w:val="000000"/>
          <w:lang w:val="uk-UA" w:eastAsia="uk-UA" w:bidi="uk-UA"/>
        </w:rPr>
        <w:t xml:space="preserve">порівняти рівень бюджетної децентралізації регіонів </w:t>
      </w:r>
      <w:r>
        <w:rPr>
          <w:color w:val="000000"/>
          <w:lang w:eastAsia="ru-RU" w:bidi="ru-RU"/>
        </w:rPr>
        <w:t xml:space="preserve">до та </w:t>
      </w:r>
      <w:r>
        <w:rPr>
          <w:color w:val="000000"/>
          <w:lang w:val="uk-UA" w:eastAsia="uk-UA" w:bidi="uk-UA"/>
        </w:rPr>
        <w:t xml:space="preserve">після </w:t>
      </w:r>
      <w:r>
        <w:rPr>
          <w:color w:val="000000"/>
          <w:lang w:eastAsia="ru-RU" w:bidi="ru-RU"/>
        </w:rPr>
        <w:t xml:space="preserve">початку реформування </w:t>
      </w:r>
      <w:r>
        <w:rPr>
          <w:color w:val="000000"/>
          <w:lang w:val="uk-UA" w:eastAsia="uk-UA" w:bidi="uk-UA"/>
        </w:rPr>
        <w:t xml:space="preserve">місцевого </w:t>
      </w:r>
      <w:r>
        <w:rPr>
          <w:color w:val="000000"/>
          <w:lang w:eastAsia="ru-RU" w:bidi="ru-RU"/>
        </w:rPr>
        <w:t xml:space="preserve">самоврядування та </w:t>
      </w:r>
      <w:r>
        <w:rPr>
          <w:color w:val="000000"/>
          <w:lang w:val="uk-UA" w:eastAsia="uk-UA" w:bidi="uk-UA"/>
        </w:rPr>
        <w:t xml:space="preserve">передачі </w:t>
      </w:r>
      <w:r>
        <w:rPr>
          <w:color w:val="000000"/>
          <w:lang w:eastAsia="ru-RU" w:bidi="ru-RU"/>
        </w:rPr>
        <w:t xml:space="preserve">повноважень </w:t>
      </w:r>
      <w:r>
        <w:rPr>
          <w:color w:val="000000"/>
          <w:lang w:val="uk-UA" w:eastAsia="uk-UA" w:bidi="uk-UA"/>
        </w:rPr>
        <w:t xml:space="preserve">і фінансових ресурсів </w:t>
      </w:r>
      <w:r>
        <w:rPr>
          <w:color w:val="000000"/>
          <w:lang w:eastAsia="ru-RU" w:bidi="ru-RU"/>
        </w:rPr>
        <w:t xml:space="preserve">на </w:t>
      </w:r>
      <w:r>
        <w:rPr>
          <w:color w:val="000000"/>
          <w:lang w:val="uk-UA" w:eastAsia="uk-UA" w:bidi="uk-UA"/>
        </w:rPr>
        <w:t>місця.</w:t>
      </w:r>
    </w:p>
    <w:p w14:paraId="6A37BF2F" w14:textId="77777777" w:rsidR="007A2FCB" w:rsidRDefault="007A2FCB" w:rsidP="00B00C6C">
      <w:pPr>
        <w:pStyle w:val="1"/>
        <w:spacing w:line="360" w:lineRule="auto"/>
        <w:ind w:firstLine="567"/>
        <w:jc w:val="both"/>
      </w:pPr>
      <w:r>
        <w:rPr>
          <w:color w:val="000000"/>
          <w:lang w:eastAsia="ru-RU" w:bidi="ru-RU"/>
        </w:rPr>
        <w:t xml:space="preserve">Дана методика </w:t>
      </w:r>
      <w:r>
        <w:rPr>
          <w:color w:val="000000"/>
          <w:lang w:val="uk-UA" w:eastAsia="uk-UA" w:bidi="uk-UA"/>
        </w:rPr>
        <w:t xml:space="preserve">охоплює </w:t>
      </w:r>
      <w:r>
        <w:rPr>
          <w:color w:val="000000"/>
          <w:lang w:eastAsia="ru-RU" w:bidi="ru-RU"/>
        </w:rPr>
        <w:t xml:space="preserve">низку </w:t>
      </w:r>
      <w:r>
        <w:rPr>
          <w:color w:val="000000"/>
          <w:lang w:val="uk-UA" w:eastAsia="uk-UA" w:bidi="uk-UA"/>
        </w:rPr>
        <w:t>етапів</w:t>
      </w:r>
      <w:r w:rsidR="00255BC9">
        <w:rPr>
          <w:color w:val="000000"/>
          <w:lang w:val="uk-UA" w:eastAsia="uk-UA" w:bidi="uk-UA"/>
        </w:rPr>
        <w:t>:</w:t>
      </w:r>
    </w:p>
    <w:p w14:paraId="77AE5BC4" w14:textId="77777777" w:rsidR="007A2FCB" w:rsidRDefault="007A2FCB" w:rsidP="00B00C6C">
      <w:pPr>
        <w:pStyle w:val="1"/>
        <w:spacing w:line="360" w:lineRule="auto"/>
        <w:ind w:firstLine="567"/>
        <w:jc w:val="both"/>
      </w:pPr>
      <w:r>
        <w:rPr>
          <w:color w:val="000000"/>
          <w:lang w:eastAsia="ru-RU" w:bidi="ru-RU"/>
        </w:rPr>
        <w:t xml:space="preserve">На першому </w:t>
      </w:r>
      <w:r>
        <w:rPr>
          <w:color w:val="000000"/>
          <w:lang w:val="uk-UA" w:eastAsia="uk-UA" w:bidi="uk-UA"/>
        </w:rPr>
        <w:t xml:space="preserve">етапі здійснюється </w:t>
      </w:r>
      <w:r>
        <w:rPr>
          <w:color w:val="000000"/>
          <w:lang w:eastAsia="ru-RU" w:bidi="ru-RU"/>
        </w:rPr>
        <w:t xml:space="preserve">обрання та </w:t>
      </w:r>
      <w:r>
        <w:rPr>
          <w:color w:val="000000"/>
          <w:lang w:val="uk-UA" w:eastAsia="uk-UA" w:bidi="uk-UA"/>
        </w:rPr>
        <w:t xml:space="preserve">систематизація показників рівня бюджетної децентралізації регіонів. </w:t>
      </w:r>
      <w:r>
        <w:rPr>
          <w:color w:val="000000"/>
          <w:lang w:eastAsia="ru-RU" w:bidi="ru-RU"/>
        </w:rPr>
        <w:t xml:space="preserve">Представлена модель </w:t>
      </w:r>
      <w:r>
        <w:rPr>
          <w:color w:val="000000"/>
          <w:lang w:val="uk-UA" w:eastAsia="uk-UA" w:bidi="uk-UA"/>
        </w:rPr>
        <w:t xml:space="preserve">передбачає </w:t>
      </w:r>
      <w:r>
        <w:rPr>
          <w:color w:val="000000"/>
          <w:lang w:eastAsia="ru-RU" w:bidi="ru-RU"/>
        </w:rPr>
        <w:t xml:space="preserve">визначення </w:t>
      </w:r>
      <w:r>
        <w:rPr>
          <w:color w:val="000000"/>
          <w:lang w:val="uk-UA" w:eastAsia="uk-UA" w:bidi="uk-UA"/>
        </w:rPr>
        <w:t xml:space="preserve">інтегрального </w:t>
      </w:r>
      <w:r>
        <w:rPr>
          <w:color w:val="000000"/>
          <w:lang w:eastAsia="ru-RU" w:bidi="ru-RU"/>
        </w:rPr>
        <w:t xml:space="preserve">показника за трьома </w:t>
      </w:r>
      <w:r>
        <w:rPr>
          <w:color w:val="000000"/>
          <w:lang w:val="uk-UA" w:eastAsia="uk-UA" w:bidi="uk-UA"/>
        </w:rPr>
        <w:t>категоріями:</w:t>
      </w:r>
    </w:p>
    <w:p w14:paraId="77036B68" w14:textId="77777777" w:rsidR="007A2FCB" w:rsidRDefault="007A2FCB" w:rsidP="00B00C6C">
      <w:pPr>
        <w:pStyle w:val="1"/>
        <w:numPr>
          <w:ilvl w:val="0"/>
          <w:numId w:val="5"/>
        </w:numPr>
        <w:tabs>
          <w:tab w:val="left" w:pos="1087"/>
        </w:tabs>
        <w:spacing w:line="360" w:lineRule="auto"/>
        <w:ind w:firstLine="567"/>
        <w:jc w:val="both"/>
      </w:pPr>
      <w:r>
        <w:rPr>
          <w:color w:val="000000"/>
          <w:lang w:val="uk-UA" w:eastAsia="uk-UA" w:bidi="uk-UA"/>
        </w:rPr>
        <w:t xml:space="preserve">рівнем бюджетної децентралізації </w:t>
      </w:r>
      <w:r>
        <w:rPr>
          <w:color w:val="000000"/>
          <w:lang w:eastAsia="ru-RU" w:bidi="ru-RU"/>
        </w:rPr>
        <w:t>за доходами;</w:t>
      </w:r>
    </w:p>
    <w:p w14:paraId="593C62B3" w14:textId="77777777" w:rsidR="007A2FCB" w:rsidRDefault="007A2FCB" w:rsidP="00B00C6C">
      <w:pPr>
        <w:pStyle w:val="1"/>
        <w:numPr>
          <w:ilvl w:val="0"/>
          <w:numId w:val="5"/>
        </w:numPr>
        <w:tabs>
          <w:tab w:val="left" w:pos="1087"/>
        </w:tabs>
        <w:spacing w:line="360" w:lineRule="auto"/>
        <w:ind w:firstLine="567"/>
        <w:jc w:val="both"/>
      </w:pPr>
      <w:r>
        <w:rPr>
          <w:color w:val="000000"/>
          <w:lang w:val="uk-UA" w:eastAsia="uk-UA" w:bidi="uk-UA"/>
        </w:rPr>
        <w:lastRenderedPageBreak/>
        <w:t xml:space="preserve">рівнем бюджетної децентралізації </w:t>
      </w:r>
      <w:r>
        <w:rPr>
          <w:color w:val="000000"/>
          <w:lang w:eastAsia="ru-RU" w:bidi="ru-RU"/>
        </w:rPr>
        <w:t>за видатками;</w:t>
      </w:r>
    </w:p>
    <w:p w14:paraId="7CA358D9" w14:textId="77777777" w:rsidR="007A2FCB" w:rsidRDefault="007A2FCB" w:rsidP="00B00C6C">
      <w:pPr>
        <w:pStyle w:val="1"/>
        <w:numPr>
          <w:ilvl w:val="0"/>
          <w:numId w:val="5"/>
        </w:numPr>
        <w:tabs>
          <w:tab w:val="left" w:pos="1087"/>
        </w:tabs>
        <w:spacing w:line="360" w:lineRule="auto"/>
        <w:ind w:firstLine="567"/>
        <w:jc w:val="both"/>
      </w:pPr>
      <w:r>
        <w:rPr>
          <w:color w:val="000000"/>
          <w:lang w:val="uk-UA" w:eastAsia="uk-UA" w:bidi="uk-UA"/>
        </w:rPr>
        <w:t xml:space="preserve">рівнем фінансової стійкості місцевих бюджетів </w:t>
      </w:r>
      <w:r>
        <w:rPr>
          <w:color w:val="000000"/>
          <w:lang w:eastAsia="ru-RU" w:bidi="ru-RU"/>
        </w:rPr>
        <w:t>за трансфертами.</w:t>
      </w:r>
    </w:p>
    <w:p w14:paraId="21946549" w14:textId="77777777" w:rsidR="00A33B18" w:rsidRPr="00255BC9" w:rsidRDefault="00A33B18" w:rsidP="00255BC9">
      <w:pPr>
        <w:pStyle w:val="50"/>
        <w:spacing w:after="0" w:line="360" w:lineRule="auto"/>
        <w:ind w:firstLine="567"/>
        <w:jc w:val="both"/>
        <w:rPr>
          <w:b w:val="0"/>
          <w:bCs w:val="0"/>
          <w:color w:val="000000"/>
          <w:lang w:val="uk-UA" w:eastAsia="ru-RU" w:bidi="ru-RU"/>
        </w:rPr>
      </w:pPr>
      <w:bookmarkStart w:id="0" w:name="bookmark24"/>
      <w:r w:rsidRPr="00A33B18">
        <w:rPr>
          <w:b w:val="0"/>
          <w:bCs w:val="0"/>
          <w:color w:val="000000"/>
          <w:lang w:eastAsia="ru-RU" w:bidi="ru-RU"/>
        </w:rPr>
        <w:t>Оскільки для оцінки бюджетної спроможності кожного регіону необхідно звести відповідний набір даних до конкретного комплексного показника, то така оцінка має здійснюватися на основі багатофакторного порівняльного методу аналізу, використовуючи груповий підхід, порівняльний аналіз, систе</w:t>
      </w:r>
      <w:r w:rsidR="00255BC9">
        <w:rPr>
          <w:b w:val="0"/>
          <w:bCs w:val="0"/>
          <w:color w:val="000000"/>
          <w:lang w:eastAsia="ru-RU" w:bidi="ru-RU"/>
        </w:rPr>
        <w:t>матизація, ранжування</w:t>
      </w:r>
      <w:r w:rsidR="00255BC9">
        <w:rPr>
          <w:b w:val="0"/>
          <w:bCs w:val="0"/>
          <w:color w:val="000000"/>
          <w:lang w:val="uk-UA" w:eastAsia="ru-RU" w:bidi="ru-RU"/>
        </w:rPr>
        <w:t>.</w:t>
      </w:r>
    </w:p>
    <w:p w14:paraId="54FE5D16" w14:textId="77777777" w:rsidR="00A33B18" w:rsidRPr="00A33B18" w:rsidRDefault="00A33B18" w:rsidP="00255BC9">
      <w:pPr>
        <w:pStyle w:val="50"/>
        <w:spacing w:after="0" w:line="360" w:lineRule="auto"/>
        <w:ind w:firstLine="567"/>
        <w:jc w:val="both"/>
        <w:rPr>
          <w:b w:val="0"/>
          <w:bCs w:val="0"/>
          <w:color w:val="000000"/>
          <w:lang w:eastAsia="ru-RU" w:bidi="ru-RU"/>
        </w:rPr>
      </w:pPr>
      <w:r w:rsidRPr="00A33B18">
        <w:rPr>
          <w:b w:val="0"/>
          <w:bCs w:val="0"/>
          <w:color w:val="000000"/>
          <w:lang w:eastAsia="ru-RU" w:bidi="ru-RU"/>
        </w:rPr>
        <w:t>Другий та третій етапи оцінювання рівня регіональної бюджетної децентралізації передбачають стандартизацію показників рівня бюджетної децентралізації доходів, видатків та рівнів фіскальної стійкості трансфертів.</w:t>
      </w:r>
    </w:p>
    <w:p w14:paraId="3D45FE58" w14:textId="77777777" w:rsidR="00A33B18" w:rsidRPr="00A33B18" w:rsidRDefault="00A33B18" w:rsidP="00255BC9">
      <w:pPr>
        <w:pStyle w:val="50"/>
        <w:spacing w:after="0" w:line="360" w:lineRule="auto"/>
        <w:ind w:firstLine="567"/>
        <w:jc w:val="both"/>
        <w:rPr>
          <w:b w:val="0"/>
          <w:bCs w:val="0"/>
          <w:color w:val="000000"/>
          <w:lang w:eastAsia="ru-RU" w:bidi="ru-RU"/>
        </w:rPr>
      </w:pPr>
      <w:r w:rsidRPr="00A33B18">
        <w:rPr>
          <w:b w:val="0"/>
          <w:bCs w:val="0"/>
          <w:color w:val="000000"/>
          <w:lang w:eastAsia="ru-RU" w:bidi="ru-RU"/>
        </w:rPr>
        <w:t>У контексті розрахунку зведених показників бюджетної децентралізації за доходами, регіональної бюджетної децентралізації за видатками та фіскальної стійкості субнаціональних бюджетів слід зазначити наступне щодо пропозицій щодо використання методів діагностики рівня бюджетної децентралізації за регіонами. Висновки При вивченні регіонів шляхом перенесення слід звернути увагу на наступні моменти: Такий підхід передбачає комплексне та багатоаспектне вивчення явища. По-перше, розраховуються численні коефіцієнти, які дозволяють інтегровано розглядати окремі аспекти розвитку субрегіонального бюджету в регіонах. По-друге, комплексна оцінка в межах вибраних індикаторів допомагає виявити проблеми регіонального розвитку, особливості та закономірності формування та виконання місцевих бюджетів. По-третє, можна порівняти показники розвитку місцевих бюджетів у різних регіонах і визначити загальну ситуацію в Україні.</w:t>
      </w:r>
    </w:p>
    <w:p w14:paraId="413B3848" w14:textId="77777777" w:rsidR="00A33B18" w:rsidRPr="00A33B18" w:rsidRDefault="00A33B18" w:rsidP="00A33B18">
      <w:pPr>
        <w:pStyle w:val="50"/>
        <w:spacing w:after="460" w:line="360" w:lineRule="auto"/>
        <w:ind w:firstLine="567"/>
        <w:jc w:val="both"/>
        <w:rPr>
          <w:b w:val="0"/>
          <w:bCs w:val="0"/>
          <w:color w:val="000000"/>
          <w:lang w:eastAsia="ru-RU" w:bidi="ru-RU"/>
        </w:rPr>
      </w:pPr>
      <w:r w:rsidRPr="00A33B18">
        <w:rPr>
          <w:b w:val="0"/>
          <w:bCs w:val="0"/>
          <w:color w:val="000000"/>
          <w:lang w:eastAsia="ru-RU" w:bidi="ru-RU"/>
        </w:rPr>
        <w:t xml:space="preserve">Цей діагностичний метод порівнює ступінь бюджетної децентралізації в кожному регіоні з регіонами з найвищим і найнижчим ступенем бюджетної децентралізації, щоб визначити відхилення показників у кожному регіоні та причини їх зміни, що може допомогти знайти резерви сприяння фінансове зростання та використання нових можливостей розвитку. Методика діагностики рівня бюджетної децентралізації в регіоні дозволяє визначити </w:t>
      </w:r>
      <w:r w:rsidRPr="00A33B18">
        <w:rPr>
          <w:b w:val="0"/>
          <w:bCs w:val="0"/>
          <w:color w:val="000000"/>
          <w:lang w:eastAsia="ru-RU" w:bidi="ru-RU"/>
        </w:rPr>
        <w:lastRenderedPageBreak/>
        <w:t>сильні та слабкі сторони положень бюджету територіального та регіонального розвитку, а також особливості організації місцевого бюджету.</w:t>
      </w:r>
    </w:p>
    <w:p w14:paraId="17EAF27B" w14:textId="77777777" w:rsidR="00E507BB" w:rsidRDefault="00E507BB" w:rsidP="00A33B18">
      <w:pPr>
        <w:pStyle w:val="50"/>
        <w:spacing w:after="460" w:line="360" w:lineRule="auto"/>
        <w:ind w:firstLine="567"/>
        <w:jc w:val="both"/>
        <w:rPr>
          <w:color w:val="000000"/>
          <w:lang w:val="uk-UA" w:eastAsia="ru-RU" w:bidi="ru-RU"/>
        </w:rPr>
      </w:pPr>
      <w:r>
        <w:rPr>
          <w:color w:val="000000"/>
          <w:lang w:eastAsia="ru-RU" w:bidi="ru-RU"/>
        </w:rPr>
        <w:t xml:space="preserve">Висновки до </w:t>
      </w:r>
      <w:r>
        <w:rPr>
          <w:color w:val="000000"/>
          <w:lang w:val="uk-UA" w:eastAsia="uk-UA" w:bidi="uk-UA"/>
        </w:rPr>
        <w:t xml:space="preserve">розділу </w:t>
      </w:r>
      <w:bookmarkEnd w:id="0"/>
      <w:r>
        <w:rPr>
          <w:color w:val="000000"/>
          <w:lang w:val="uk-UA" w:eastAsia="ru-RU" w:bidi="ru-RU"/>
        </w:rPr>
        <w:t>1</w:t>
      </w:r>
    </w:p>
    <w:p w14:paraId="2B6527BC" w14:textId="77777777" w:rsidR="00E507BB" w:rsidRDefault="00E507BB" w:rsidP="00B00C6C">
      <w:pPr>
        <w:pStyle w:val="1"/>
        <w:spacing w:line="360" w:lineRule="auto"/>
        <w:ind w:firstLine="567"/>
        <w:jc w:val="both"/>
      </w:pPr>
      <w:r>
        <w:rPr>
          <w:color w:val="000000"/>
          <w:lang w:val="uk-UA" w:eastAsia="uk-UA" w:bidi="uk-UA"/>
        </w:rPr>
        <w:t xml:space="preserve">Дослідження методологічного інструментарію </w:t>
      </w:r>
      <w:r>
        <w:rPr>
          <w:color w:val="000000"/>
          <w:lang w:eastAsia="ru-RU" w:bidi="ru-RU"/>
        </w:rPr>
        <w:t xml:space="preserve">розвитку </w:t>
      </w:r>
      <w:r>
        <w:rPr>
          <w:color w:val="000000"/>
          <w:lang w:val="uk-UA" w:eastAsia="uk-UA" w:bidi="uk-UA"/>
        </w:rPr>
        <w:t xml:space="preserve">місцевих бюджетів </w:t>
      </w:r>
      <w:r>
        <w:rPr>
          <w:color w:val="000000"/>
          <w:lang w:eastAsia="ru-RU" w:bidi="ru-RU"/>
        </w:rPr>
        <w:t xml:space="preserve">в </w:t>
      </w:r>
      <w:r>
        <w:rPr>
          <w:color w:val="000000"/>
          <w:lang w:val="uk-UA" w:eastAsia="uk-UA" w:bidi="uk-UA"/>
        </w:rPr>
        <w:t xml:space="preserve">європейській економічній системі і </w:t>
      </w:r>
      <w:r>
        <w:rPr>
          <w:color w:val="000000"/>
          <w:lang w:eastAsia="ru-RU" w:bidi="ru-RU"/>
        </w:rPr>
        <w:t xml:space="preserve">в </w:t>
      </w:r>
      <w:r>
        <w:rPr>
          <w:color w:val="000000"/>
          <w:lang w:val="uk-UA" w:eastAsia="uk-UA" w:bidi="uk-UA"/>
        </w:rPr>
        <w:t xml:space="preserve">Україні </w:t>
      </w:r>
      <w:r>
        <w:rPr>
          <w:color w:val="000000"/>
          <w:lang w:eastAsia="ru-RU" w:bidi="ru-RU"/>
        </w:rPr>
        <w:t xml:space="preserve">дозволило зробити </w:t>
      </w:r>
      <w:r>
        <w:rPr>
          <w:color w:val="000000"/>
          <w:lang w:val="uk-UA" w:eastAsia="uk-UA" w:bidi="uk-UA"/>
        </w:rPr>
        <w:t xml:space="preserve">такі </w:t>
      </w:r>
      <w:r>
        <w:rPr>
          <w:color w:val="000000"/>
          <w:lang w:eastAsia="ru-RU" w:bidi="ru-RU"/>
        </w:rPr>
        <w:t>висновки.</w:t>
      </w:r>
    </w:p>
    <w:p w14:paraId="62B222F9" w14:textId="77777777" w:rsidR="00A33B18" w:rsidRPr="00A33B18" w:rsidRDefault="00A33B18" w:rsidP="00A33B18">
      <w:pPr>
        <w:pStyle w:val="1"/>
        <w:tabs>
          <w:tab w:val="left" w:pos="1042"/>
        </w:tabs>
        <w:spacing w:line="360" w:lineRule="auto"/>
        <w:ind w:firstLine="567"/>
        <w:jc w:val="both"/>
        <w:rPr>
          <w:color w:val="000000"/>
          <w:lang w:val="uk-UA" w:eastAsia="ru-RU" w:bidi="ru-RU"/>
        </w:rPr>
      </w:pPr>
      <w:r w:rsidRPr="00A33B18">
        <w:rPr>
          <w:color w:val="000000"/>
          <w:lang w:val="uk-UA" w:eastAsia="ru-RU" w:bidi="ru-RU"/>
        </w:rPr>
        <w:t>1. Запропонована методологія дослідження місцевих бюджетів ґрунтується на принципах знання, спрямованих на формування науково-інформаційних систем та аналіз достовірних даних, а також об’єктивне розуміння розвитку місцевих бюджетів в умовах фіскальної децентралізації. Увагу було зосереджено на визначенні ролі фіскальної децентралізації як чинника розвитку місцевих бюджетів у контексті зміни напрямків національної та регіональної політики, у т.ч.</w:t>
      </w:r>
    </w:p>
    <w:p w14:paraId="66F495D4" w14:textId="77777777" w:rsidR="00A33B18" w:rsidRDefault="00A33B18" w:rsidP="00A33B18">
      <w:pPr>
        <w:pStyle w:val="1"/>
        <w:tabs>
          <w:tab w:val="left" w:pos="1042"/>
        </w:tabs>
        <w:spacing w:line="360" w:lineRule="auto"/>
        <w:ind w:firstLine="567"/>
        <w:jc w:val="both"/>
        <w:rPr>
          <w:color w:val="000000"/>
          <w:lang w:val="uk-UA" w:eastAsia="ru-RU" w:bidi="ru-RU"/>
        </w:rPr>
      </w:pPr>
      <w:r w:rsidRPr="00A33B18">
        <w:rPr>
          <w:color w:val="000000"/>
          <w:lang w:val="uk-UA" w:eastAsia="ru-RU" w:bidi="ru-RU"/>
        </w:rPr>
        <w:t>Фокус політики змістився з підтримки збалансованого регіонального розвитку на стимулювання інновацій та забезпечення регіонального економічного розвитку. Визначено основні напрямки реформування місцевих бюджетів у контексті фіскальної децентралізації: децентралізація доходів, децентралізація видатків та забезпечення процедурної самостійності органів місцевого самоврядування.</w:t>
      </w:r>
    </w:p>
    <w:p w14:paraId="5024CB05" w14:textId="77777777" w:rsidR="00A33B18" w:rsidRPr="00A33B18" w:rsidRDefault="000B4A0A" w:rsidP="00A33B18">
      <w:pPr>
        <w:pStyle w:val="1"/>
        <w:tabs>
          <w:tab w:val="left" w:pos="1042"/>
        </w:tabs>
        <w:spacing w:line="360" w:lineRule="auto"/>
        <w:ind w:firstLine="567"/>
        <w:jc w:val="both"/>
        <w:rPr>
          <w:color w:val="000000"/>
          <w:lang w:val="uk-UA" w:eastAsia="ru-RU" w:bidi="ru-RU"/>
        </w:rPr>
      </w:pPr>
      <w:r>
        <w:rPr>
          <w:color w:val="000000"/>
          <w:lang w:val="uk-UA" w:eastAsia="ru-RU" w:bidi="ru-RU"/>
        </w:rPr>
        <w:t xml:space="preserve">2. </w:t>
      </w:r>
      <w:r w:rsidR="00A33B18" w:rsidRPr="00A33B18">
        <w:rPr>
          <w:color w:val="000000"/>
          <w:lang w:val="uk-UA" w:eastAsia="ru-RU" w:bidi="ru-RU"/>
        </w:rPr>
        <w:t>На основі аналізу поглядів науковців щодо трактування та визначення основних аспектів фінансової децентралізації визначено переваги та ризики процесу децентралізації в контексті їх впливу на соціально-економічний розвиток регіонів та громад України. . Основними аргументами на користь фіскальної децентралізації є здатність забезпечити горизонтальну та вертикальну бюджетну конкуренцію та можливість підвищення ефективності розподілу шляхом надання державних послуг. Серед недоліків слід виділити економічні та політичні ризики перенесення уваги на задоволення місцевих інтересів та зменшення ваги регіональних і національних інтересів.</w:t>
      </w:r>
    </w:p>
    <w:p w14:paraId="2E8D52F6" w14:textId="77777777" w:rsidR="00E507BB" w:rsidRPr="00A33B18" w:rsidRDefault="000B4A0A" w:rsidP="000B4A0A">
      <w:pPr>
        <w:pStyle w:val="1"/>
        <w:tabs>
          <w:tab w:val="left" w:pos="1038"/>
        </w:tabs>
        <w:spacing w:line="360" w:lineRule="auto"/>
        <w:ind w:firstLine="567"/>
        <w:jc w:val="both"/>
        <w:rPr>
          <w:lang w:val="uk-UA"/>
        </w:rPr>
      </w:pPr>
      <w:r>
        <w:rPr>
          <w:color w:val="000000"/>
          <w:lang w:val="uk-UA" w:eastAsia="uk-UA" w:bidi="uk-UA"/>
        </w:rPr>
        <w:lastRenderedPageBreak/>
        <w:t xml:space="preserve">3. </w:t>
      </w:r>
      <w:r w:rsidR="00E507BB">
        <w:rPr>
          <w:color w:val="000000"/>
          <w:lang w:val="uk-UA" w:eastAsia="uk-UA" w:bidi="uk-UA"/>
        </w:rPr>
        <w:t>Визначено концептуальні складові фінансової децентралізації в Україні, серед яких: укрупнення територіальних громад та регіонів; розмежування та законодавче закріплення видаткових і функціональних повноважень центральних та місцевих органів влади і органів місцевого самоврядування; забезпечення фінансової спроможності регіонів та територіальних громад.</w:t>
      </w:r>
    </w:p>
    <w:p w14:paraId="7EB48087" w14:textId="77777777" w:rsidR="00E507BB" w:rsidRDefault="00E507BB" w:rsidP="00E507BB">
      <w:pPr>
        <w:pStyle w:val="50"/>
        <w:spacing w:after="460" w:line="360" w:lineRule="auto"/>
        <w:ind w:firstLine="720"/>
        <w:jc w:val="both"/>
        <w:rPr>
          <w:lang w:val="uk-UA"/>
        </w:rPr>
      </w:pPr>
    </w:p>
    <w:p w14:paraId="6DB3C116" w14:textId="77777777" w:rsidR="000B4A0A" w:rsidRDefault="000B4A0A" w:rsidP="00E507BB">
      <w:pPr>
        <w:pStyle w:val="50"/>
        <w:spacing w:after="460" w:line="360" w:lineRule="auto"/>
        <w:ind w:firstLine="720"/>
        <w:jc w:val="both"/>
        <w:rPr>
          <w:lang w:val="uk-UA"/>
        </w:rPr>
      </w:pPr>
    </w:p>
    <w:p w14:paraId="2403678C" w14:textId="77777777" w:rsidR="000B4A0A" w:rsidRDefault="000B4A0A" w:rsidP="00E507BB">
      <w:pPr>
        <w:pStyle w:val="50"/>
        <w:spacing w:after="460" w:line="360" w:lineRule="auto"/>
        <w:ind w:firstLine="720"/>
        <w:jc w:val="both"/>
        <w:rPr>
          <w:lang w:val="uk-UA"/>
        </w:rPr>
      </w:pPr>
    </w:p>
    <w:p w14:paraId="31A837C2" w14:textId="77777777" w:rsidR="000B4A0A" w:rsidRDefault="000B4A0A" w:rsidP="00E507BB">
      <w:pPr>
        <w:pStyle w:val="50"/>
        <w:spacing w:after="460" w:line="360" w:lineRule="auto"/>
        <w:ind w:firstLine="720"/>
        <w:jc w:val="both"/>
        <w:rPr>
          <w:lang w:val="uk-UA"/>
        </w:rPr>
      </w:pPr>
    </w:p>
    <w:p w14:paraId="1D6FD569" w14:textId="77777777" w:rsidR="00255BC9" w:rsidRDefault="00255BC9" w:rsidP="00E507BB">
      <w:pPr>
        <w:pStyle w:val="50"/>
        <w:spacing w:after="460" w:line="360" w:lineRule="auto"/>
        <w:ind w:firstLine="720"/>
        <w:jc w:val="both"/>
        <w:rPr>
          <w:lang w:val="uk-UA"/>
        </w:rPr>
      </w:pPr>
    </w:p>
    <w:p w14:paraId="665ADF01" w14:textId="77777777" w:rsidR="00255BC9" w:rsidRDefault="00255BC9" w:rsidP="00E507BB">
      <w:pPr>
        <w:pStyle w:val="50"/>
        <w:spacing w:after="460" w:line="360" w:lineRule="auto"/>
        <w:ind w:firstLine="720"/>
        <w:jc w:val="both"/>
        <w:rPr>
          <w:lang w:val="uk-UA"/>
        </w:rPr>
      </w:pPr>
    </w:p>
    <w:p w14:paraId="472A1C9A" w14:textId="77777777" w:rsidR="00255BC9" w:rsidRDefault="00255BC9" w:rsidP="00E507BB">
      <w:pPr>
        <w:pStyle w:val="50"/>
        <w:spacing w:after="460" w:line="360" w:lineRule="auto"/>
        <w:ind w:firstLine="720"/>
        <w:jc w:val="both"/>
        <w:rPr>
          <w:lang w:val="uk-UA"/>
        </w:rPr>
      </w:pPr>
    </w:p>
    <w:p w14:paraId="359827B9" w14:textId="77777777" w:rsidR="00255BC9" w:rsidRDefault="00255BC9" w:rsidP="00E507BB">
      <w:pPr>
        <w:pStyle w:val="50"/>
        <w:spacing w:after="460" w:line="360" w:lineRule="auto"/>
        <w:ind w:firstLine="720"/>
        <w:jc w:val="both"/>
        <w:rPr>
          <w:lang w:val="uk-UA"/>
        </w:rPr>
      </w:pPr>
    </w:p>
    <w:p w14:paraId="2938ADA3" w14:textId="77777777" w:rsidR="00255BC9" w:rsidRDefault="00255BC9" w:rsidP="00E507BB">
      <w:pPr>
        <w:pStyle w:val="50"/>
        <w:spacing w:after="460" w:line="360" w:lineRule="auto"/>
        <w:ind w:firstLine="720"/>
        <w:jc w:val="both"/>
        <w:rPr>
          <w:lang w:val="uk-UA"/>
        </w:rPr>
      </w:pPr>
    </w:p>
    <w:p w14:paraId="7E6A205A" w14:textId="77777777" w:rsidR="000A749E" w:rsidRPr="00E507BB" w:rsidRDefault="000A749E" w:rsidP="00E507BB">
      <w:pPr>
        <w:pStyle w:val="50"/>
        <w:spacing w:after="460" w:line="360" w:lineRule="auto"/>
        <w:ind w:firstLine="720"/>
        <w:jc w:val="both"/>
        <w:rPr>
          <w:lang w:val="uk-UA"/>
        </w:rPr>
      </w:pPr>
    </w:p>
    <w:p w14:paraId="48680A3E" w14:textId="77777777" w:rsidR="003E09D4" w:rsidRDefault="003E09D4">
      <w:pPr>
        <w:rPr>
          <w:rFonts w:ascii="Times New Roman" w:eastAsia="Times New Roman" w:hAnsi="Times New Roman" w:cs="Times New Roman"/>
          <w:b/>
          <w:color w:val="000000"/>
          <w:sz w:val="28"/>
          <w:szCs w:val="28"/>
          <w:lang w:val="uk-UA" w:eastAsia="uk-UA" w:bidi="uk-UA"/>
        </w:rPr>
      </w:pPr>
      <w:r>
        <w:rPr>
          <w:b/>
          <w:color w:val="000000"/>
          <w:lang w:val="uk-UA" w:eastAsia="uk-UA" w:bidi="uk-UA"/>
        </w:rPr>
        <w:br w:type="page"/>
      </w:r>
    </w:p>
    <w:p w14:paraId="5A5DB594" w14:textId="77777777" w:rsidR="000B4A0A" w:rsidRPr="00C8148F" w:rsidRDefault="000B4A0A" w:rsidP="000B4A0A">
      <w:pPr>
        <w:pStyle w:val="1"/>
        <w:spacing w:line="360" w:lineRule="auto"/>
        <w:ind w:firstLine="0"/>
        <w:jc w:val="center"/>
        <w:rPr>
          <w:b/>
          <w:color w:val="000000"/>
          <w:lang w:val="uk-UA" w:eastAsia="uk-UA" w:bidi="uk-UA"/>
        </w:rPr>
      </w:pPr>
      <w:r w:rsidRPr="00C8148F">
        <w:rPr>
          <w:b/>
          <w:color w:val="000000"/>
          <w:lang w:val="uk-UA" w:eastAsia="uk-UA" w:bidi="uk-UA"/>
        </w:rPr>
        <w:lastRenderedPageBreak/>
        <w:t xml:space="preserve">РОЗДІЛ 2. </w:t>
      </w:r>
      <w:r w:rsidRPr="00C8148F">
        <w:rPr>
          <w:b/>
          <w:bCs/>
          <w:color w:val="000000"/>
          <w:lang w:val="uk-UA" w:eastAsia="uk-UA" w:bidi="uk-UA"/>
        </w:rPr>
        <w:t>УПРАВЛІННЯ ФОРМУВАННЯМ ДОХОДІВ БЮДЖЕТІВ В УМОВАХ РЕФОРМУВАННЯ МІСЦЕВОГО САМОВРЯДУВАННЯ В УКРАЇНІ</w:t>
      </w:r>
    </w:p>
    <w:p w14:paraId="580BCC6D" w14:textId="77777777" w:rsidR="000B4A0A" w:rsidRDefault="000B4A0A" w:rsidP="000B4A0A">
      <w:pPr>
        <w:pStyle w:val="1"/>
        <w:spacing w:line="360" w:lineRule="auto"/>
        <w:ind w:firstLine="567"/>
        <w:jc w:val="both"/>
        <w:rPr>
          <w:b/>
          <w:color w:val="000000"/>
          <w:lang w:val="uk-UA" w:eastAsia="uk-UA" w:bidi="uk-UA"/>
        </w:rPr>
      </w:pPr>
      <w:r w:rsidRPr="000B4A0A">
        <w:rPr>
          <w:b/>
          <w:color w:val="000000"/>
          <w:lang w:val="uk-UA" w:eastAsia="uk-UA" w:bidi="uk-UA"/>
        </w:rPr>
        <w:t>2.1. Аналіз результативності формування доходів бюджетів об’єднаних територіальних громад в контексті бюджетно-податкових змін</w:t>
      </w:r>
    </w:p>
    <w:p w14:paraId="57AE4D62" w14:textId="77777777" w:rsidR="00A33B18" w:rsidRDefault="00A33B18" w:rsidP="00A33B18">
      <w:pPr>
        <w:pStyle w:val="1"/>
        <w:spacing w:line="360" w:lineRule="auto"/>
        <w:ind w:firstLine="567"/>
        <w:jc w:val="both"/>
      </w:pPr>
      <w:r>
        <w:t>В Україні два роки впроваджуються реформи децентралізації, включаючи низку галузевих реформ, особливо системи адміністративних територій та системи місцевого самоврядування, а також бюджетного та податкового законодавства. Одним із головних завдань реформи є добровільне об’єднання територіальних громад та формування повноправних базових адміністративно-територіальних одиниць.</w:t>
      </w:r>
    </w:p>
    <w:p w14:paraId="54DB95FF" w14:textId="77777777" w:rsidR="00A33B18" w:rsidRDefault="00A33B18" w:rsidP="00A33B18">
      <w:pPr>
        <w:pStyle w:val="1"/>
        <w:spacing w:line="360" w:lineRule="auto"/>
        <w:ind w:firstLine="567"/>
        <w:jc w:val="both"/>
      </w:pPr>
      <w:r>
        <w:t>Станом на 1 січня 2018 року в Україні створено 699 ОТГ. Проте з них діють лише 366, 159 з яких були створені у 2015 році, а 207 – у 2016 році. Аналіз та визначення характеристик розвитку ОТГ здійснюватиметься за результатами діяльності 159 ОТГ за період 2015-2016 рр. з урахуванням кращих дослідницьких можливостей наявних даних.</w:t>
      </w:r>
    </w:p>
    <w:p w14:paraId="071638F9" w14:textId="77777777" w:rsidR="00A33B18" w:rsidRDefault="00A33B18" w:rsidP="00A33B18">
      <w:pPr>
        <w:pStyle w:val="1"/>
        <w:spacing w:line="360" w:lineRule="auto"/>
        <w:ind w:firstLine="567"/>
        <w:jc w:val="both"/>
      </w:pPr>
      <w:r>
        <w:t>У 2015 році було створено перші 159 громад союзних територій та проведено вибори до органів місцевого самоврядування, які з 1 січня 2016 року переведені на прямі міжбюджетні відносини з державним бюджетом. Тому вивчення основних результатів його діяльності та визначення його ступеня фінансової незалежності та здатності забезпечити свій розвиток є особливо важливим для визначення переваг та можливих ризиків децентралізації.</w:t>
      </w:r>
    </w:p>
    <w:p w14:paraId="7A945A0E" w14:textId="77777777" w:rsidR="00A33B18" w:rsidRDefault="00A33B18" w:rsidP="00A33B18">
      <w:pPr>
        <w:pStyle w:val="1"/>
        <w:spacing w:line="360" w:lineRule="auto"/>
        <w:ind w:firstLine="567"/>
        <w:jc w:val="both"/>
      </w:pPr>
      <w:r>
        <w:t xml:space="preserve">Відповідно до Закону України «Про добровільне об’єднання територіальних громад» [21] та Порядку формування повноважних територіальних громад [21], об’єднання громад в ОТГ можливе на добровільних засадах за умови дотримання відповідних вимог. Однак ці законодавчі акти не вказували на мінімальну та максимальну кількість жителів чи певні географічні обмеження для новостворених адміністративно-територіальних одиниць. У результаті утворилися громади з чисельністю </w:t>
      </w:r>
      <w:r>
        <w:lastRenderedPageBreak/>
        <w:t>населення від 1633 (Макіївська ОТГ, Чернігівська область) до 44704 (Лиманська ОТГ, Донецька область) (рис. 2.1).</w:t>
      </w:r>
    </w:p>
    <w:p w14:paraId="284FD4BB" w14:textId="77777777" w:rsidR="000B4A0A" w:rsidRDefault="0048758C" w:rsidP="00A33B18">
      <w:pPr>
        <w:pStyle w:val="1"/>
        <w:spacing w:line="360" w:lineRule="auto"/>
        <w:ind w:firstLine="567"/>
        <w:jc w:val="both"/>
        <w:rPr>
          <w:lang w:val="uk-UA"/>
        </w:rPr>
      </w:pPr>
      <w:r>
        <w:t xml:space="preserve">З рис. </w:t>
      </w:r>
      <w:r>
        <w:rPr>
          <w:lang w:val="uk-UA"/>
        </w:rPr>
        <w:t>2</w:t>
      </w:r>
      <w:r>
        <w:t>.1</w:t>
      </w:r>
      <w:r w:rsidR="000B4A0A">
        <w:t xml:space="preserve"> можна побачити переважання громад з чисельністю жителів 10-15 тис. осіб (23 ОТГ). Проте, існує велика кількість ОТГ з чисельністю жителів до 5 тис. осіб (50 громад) і навіть до 3 тис. жителів (16 ОТГ), що, згідно досліджень та єдиної системи адміністративно-територіальних одиниць Європейського Союзу </w:t>
      </w:r>
      <w:r w:rsidR="000B4A0A">
        <w:rPr>
          <w:lang w:val="en-US" w:bidi="en-US"/>
        </w:rPr>
        <w:t>The</w:t>
      </w:r>
      <w:r w:rsidR="000B4A0A" w:rsidRPr="00A33B18">
        <w:rPr>
          <w:lang w:bidi="en-US"/>
        </w:rPr>
        <w:t xml:space="preserve"> </w:t>
      </w:r>
      <w:r w:rsidR="000B4A0A">
        <w:rPr>
          <w:lang w:val="en-US" w:bidi="en-US"/>
        </w:rPr>
        <w:t>Nomenclature</w:t>
      </w:r>
      <w:r w:rsidR="000B4A0A" w:rsidRPr="00A33B18">
        <w:rPr>
          <w:lang w:bidi="en-US"/>
        </w:rPr>
        <w:t xml:space="preserve"> </w:t>
      </w:r>
      <w:r w:rsidR="000B4A0A">
        <w:rPr>
          <w:lang w:val="en-US" w:bidi="en-US"/>
        </w:rPr>
        <w:t>of</w:t>
      </w:r>
      <w:r w:rsidR="000B4A0A" w:rsidRPr="00A33B18">
        <w:rPr>
          <w:lang w:bidi="en-US"/>
        </w:rPr>
        <w:t xml:space="preserve"> </w:t>
      </w:r>
      <w:r w:rsidR="000B4A0A">
        <w:rPr>
          <w:lang w:val="en-US" w:bidi="en-US"/>
        </w:rPr>
        <w:t>Territorial</w:t>
      </w:r>
      <w:r w:rsidR="000B4A0A" w:rsidRPr="00A33B18">
        <w:rPr>
          <w:lang w:bidi="en-US"/>
        </w:rPr>
        <w:t xml:space="preserve"> </w:t>
      </w:r>
      <w:r w:rsidR="000B4A0A">
        <w:rPr>
          <w:lang w:val="en-US" w:bidi="en-US"/>
        </w:rPr>
        <w:t>Units</w:t>
      </w:r>
      <w:r w:rsidR="000B4A0A" w:rsidRPr="00A33B18">
        <w:rPr>
          <w:lang w:bidi="en-US"/>
        </w:rPr>
        <w:t xml:space="preserve"> </w:t>
      </w:r>
      <w:r w:rsidR="000B4A0A">
        <w:rPr>
          <w:lang w:val="en-US" w:bidi="en-US"/>
        </w:rPr>
        <w:t>for</w:t>
      </w:r>
      <w:r w:rsidR="000B4A0A" w:rsidRPr="00A33B18">
        <w:rPr>
          <w:lang w:bidi="en-US"/>
        </w:rPr>
        <w:t xml:space="preserve"> </w:t>
      </w:r>
      <w:r w:rsidR="000B4A0A">
        <w:rPr>
          <w:lang w:val="en-US" w:bidi="en-US"/>
        </w:rPr>
        <w:t>Statistics</w:t>
      </w:r>
      <w:r w:rsidR="000B4A0A" w:rsidRPr="00A33B18">
        <w:rPr>
          <w:lang w:bidi="en-US"/>
        </w:rPr>
        <w:t xml:space="preserve"> (</w:t>
      </w:r>
      <w:r w:rsidR="000B4A0A">
        <w:rPr>
          <w:lang w:val="en-US" w:bidi="en-US"/>
        </w:rPr>
        <w:t>NUTS</w:t>
      </w:r>
      <w:r w:rsidR="000B4A0A" w:rsidRPr="00A33B18">
        <w:rPr>
          <w:lang w:bidi="en-US"/>
        </w:rPr>
        <w:t xml:space="preserve">) </w:t>
      </w:r>
      <w:r w:rsidR="000B4A0A">
        <w:t>може бути ознакою фінансової неспроможності громади.</w:t>
      </w:r>
    </w:p>
    <w:p w14:paraId="19A0D756" w14:textId="77777777" w:rsidR="0048758C" w:rsidRPr="0048758C" w:rsidRDefault="0048758C" w:rsidP="0048758C">
      <w:pPr>
        <w:pStyle w:val="1"/>
        <w:spacing w:line="360" w:lineRule="auto"/>
        <w:ind w:firstLine="567"/>
        <w:jc w:val="both"/>
        <w:rPr>
          <w:lang w:val="uk-UA"/>
        </w:rPr>
      </w:pPr>
    </w:p>
    <w:p w14:paraId="4A71CA12" w14:textId="77777777" w:rsidR="000B4A0A" w:rsidRDefault="000B4A0A" w:rsidP="000B4A0A">
      <w:pPr>
        <w:pStyle w:val="1"/>
        <w:spacing w:line="360" w:lineRule="auto"/>
        <w:ind w:firstLine="0"/>
        <w:jc w:val="both"/>
        <w:rPr>
          <w:b/>
          <w:color w:val="000000"/>
          <w:lang w:val="uk-UA" w:eastAsia="uk-UA" w:bidi="uk-UA"/>
        </w:rPr>
      </w:pPr>
      <w:r w:rsidRPr="000B4A0A">
        <w:rPr>
          <w:b/>
          <w:noProof/>
          <w:color w:val="000000"/>
          <w:lang w:val="uk-UA" w:eastAsia="uk-UA"/>
        </w:rPr>
        <w:drawing>
          <wp:inline distT="0" distB="0" distL="0" distR="0" wp14:anchorId="58A7961B" wp14:editId="30366333">
            <wp:extent cx="5940425" cy="2930864"/>
            <wp:effectExtent l="19050" t="0" r="3175" b="0"/>
            <wp:docPr id="79" name="Picut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9" cstate="print"/>
                    <a:stretch/>
                  </pic:blipFill>
                  <pic:spPr>
                    <a:xfrm>
                      <a:off x="0" y="0"/>
                      <a:ext cx="5940425" cy="2930864"/>
                    </a:xfrm>
                    <a:prstGeom prst="rect">
                      <a:avLst/>
                    </a:prstGeom>
                  </pic:spPr>
                </pic:pic>
              </a:graphicData>
            </a:graphic>
          </wp:inline>
        </w:drawing>
      </w:r>
    </w:p>
    <w:p w14:paraId="0A61E77D" w14:textId="77777777" w:rsidR="000B4A0A" w:rsidRDefault="0048758C" w:rsidP="000B4A0A">
      <w:pPr>
        <w:pStyle w:val="1"/>
        <w:spacing w:after="140"/>
        <w:ind w:firstLine="0"/>
        <w:jc w:val="center"/>
      </w:pPr>
      <w:r>
        <w:rPr>
          <w:lang w:eastAsia="ru-RU" w:bidi="ru-RU"/>
        </w:rPr>
        <w:t xml:space="preserve">Рис. </w:t>
      </w:r>
      <w:r>
        <w:rPr>
          <w:lang w:val="uk-UA" w:eastAsia="ru-RU" w:bidi="ru-RU"/>
        </w:rPr>
        <w:t>2</w:t>
      </w:r>
      <w:r>
        <w:rPr>
          <w:lang w:eastAsia="ru-RU" w:bidi="ru-RU"/>
        </w:rPr>
        <w:t>.1</w:t>
      </w:r>
      <w:r w:rsidR="000B4A0A">
        <w:rPr>
          <w:lang w:eastAsia="ru-RU" w:bidi="ru-RU"/>
        </w:rPr>
        <w:t xml:space="preserve">. </w:t>
      </w:r>
      <w:r w:rsidR="000B4A0A">
        <w:t xml:space="preserve">Розподіл об’єднаних територіальних </w:t>
      </w:r>
      <w:r w:rsidR="000B4A0A">
        <w:rPr>
          <w:lang w:eastAsia="ru-RU" w:bidi="ru-RU"/>
        </w:rPr>
        <w:t xml:space="preserve">громад за </w:t>
      </w:r>
      <w:r w:rsidR="000B4A0A">
        <w:t>кількістю</w:t>
      </w:r>
      <w:r w:rsidR="000B4A0A" w:rsidRPr="000B4A0A">
        <w:t xml:space="preserve"> </w:t>
      </w:r>
      <w:r w:rsidR="000B4A0A">
        <w:t>жителів</w:t>
      </w:r>
    </w:p>
    <w:p w14:paraId="68FA5CCE" w14:textId="77777777" w:rsidR="000B4A0A" w:rsidRDefault="000B4A0A" w:rsidP="000B4A0A">
      <w:pPr>
        <w:pStyle w:val="a7"/>
        <w:spacing w:line="240" w:lineRule="auto"/>
      </w:pPr>
    </w:p>
    <w:p w14:paraId="67C74617" w14:textId="77777777" w:rsidR="000B4A0A" w:rsidRDefault="000B4A0A" w:rsidP="0048758C">
      <w:pPr>
        <w:pStyle w:val="1"/>
        <w:spacing w:line="360" w:lineRule="auto"/>
        <w:ind w:firstLine="600"/>
        <w:jc w:val="both"/>
      </w:pPr>
      <w:r>
        <w:t xml:space="preserve">Відтак доцільним </w:t>
      </w:r>
      <w:r>
        <w:rPr>
          <w:lang w:eastAsia="ru-RU" w:bidi="ru-RU"/>
        </w:rPr>
        <w:t xml:space="preserve">буде визначення </w:t>
      </w:r>
      <w:r>
        <w:t xml:space="preserve">взаємозв’язку </w:t>
      </w:r>
      <w:r>
        <w:rPr>
          <w:lang w:eastAsia="ru-RU" w:bidi="ru-RU"/>
        </w:rPr>
        <w:t xml:space="preserve">таких </w:t>
      </w:r>
      <w:r>
        <w:t xml:space="preserve">факторів </w:t>
      </w:r>
      <w:r>
        <w:rPr>
          <w:lang w:eastAsia="ru-RU" w:bidi="ru-RU"/>
        </w:rPr>
        <w:t xml:space="preserve">як </w:t>
      </w:r>
      <w:r>
        <w:t xml:space="preserve">чисельність жителів </w:t>
      </w:r>
      <w:r>
        <w:rPr>
          <w:lang w:eastAsia="ru-RU" w:bidi="ru-RU"/>
        </w:rPr>
        <w:t xml:space="preserve">громади та </w:t>
      </w:r>
      <w:r>
        <w:t xml:space="preserve">рівень її фінансової спроможності. Відповідно </w:t>
      </w:r>
      <w:r>
        <w:rPr>
          <w:lang w:eastAsia="ru-RU" w:bidi="ru-RU"/>
        </w:rPr>
        <w:t xml:space="preserve">до цього завдання </w:t>
      </w:r>
      <w:r>
        <w:t xml:space="preserve">поділимо утворені об’єднані </w:t>
      </w:r>
      <w:r>
        <w:rPr>
          <w:lang w:eastAsia="ru-RU" w:bidi="ru-RU"/>
        </w:rPr>
        <w:t xml:space="preserve">громади на групи </w:t>
      </w:r>
      <w:r>
        <w:t xml:space="preserve">за чисельністю осіб - </w:t>
      </w:r>
      <w:r>
        <w:rPr>
          <w:lang w:eastAsia="ru-RU" w:bidi="ru-RU"/>
        </w:rPr>
        <w:t xml:space="preserve">табл. </w:t>
      </w:r>
      <w:r w:rsidR="0048758C">
        <w:rPr>
          <w:lang w:val="uk-UA"/>
        </w:rPr>
        <w:t>2</w:t>
      </w:r>
      <w:r w:rsidR="0048758C">
        <w:t>.</w:t>
      </w:r>
      <w:r w:rsidR="0048758C">
        <w:rPr>
          <w:lang w:val="uk-UA"/>
        </w:rPr>
        <w:t>1</w:t>
      </w:r>
      <w:r>
        <w:t>.</w:t>
      </w:r>
    </w:p>
    <w:p w14:paraId="62D8D8D7" w14:textId="77777777" w:rsidR="000B4A0A" w:rsidRDefault="000B4A0A" w:rsidP="0048758C">
      <w:pPr>
        <w:pStyle w:val="1"/>
        <w:spacing w:line="360" w:lineRule="auto"/>
        <w:ind w:firstLine="0"/>
        <w:jc w:val="both"/>
        <w:rPr>
          <w:b/>
          <w:color w:val="000000"/>
          <w:lang w:val="uk-UA" w:eastAsia="uk-UA" w:bidi="uk-UA"/>
        </w:rPr>
      </w:pPr>
    </w:p>
    <w:p w14:paraId="34038CF1" w14:textId="77777777" w:rsidR="00255BC9" w:rsidRDefault="00255BC9" w:rsidP="0048758C">
      <w:pPr>
        <w:pStyle w:val="1"/>
        <w:spacing w:line="360" w:lineRule="auto"/>
        <w:ind w:firstLine="0"/>
        <w:jc w:val="both"/>
        <w:rPr>
          <w:b/>
          <w:color w:val="000000"/>
          <w:lang w:val="uk-UA" w:eastAsia="uk-UA" w:bidi="uk-UA"/>
        </w:rPr>
      </w:pPr>
    </w:p>
    <w:p w14:paraId="0742D56B" w14:textId="77777777" w:rsidR="00255BC9" w:rsidRDefault="00255BC9" w:rsidP="0048758C">
      <w:pPr>
        <w:pStyle w:val="1"/>
        <w:spacing w:line="360" w:lineRule="auto"/>
        <w:ind w:firstLine="0"/>
        <w:jc w:val="both"/>
        <w:rPr>
          <w:b/>
          <w:color w:val="000000"/>
          <w:lang w:val="uk-UA" w:eastAsia="uk-UA" w:bidi="uk-UA"/>
        </w:rPr>
      </w:pPr>
    </w:p>
    <w:p w14:paraId="2A021183" w14:textId="77777777" w:rsidR="0048758C" w:rsidRDefault="0048758C" w:rsidP="0048758C">
      <w:pPr>
        <w:pStyle w:val="1"/>
        <w:spacing w:line="360" w:lineRule="auto"/>
        <w:ind w:firstLine="0"/>
        <w:jc w:val="both"/>
        <w:rPr>
          <w:b/>
          <w:color w:val="000000"/>
          <w:lang w:val="uk-UA" w:eastAsia="uk-UA" w:bidi="uk-UA"/>
        </w:rPr>
      </w:pPr>
    </w:p>
    <w:p w14:paraId="2C668570" w14:textId="77777777" w:rsidR="000B4A0A" w:rsidRPr="0048758C" w:rsidRDefault="0048758C" w:rsidP="000B4A0A">
      <w:pPr>
        <w:pStyle w:val="1"/>
        <w:ind w:firstLine="0"/>
        <w:jc w:val="right"/>
        <w:rPr>
          <w:lang w:val="uk-UA"/>
        </w:rPr>
      </w:pPr>
      <w:r>
        <w:rPr>
          <w:lang w:eastAsia="ru-RU" w:bidi="ru-RU"/>
        </w:rPr>
        <w:t xml:space="preserve">Таблиця </w:t>
      </w:r>
      <w:r>
        <w:rPr>
          <w:lang w:val="uk-UA" w:eastAsia="ru-RU" w:bidi="ru-RU"/>
        </w:rPr>
        <w:t>2</w:t>
      </w:r>
      <w:r>
        <w:rPr>
          <w:lang w:eastAsia="ru-RU" w:bidi="ru-RU"/>
        </w:rPr>
        <w:t>.</w:t>
      </w:r>
      <w:r>
        <w:rPr>
          <w:lang w:val="uk-UA" w:eastAsia="ru-RU" w:bidi="ru-RU"/>
        </w:rPr>
        <w:t>1</w:t>
      </w:r>
    </w:p>
    <w:p w14:paraId="7419F206" w14:textId="77777777" w:rsidR="000B4A0A" w:rsidRDefault="000B4A0A" w:rsidP="000B4A0A">
      <w:pPr>
        <w:pStyle w:val="1"/>
        <w:ind w:firstLine="820"/>
      </w:pPr>
      <w:r>
        <w:rPr>
          <w:lang w:eastAsia="ru-RU" w:bidi="ru-RU"/>
        </w:rPr>
        <w:t xml:space="preserve">Групи </w:t>
      </w:r>
      <w:r>
        <w:t xml:space="preserve">об’єднаних територіальних </w:t>
      </w:r>
      <w:r>
        <w:rPr>
          <w:lang w:eastAsia="ru-RU" w:bidi="ru-RU"/>
        </w:rPr>
        <w:t xml:space="preserve">громад за </w:t>
      </w:r>
      <w:r>
        <w:t xml:space="preserve">чисельністю </w:t>
      </w:r>
      <w:r>
        <w:rPr>
          <w:lang w:eastAsia="ru-RU" w:bidi="ru-RU"/>
        </w:rPr>
        <w:t>населення в</w:t>
      </w:r>
    </w:p>
    <w:p w14:paraId="2266D64E" w14:textId="77777777" w:rsidR="000B4A0A" w:rsidRDefault="0048758C" w:rsidP="000B4A0A">
      <w:pPr>
        <w:pStyle w:val="1"/>
        <w:ind w:firstLine="0"/>
        <w:jc w:val="center"/>
        <w:rPr>
          <w:lang w:val="uk-UA"/>
        </w:rPr>
      </w:pPr>
      <w:r>
        <w:lastRenderedPageBreak/>
        <w:t>Г</w:t>
      </w:r>
      <w:r w:rsidR="000B4A0A">
        <w:t>ромаді</w:t>
      </w:r>
    </w:p>
    <w:p w14:paraId="5E382734" w14:textId="77777777" w:rsidR="0048758C" w:rsidRPr="0048758C" w:rsidRDefault="0048758C" w:rsidP="000B4A0A">
      <w:pPr>
        <w:pStyle w:val="1"/>
        <w:ind w:firstLine="0"/>
        <w:jc w:val="center"/>
        <w:rPr>
          <w:lang w:val="uk-UA"/>
        </w:rPr>
      </w:pPr>
    </w:p>
    <w:tbl>
      <w:tblPr>
        <w:tblW w:w="0" w:type="auto"/>
        <w:tblLayout w:type="fixed"/>
        <w:tblCellMar>
          <w:left w:w="10" w:type="dxa"/>
          <w:right w:w="10" w:type="dxa"/>
        </w:tblCellMar>
        <w:tblLook w:val="04A0" w:firstRow="1" w:lastRow="0" w:firstColumn="1" w:lastColumn="0" w:noHBand="0" w:noVBand="1"/>
      </w:tblPr>
      <w:tblGrid>
        <w:gridCol w:w="2438"/>
        <w:gridCol w:w="1416"/>
        <w:gridCol w:w="1834"/>
        <w:gridCol w:w="1829"/>
        <w:gridCol w:w="1982"/>
      </w:tblGrid>
      <w:tr w:rsidR="000B4A0A" w14:paraId="3B62C602" w14:textId="77777777" w:rsidTr="000B4A0A">
        <w:trPr>
          <w:trHeight w:hRule="exact" w:val="1670"/>
        </w:trPr>
        <w:tc>
          <w:tcPr>
            <w:tcW w:w="2438" w:type="dxa"/>
            <w:tcBorders>
              <w:top w:val="single" w:sz="4" w:space="0" w:color="auto"/>
              <w:left w:val="single" w:sz="4" w:space="0" w:color="auto"/>
            </w:tcBorders>
            <w:shd w:val="clear" w:color="auto" w:fill="C4BC97"/>
            <w:vAlign w:val="center"/>
          </w:tcPr>
          <w:p w14:paraId="2B44F0ED" w14:textId="77777777" w:rsidR="000B4A0A" w:rsidRDefault="000B4A0A" w:rsidP="000B4A0A">
            <w:pPr>
              <w:pStyle w:val="ad"/>
              <w:spacing w:line="240" w:lineRule="auto"/>
              <w:ind w:firstLine="0"/>
              <w:jc w:val="center"/>
              <w:rPr>
                <w:sz w:val="24"/>
                <w:szCs w:val="24"/>
              </w:rPr>
            </w:pPr>
            <w:r>
              <w:rPr>
                <w:sz w:val="24"/>
                <w:szCs w:val="24"/>
              </w:rPr>
              <w:t>Група з чисельністю населення</w:t>
            </w:r>
          </w:p>
        </w:tc>
        <w:tc>
          <w:tcPr>
            <w:tcW w:w="1416" w:type="dxa"/>
            <w:tcBorders>
              <w:top w:val="single" w:sz="4" w:space="0" w:color="auto"/>
              <w:left w:val="single" w:sz="4" w:space="0" w:color="auto"/>
            </w:tcBorders>
            <w:shd w:val="clear" w:color="auto" w:fill="C4BC97"/>
            <w:vAlign w:val="center"/>
          </w:tcPr>
          <w:p w14:paraId="0EDB7151" w14:textId="77777777" w:rsidR="000B4A0A" w:rsidRDefault="000B4A0A" w:rsidP="000B4A0A">
            <w:pPr>
              <w:pStyle w:val="ad"/>
              <w:spacing w:line="240" w:lineRule="auto"/>
              <w:ind w:firstLine="0"/>
              <w:jc w:val="center"/>
              <w:rPr>
                <w:sz w:val="24"/>
                <w:szCs w:val="24"/>
              </w:rPr>
            </w:pPr>
            <w:r>
              <w:rPr>
                <w:sz w:val="24"/>
                <w:szCs w:val="24"/>
              </w:rPr>
              <w:t>Кількість ОТГ</w:t>
            </w:r>
          </w:p>
        </w:tc>
        <w:tc>
          <w:tcPr>
            <w:tcW w:w="1834" w:type="dxa"/>
            <w:tcBorders>
              <w:top w:val="single" w:sz="4" w:space="0" w:color="auto"/>
              <w:left w:val="single" w:sz="4" w:space="0" w:color="auto"/>
            </w:tcBorders>
            <w:shd w:val="clear" w:color="auto" w:fill="C4BC97"/>
            <w:vAlign w:val="bottom"/>
          </w:tcPr>
          <w:p w14:paraId="1396F344" w14:textId="77777777" w:rsidR="000B4A0A" w:rsidRDefault="000B4A0A" w:rsidP="000B4A0A">
            <w:pPr>
              <w:pStyle w:val="ad"/>
              <w:spacing w:line="240" w:lineRule="auto"/>
              <w:ind w:firstLine="0"/>
              <w:jc w:val="center"/>
              <w:rPr>
                <w:sz w:val="24"/>
                <w:szCs w:val="24"/>
              </w:rPr>
            </w:pPr>
            <w:r>
              <w:rPr>
                <w:sz w:val="24"/>
                <w:szCs w:val="24"/>
              </w:rPr>
              <w:t>Питома вага ОТГ групи в загальній чисельності ОТГ України, %</w:t>
            </w:r>
          </w:p>
        </w:tc>
        <w:tc>
          <w:tcPr>
            <w:tcW w:w="1829" w:type="dxa"/>
            <w:tcBorders>
              <w:top w:val="single" w:sz="4" w:space="0" w:color="auto"/>
              <w:left w:val="single" w:sz="4" w:space="0" w:color="auto"/>
            </w:tcBorders>
            <w:shd w:val="clear" w:color="auto" w:fill="C4BC97"/>
            <w:vAlign w:val="center"/>
          </w:tcPr>
          <w:p w14:paraId="20FF2C15" w14:textId="77777777" w:rsidR="000B4A0A" w:rsidRDefault="000B4A0A" w:rsidP="000B4A0A">
            <w:pPr>
              <w:pStyle w:val="ad"/>
              <w:spacing w:line="240" w:lineRule="auto"/>
              <w:ind w:firstLine="0"/>
              <w:jc w:val="center"/>
              <w:rPr>
                <w:sz w:val="24"/>
                <w:szCs w:val="24"/>
              </w:rPr>
            </w:pPr>
            <w:r>
              <w:rPr>
                <w:sz w:val="24"/>
                <w:szCs w:val="24"/>
              </w:rPr>
              <w:t>Чисельність населення в групі, тис. осіб</w:t>
            </w:r>
          </w:p>
        </w:tc>
        <w:tc>
          <w:tcPr>
            <w:tcW w:w="1982" w:type="dxa"/>
            <w:tcBorders>
              <w:top w:val="single" w:sz="4" w:space="0" w:color="auto"/>
              <w:left w:val="single" w:sz="4" w:space="0" w:color="auto"/>
              <w:right w:val="single" w:sz="4" w:space="0" w:color="auto"/>
            </w:tcBorders>
            <w:shd w:val="clear" w:color="auto" w:fill="C4BC97"/>
            <w:vAlign w:val="bottom"/>
          </w:tcPr>
          <w:p w14:paraId="784AD3D4" w14:textId="77777777" w:rsidR="000B4A0A" w:rsidRDefault="000B4A0A" w:rsidP="000B4A0A">
            <w:pPr>
              <w:pStyle w:val="ad"/>
              <w:spacing w:line="240" w:lineRule="auto"/>
              <w:ind w:firstLine="0"/>
              <w:jc w:val="center"/>
              <w:rPr>
                <w:sz w:val="24"/>
                <w:szCs w:val="24"/>
              </w:rPr>
            </w:pPr>
            <w:r>
              <w:rPr>
                <w:sz w:val="24"/>
                <w:szCs w:val="24"/>
              </w:rPr>
              <w:t>Питома вага населення групи в загальній чисельності населення ОТГ</w:t>
            </w:r>
          </w:p>
          <w:p w14:paraId="69AD60AD" w14:textId="77777777" w:rsidR="000B4A0A" w:rsidRDefault="000B4A0A" w:rsidP="000B4A0A">
            <w:pPr>
              <w:pStyle w:val="ad"/>
              <w:spacing w:line="240" w:lineRule="auto"/>
              <w:ind w:firstLine="340"/>
              <w:rPr>
                <w:sz w:val="24"/>
                <w:szCs w:val="24"/>
              </w:rPr>
            </w:pPr>
            <w:r>
              <w:rPr>
                <w:sz w:val="24"/>
                <w:szCs w:val="24"/>
              </w:rPr>
              <w:t>України, %</w:t>
            </w:r>
          </w:p>
        </w:tc>
      </w:tr>
      <w:tr w:rsidR="000B4A0A" w14:paraId="71360FFE" w14:textId="77777777" w:rsidTr="000B4A0A">
        <w:trPr>
          <w:trHeight w:hRule="exact" w:val="307"/>
        </w:trPr>
        <w:tc>
          <w:tcPr>
            <w:tcW w:w="2438" w:type="dxa"/>
            <w:tcBorders>
              <w:top w:val="single" w:sz="4" w:space="0" w:color="auto"/>
              <w:left w:val="single" w:sz="4" w:space="0" w:color="auto"/>
            </w:tcBorders>
            <w:shd w:val="clear" w:color="auto" w:fill="C4BC97"/>
            <w:vAlign w:val="bottom"/>
          </w:tcPr>
          <w:p w14:paraId="5753098D" w14:textId="77777777" w:rsidR="000B4A0A" w:rsidRDefault="000B4A0A" w:rsidP="000B4A0A">
            <w:pPr>
              <w:pStyle w:val="ad"/>
              <w:spacing w:line="240" w:lineRule="auto"/>
              <w:ind w:firstLine="0"/>
              <w:rPr>
                <w:sz w:val="24"/>
                <w:szCs w:val="24"/>
              </w:rPr>
            </w:pPr>
            <w:r>
              <w:rPr>
                <w:sz w:val="24"/>
                <w:szCs w:val="24"/>
              </w:rPr>
              <w:t>до 3 тис. осіб</w:t>
            </w:r>
          </w:p>
        </w:tc>
        <w:tc>
          <w:tcPr>
            <w:tcW w:w="1416" w:type="dxa"/>
            <w:tcBorders>
              <w:top w:val="single" w:sz="4" w:space="0" w:color="auto"/>
              <w:left w:val="single" w:sz="4" w:space="0" w:color="auto"/>
            </w:tcBorders>
            <w:shd w:val="clear" w:color="auto" w:fill="auto"/>
            <w:vAlign w:val="bottom"/>
          </w:tcPr>
          <w:p w14:paraId="27A2435C" w14:textId="77777777" w:rsidR="000B4A0A" w:rsidRDefault="000B4A0A" w:rsidP="000B4A0A">
            <w:pPr>
              <w:pStyle w:val="ad"/>
              <w:spacing w:line="240" w:lineRule="auto"/>
              <w:ind w:firstLine="0"/>
              <w:jc w:val="right"/>
              <w:rPr>
                <w:sz w:val="24"/>
                <w:szCs w:val="24"/>
              </w:rPr>
            </w:pPr>
            <w:r>
              <w:rPr>
                <w:sz w:val="24"/>
                <w:szCs w:val="24"/>
              </w:rPr>
              <w:t>18</w:t>
            </w:r>
          </w:p>
        </w:tc>
        <w:tc>
          <w:tcPr>
            <w:tcW w:w="1834" w:type="dxa"/>
            <w:tcBorders>
              <w:top w:val="single" w:sz="4" w:space="0" w:color="auto"/>
              <w:left w:val="single" w:sz="4" w:space="0" w:color="auto"/>
            </w:tcBorders>
            <w:shd w:val="clear" w:color="auto" w:fill="auto"/>
            <w:vAlign w:val="bottom"/>
          </w:tcPr>
          <w:p w14:paraId="16FEF1CC" w14:textId="77777777" w:rsidR="000B4A0A" w:rsidRDefault="000B4A0A" w:rsidP="000B4A0A">
            <w:pPr>
              <w:pStyle w:val="ad"/>
              <w:spacing w:line="240" w:lineRule="auto"/>
              <w:ind w:firstLine="0"/>
              <w:jc w:val="right"/>
              <w:rPr>
                <w:sz w:val="24"/>
                <w:szCs w:val="24"/>
              </w:rPr>
            </w:pPr>
            <w:r>
              <w:rPr>
                <w:i/>
                <w:iCs/>
                <w:sz w:val="24"/>
                <w:szCs w:val="24"/>
              </w:rPr>
              <w:t>11,3</w:t>
            </w:r>
          </w:p>
        </w:tc>
        <w:tc>
          <w:tcPr>
            <w:tcW w:w="1829" w:type="dxa"/>
            <w:tcBorders>
              <w:top w:val="single" w:sz="4" w:space="0" w:color="auto"/>
              <w:left w:val="single" w:sz="4" w:space="0" w:color="auto"/>
            </w:tcBorders>
            <w:shd w:val="clear" w:color="auto" w:fill="auto"/>
            <w:vAlign w:val="bottom"/>
          </w:tcPr>
          <w:p w14:paraId="4D8EDCA0" w14:textId="77777777" w:rsidR="000B4A0A" w:rsidRDefault="000B4A0A" w:rsidP="000B4A0A">
            <w:pPr>
              <w:pStyle w:val="ad"/>
              <w:spacing w:line="240" w:lineRule="auto"/>
              <w:ind w:firstLine="0"/>
              <w:jc w:val="right"/>
              <w:rPr>
                <w:sz w:val="24"/>
                <w:szCs w:val="24"/>
              </w:rPr>
            </w:pPr>
            <w:r>
              <w:rPr>
                <w:sz w:val="24"/>
                <w:szCs w:val="24"/>
              </w:rPr>
              <w:t>43,3</w:t>
            </w:r>
          </w:p>
        </w:tc>
        <w:tc>
          <w:tcPr>
            <w:tcW w:w="1982" w:type="dxa"/>
            <w:tcBorders>
              <w:top w:val="single" w:sz="4" w:space="0" w:color="auto"/>
              <w:left w:val="single" w:sz="4" w:space="0" w:color="auto"/>
              <w:right w:val="single" w:sz="4" w:space="0" w:color="auto"/>
            </w:tcBorders>
            <w:shd w:val="clear" w:color="auto" w:fill="auto"/>
            <w:vAlign w:val="bottom"/>
          </w:tcPr>
          <w:p w14:paraId="7CB2C4D5" w14:textId="77777777" w:rsidR="000B4A0A" w:rsidRDefault="000B4A0A" w:rsidP="000B4A0A">
            <w:pPr>
              <w:pStyle w:val="ad"/>
              <w:spacing w:line="240" w:lineRule="auto"/>
              <w:ind w:firstLine="0"/>
              <w:jc w:val="right"/>
              <w:rPr>
                <w:sz w:val="24"/>
                <w:szCs w:val="24"/>
              </w:rPr>
            </w:pPr>
            <w:r>
              <w:rPr>
                <w:i/>
                <w:iCs/>
                <w:sz w:val="24"/>
                <w:szCs w:val="24"/>
              </w:rPr>
              <w:t>3,1</w:t>
            </w:r>
          </w:p>
        </w:tc>
      </w:tr>
      <w:tr w:rsidR="000B4A0A" w14:paraId="265927F2" w14:textId="77777777" w:rsidTr="000B4A0A">
        <w:trPr>
          <w:trHeight w:hRule="exact" w:val="312"/>
        </w:trPr>
        <w:tc>
          <w:tcPr>
            <w:tcW w:w="2438" w:type="dxa"/>
            <w:tcBorders>
              <w:top w:val="single" w:sz="4" w:space="0" w:color="auto"/>
              <w:left w:val="single" w:sz="4" w:space="0" w:color="auto"/>
            </w:tcBorders>
            <w:shd w:val="clear" w:color="auto" w:fill="C4BC97"/>
            <w:vAlign w:val="bottom"/>
          </w:tcPr>
          <w:p w14:paraId="421083C7" w14:textId="77777777" w:rsidR="000B4A0A" w:rsidRDefault="000B4A0A" w:rsidP="000B4A0A">
            <w:pPr>
              <w:pStyle w:val="ad"/>
              <w:spacing w:line="240" w:lineRule="auto"/>
              <w:ind w:firstLine="0"/>
              <w:rPr>
                <w:sz w:val="24"/>
                <w:szCs w:val="24"/>
              </w:rPr>
            </w:pPr>
            <w:r>
              <w:rPr>
                <w:sz w:val="24"/>
                <w:szCs w:val="24"/>
              </w:rPr>
              <w:t>3 - 5 тис. осіб</w:t>
            </w:r>
          </w:p>
        </w:tc>
        <w:tc>
          <w:tcPr>
            <w:tcW w:w="1416" w:type="dxa"/>
            <w:tcBorders>
              <w:top w:val="single" w:sz="4" w:space="0" w:color="auto"/>
              <w:left w:val="single" w:sz="4" w:space="0" w:color="auto"/>
            </w:tcBorders>
            <w:shd w:val="clear" w:color="auto" w:fill="auto"/>
            <w:vAlign w:val="bottom"/>
          </w:tcPr>
          <w:p w14:paraId="0E9C308E" w14:textId="77777777" w:rsidR="000B4A0A" w:rsidRDefault="000B4A0A" w:rsidP="000B4A0A">
            <w:pPr>
              <w:pStyle w:val="ad"/>
              <w:spacing w:line="240" w:lineRule="auto"/>
              <w:ind w:firstLine="0"/>
              <w:jc w:val="right"/>
              <w:rPr>
                <w:sz w:val="24"/>
                <w:szCs w:val="24"/>
              </w:rPr>
            </w:pPr>
            <w:r>
              <w:rPr>
                <w:sz w:val="24"/>
                <w:szCs w:val="24"/>
              </w:rPr>
              <w:t>40</w:t>
            </w:r>
          </w:p>
        </w:tc>
        <w:tc>
          <w:tcPr>
            <w:tcW w:w="1834" w:type="dxa"/>
            <w:tcBorders>
              <w:top w:val="single" w:sz="4" w:space="0" w:color="auto"/>
              <w:left w:val="single" w:sz="4" w:space="0" w:color="auto"/>
            </w:tcBorders>
            <w:shd w:val="clear" w:color="auto" w:fill="auto"/>
            <w:vAlign w:val="bottom"/>
          </w:tcPr>
          <w:p w14:paraId="18FF6119" w14:textId="77777777" w:rsidR="000B4A0A" w:rsidRDefault="000B4A0A" w:rsidP="000B4A0A">
            <w:pPr>
              <w:pStyle w:val="ad"/>
              <w:spacing w:line="240" w:lineRule="auto"/>
              <w:ind w:left="1300" w:firstLine="0"/>
              <w:jc w:val="both"/>
              <w:rPr>
                <w:sz w:val="24"/>
                <w:szCs w:val="24"/>
              </w:rPr>
            </w:pPr>
            <w:r>
              <w:rPr>
                <w:i/>
                <w:iCs/>
                <w:sz w:val="24"/>
                <w:szCs w:val="24"/>
              </w:rPr>
              <w:t>25,2</w:t>
            </w:r>
          </w:p>
        </w:tc>
        <w:tc>
          <w:tcPr>
            <w:tcW w:w="1829" w:type="dxa"/>
            <w:tcBorders>
              <w:top w:val="single" w:sz="4" w:space="0" w:color="auto"/>
              <w:left w:val="single" w:sz="4" w:space="0" w:color="auto"/>
            </w:tcBorders>
            <w:shd w:val="clear" w:color="auto" w:fill="auto"/>
            <w:vAlign w:val="bottom"/>
          </w:tcPr>
          <w:p w14:paraId="183CC7B0" w14:textId="77777777" w:rsidR="000B4A0A" w:rsidRDefault="000B4A0A" w:rsidP="000B4A0A">
            <w:pPr>
              <w:pStyle w:val="ad"/>
              <w:spacing w:line="240" w:lineRule="auto"/>
              <w:ind w:left="1180" w:firstLine="0"/>
              <w:jc w:val="both"/>
              <w:rPr>
                <w:sz w:val="24"/>
                <w:szCs w:val="24"/>
              </w:rPr>
            </w:pPr>
            <w:r>
              <w:rPr>
                <w:sz w:val="24"/>
                <w:szCs w:val="24"/>
              </w:rPr>
              <w:t>159,9</w:t>
            </w:r>
          </w:p>
        </w:tc>
        <w:tc>
          <w:tcPr>
            <w:tcW w:w="1982" w:type="dxa"/>
            <w:tcBorders>
              <w:top w:val="single" w:sz="4" w:space="0" w:color="auto"/>
              <w:left w:val="single" w:sz="4" w:space="0" w:color="auto"/>
              <w:right w:val="single" w:sz="4" w:space="0" w:color="auto"/>
            </w:tcBorders>
            <w:shd w:val="clear" w:color="auto" w:fill="auto"/>
            <w:vAlign w:val="bottom"/>
          </w:tcPr>
          <w:p w14:paraId="6EC568FA" w14:textId="77777777" w:rsidR="000B4A0A" w:rsidRDefault="000B4A0A" w:rsidP="000B4A0A">
            <w:pPr>
              <w:pStyle w:val="ad"/>
              <w:spacing w:line="240" w:lineRule="auto"/>
              <w:ind w:left="1440" w:firstLine="0"/>
              <w:jc w:val="both"/>
              <w:rPr>
                <w:sz w:val="24"/>
                <w:szCs w:val="24"/>
              </w:rPr>
            </w:pPr>
            <w:r>
              <w:rPr>
                <w:i/>
                <w:iCs/>
                <w:sz w:val="24"/>
                <w:szCs w:val="24"/>
              </w:rPr>
              <w:t>11,5</w:t>
            </w:r>
          </w:p>
        </w:tc>
      </w:tr>
      <w:tr w:rsidR="000B4A0A" w14:paraId="274C232B" w14:textId="77777777" w:rsidTr="000B4A0A">
        <w:trPr>
          <w:trHeight w:hRule="exact" w:val="312"/>
        </w:trPr>
        <w:tc>
          <w:tcPr>
            <w:tcW w:w="2438" w:type="dxa"/>
            <w:tcBorders>
              <w:top w:val="single" w:sz="4" w:space="0" w:color="auto"/>
              <w:left w:val="single" w:sz="4" w:space="0" w:color="auto"/>
            </w:tcBorders>
            <w:shd w:val="clear" w:color="auto" w:fill="C4BC97"/>
            <w:vAlign w:val="bottom"/>
          </w:tcPr>
          <w:p w14:paraId="455E42C2" w14:textId="77777777" w:rsidR="000B4A0A" w:rsidRDefault="000B4A0A" w:rsidP="000B4A0A">
            <w:pPr>
              <w:pStyle w:val="ad"/>
              <w:spacing w:line="240" w:lineRule="auto"/>
              <w:ind w:firstLine="0"/>
              <w:rPr>
                <w:sz w:val="24"/>
                <w:szCs w:val="24"/>
              </w:rPr>
            </w:pPr>
            <w:r>
              <w:rPr>
                <w:sz w:val="24"/>
                <w:szCs w:val="24"/>
              </w:rPr>
              <w:t>5 - 10 тис. осіб</w:t>
            </w:r>
          </w:p>
        </w:tc>
        <w:tc>
          <w:tcPr>
            <w:tcW w:w="1416" w:type="dxa"/>
            <w:tcBorders>
              <w:top w:val="single" w:sz="4" w:space="0" w:color="auto"/>
              <w:left w:val="single" w:sz="4" w:space="0" w:color="auto"/>
            </w:tcBorders>
            <w:shd w:val="clear" w:color="auto" w:fill="auto"/>
            <w:vAlign w:val="bottom"/>
          </w:tcPr>
          <w:p w14:paraId="4C33F021" w14:textId="77777777" w:rsidR="000B4A0A" w:rsidRDefault="000B4A0A" w:rsidP="000B4A0A">
            <w:pPr>
              <w:pStyle w:val="ad"/>
              <w:spacing w:line="240" w:lineRule="auto"/>
              <w:ind w:firstLine="0"/>
              <w:jc w:val="right"/>
              <w:rPr>
                <w:sz w:val="24"/>
                <w:szCs w:val="24"/>
              </w:rPr>
            </w:pPr>
            <w:r>
              <w:rPr>
                <w:sz w:val="24"/>
                <w:szCs w:val="24"/>
              </w:rPr>
              <w:t>56</w:t>
            </w:r>
          </w:p>
        </w:tc>
        <w:tc>
          <w:tcPr>
            <w:tcW w:w="1834" w:type="dxa"/>
            <w:tcBorders>
              <w:top w:val="single" w:sz="4" w:space="0" w:color="auto"/>
              <w:left w:val="single" w:sz="4" w:space="0" w:color="auto"/>
            </w:tcBorders>
            <w:shd w:val="clear" w:color="auto" w:fill="auto"/>
            <w:vAlign w:val="bottom"/>
          </w:tcPr>
          <w:p w14:paraId="7F901227" w14:textId="77777777" w:rsidR="000B4A0A" w:rsidRDefault="000B4A0A" w:rsidP="000B4A0A">
            <w:pPr>
              <w:pStyle w:val="ad"/>
              <w:spacing w:line="240" w:lineRule="auto"/>
              <w:ind w:left="1300" w:firstLine="0"/>
              <w:jc w:val="both"/>
              <w:rPr>
                <w:sz w:val="24"/>
                <w:szCs w:val="24"/>
              </w:rPr>
            </w:pPr>
            <w:r>
              <w:rPr>
                <w:i/>
                <w:iCs/>
                <w:sz w:val="24"/>
                <w:szCs w:val="24"/>
              </w:rPr>
              <w:t>35,2</w:t>
            </w:r>
          </w:p>
        </w:tc>
        <w:tc>
          <w:tcPr>
            <w:tcW w:w="1829" w:type="dxa"/>
            <w:tcBorders>
              <w:top w:val="single" w:sz="4" w:space="0" w:color="auto"/>
              <w:left w:val="single" w:sz="4" w:space="0" w:color="auto"/>
            </w:tcBorders>
            <w:shd w:val="clear" w:color="auto" w:fill="auto"/>
            <w:vAlign w:val="bottom"/>
          </w:tcPr>
          <w:p w14:paraId="55155F26" w14:textId="77777777" w:rsidR="000B4A0A" w:rsidRDefault="000B4A0A" w:rsidP="000B4A0A">
            <w:pPr>
              <w:pStyle w:val="ad"/>
              <w:spacing w:line="240" w:lineRule="auto"/>
              <w:ind w:left="1180" w:firstLine="0"/>
              <w:jc w:val="both"/>
              <w:rPr>
                <w:sz w:val="24"/>
                <w:szCs w:val="24"/>
              </w:rPr>
            </w:pPr>
            <w:r>
              <w:rPr>
                <w:sz w:val="24"/>
                <w:szCs w:val="24"/>
              </w:rPr>
              <w:t>393,6</w:t>
            </w:r>
          </w:p>
        </w:tc>
        <w:tc>
          <w:tcPr>
            <w:tcW w:w="1982" w:type="dxa"/>
            <w:tcBorders>
              <w:top w:val="single" w:sz="4" w:space="0" w:color="auto"/>
              <w:left w:val="single" w:sz="4" w:space="0" w:color="auto"/>
              <w:right w:val="single" w:sz="4" w:space="0" w:color="auto"/>
            </w:tcBorders>
            <w:shd w:val="clear" w:color="auto" w:fill="auto"/>
            <w:vAlign w:val="bottom"/>
          </w:tcPr>
          <w:p w14:paraId="2FF00DBF" w14:textId="77777777" w:rsidR="000B4A0A" w:rsidRDefault="000B4A0A" w:rsidP="000B4A0A">
            <w:pPr>
              <w:pStyle w:val="ad"/>
              <w:spacing w:line="240" w:lineRule="auto"/>
              <w:ind w:left="1440" w:firstLine="0"/>
              <w:jc w:val="both"/>
              <w:rPr>
                <w:sz w:val="24"/>
                <w:szCs w:val="24"/>
              </w:rPr>
            </w:pPr>
            <w:r>
              <w:rPr>
                <w:i/>
                <w:iCs/>
                <w:sz w:val="24"/>
                <w:szCs w:val="24"/>
              </w:rPr>
              <w:t>28,3</w:t>
            </w:r>
          </w:p>
        </w:tc>
      </w:tr>
      <w:tr w:rsidR="000B4A0A" w14:paraId="06309AE8" w14:textId="77777777" w:rsidTr="000B4A0A">
        <w:trPr>
          <w:trHeight w:hRule="exact" w:val="307"/>
        </w:trPr>
        <w:tc>
          <w:tcPr>
            <w:tcW w:w="2438" w:type="dxa"/>
            <w:tcBorders>
              <w:top w:val="single" w:sz="4" w:space="0" w:color="auto"/>
              <w:left w:val="single" w:sz="4" w:space="0" w:color="auto"/>
            </w:tcBorders>
            <w:shd w:val="clear" w:color="auto" w:fill="C4BC97"/>
            <w:vAlign w:val="bottom"/>
          </w:tcPr>
          <w:p w14:paraId="2EEDE6BD" w14:textId="77777777" w:rsidR="000B4A0A" w:rsidRDefault="000B4A0A" w:rsidP="000B4A0A">
            <w:pPr>
              <w:pStyle w:val="ad"/>
              <w:spacing w:line="240" w:lineRule="auto"/>
              <w:ind w:firstLine="0"/>
              <w:rPr>
                <w:sz w:val="24"/>
                <w:szCs w:val="24"/>
              </w:rPr>
            </w:pPr>
            <w:r>
              <w:rPr>
                <w:sz w:val="24"/>
                <w:szCs w:val="24"/>
              </w:rPr>
              <w:t>10 - 15 тис. осіб</w:t>
            </w:r>
          </w:p>
        </w:tc>
        <w:tc>
          <w:tcPr>
            <w:tcW w:w="1416" w:type="dxa"/>
            <w:tcBorders>
              <w:top w:val="single" w:sz="4" w:space="0" w:color="auto"/>
              <w:left w:val="single" w:sz="4" w:space="0" w:color="auto"/>
            </w:tcBorders>
            <w:shd w:val="clear" w:color="auto" w:fill="auto"/>
            <w:vAlign w:val="bottom"/>
          </w:tcPr>
          <w:p w14:paraId="77B9AA63" w14:textId="77777777" w:rsidR="000B4A0A" w:rsidRDefault="000B4A0A" w:rsidP="000B4A0A">
            <w:pPr>
              <w:pStyle w:val="ad"/>
              <w:spacing w:line="240" w:lineRule="auto"/>
              <w:ind w:firstLine="0"/>
              <w:jc w:val="right"/>
              <w:rPr>
                <w:sz w:val="24"/>
                <w:szCs w:val="24"/>
              </w:rPr>
            </w:pPr>
            <w:r>
              <w:rPr>
                <w:sz w:val="24"/>
                <w:szCs w:val="24"/>
              </w:rPr>
              <w:t>25</w:t>
            </w:r>
          </w:p>
        </w:tc>
        <w:tc>
          <w:tcPr>
            <w:tcW w:w="1834" w:type="dxa"/>
            <w:tcBorders>
              <w:top w:val="single" w:sz="4" w:space="0" w:color="auto"/>
              <w:left w:val="single" w:sz="4" w:space="0" w:color="auto"/>
            </w:tcBorders>
            <w:shd w:val="clear" w:color="auto" w:fill="auto"/>
            <w:vAlign w:val="bottom"/>
          </w:tcPr>
          <w:p w14:paraId="28CA8DFB" w14:textId="77777777" w:rsidR="000B4A0A" w:rsidRDefault="000B4A0A" w:rsidP="000B4A0A">
            <w:pPr>
              <w:pStyle w:val="ad"/>
              <w:spacing w:line="240" w:lineRule="auto"/>
              <w:ind w:firstLine="0"/>
              <w:jc w:val="right"/>
              <w:rPr>
                <w:sz w:val="24"/>
                <w:szCs w:val="24"/>
              </w:rPr>
            </w:pPr>
            <w:r>
              <w:rPr>
                <w:i/>
                <w:iCs/>
                <w:sz w:val="24"/>
                <w:szCs w:val="24"/>
              </w:rPr>
              <w:t>15,7</w:t>
            </w:r>
          </w:p>
        </w:tc>
        <w:tc>
          <w:tcPr>
            <w:tcW w:w="1829" w:type="dxa"/>
            <w:tcBorders>
              <w:top w:val="single" w:sz="4" w:space="0" w:color="auto"/>
              <w:left w:val="single" w:sz="4" w:space="0" w:color="auto"/>
            </w:tcBorders>
            <w:shd w:val="clear" w:color="auto" w:fill="auto"/>
            <w:vAlign w:val="bottom"/>
          </w:tcPr>
          <w:p w14:paraId="7DB58CF4" w14:textId="77777777" w:rsidR="000B4A0A" w:rsidRDefault="000B4A0A" w:rsidP="000B4A0A">
            <w:pPr>
              <w:pStyle w:val="ad"/>
              <w:spacing w:line="240" w:lineRule="auto"/>
              <w:ind w:left="1180" w:firstLine="0"/>
              <w:jc w:val="both"/>
              <w:rPr>
                <w:sz w:val="24"/>
                <w:szCs w:val="24"/>
              </w:rPr>
            </w:pPr>
            <w:r>
              <w:rPr>
                <w:sz w:val="24"/>
                <w:szCs w:val="24"/>
              </w:rPr>
              <w:t>306,2</w:t>
            </w:r>
          </w:p>
        </w:tc>
        <w:tc>
          <w:tcPr>
            <w:tcW w:w="1982" w:type="dxa"/>
            <w:tcBorders>
              <w:top w:val="single" w:sz="4" w:space="0" w:color="auto"/>
              <w:left w:val="single" w:sz="4" w:space="0" w:color="auto"/>
              <w:right w:val="single" w:sz="4" w:space="0" w:color="auto"/>
            </w:tcBorders>
            <w:shd w:val="clear" w:color="auto" w:fill="auto"/>
            <w:vAlign w:val="bottom"/>
          </w:tcPr>
          <w:p w14:paraId="38ED6460" w14:textId="77777777" w:rsidR="000B4A0A" w:rsidRDefault="000B4A0A" w:rsidP="000B4A0A">
            <w:pPr>
              <w:pStyle w:val="ad"/>
              <w:spacing w:line="240" w:lineRule="auto"/>
              <w:ind w:left="1440" w:firstLine="0"/>
              <w:jc w:val="both"/>
              <w:rPr>
                <w:sz w:val="24"/>
                <w:szCs w:val="24"/>
              </w:rPr>
            </w:pPr>
            <w:r>
              <w:rPr>
                <w:i/>
                <w:iCs/>
                <w:sz w:val="24"/>
                <w:szCs w:val="24"/>
              </w:rPr>
              <w:t>22,0</w:t>
            </w:r>
          </w:p>
        </w:tc>
      </w:tr>
      <w:tr w:rsidR="000B4A0A" w14:paraId="223EFA97" w14:textId="77777777" w:rsidTr="000B4A0A">
        <w:trPr>
          <w:trHeight w:hRule="exact" w:val="312"/>
        </w:trPr>
        <w:tc>
          <w:tcPr>
            <w:tcW w:w="2438" w:type="dxa"/>
            <w:tcBorders>
              <w:top w:val="single" w:sz="4" w:space="0" w:color="auto"/>
              <w:left w:val="single" w:sz="4" w:space="0" w:color="auto"/>
            </w:tcBorders>
            <w:shd w:val="clear" w:color="auto" w:fill="C4BC97"/>
            <w:vAlign w:val="bottom"/>
          </w:tcPr>
          <w:p w14:paraId="11B37C91" w14:textId="77777777" w:rsidR="000B4A0A" w:rsidRDefault="000B4A0A" w:rsidP="000B4A0A">
            <w:pPr>
              <w:pStyle w:val="ad"/>
              <w:spacing w:line="240" w:lineRule="auto"/>
              <w:ind w:firstLine="0"/>
              <w:rPr>
                <w:sz w:val="24"/>
                <w:szCs w:val="24"/>
              </w:rPr>
            </w:pPr>
            <w:r>
              <w:rPr>
                <w:sz w:val="24"/>
                <w:szCs w:val="24"/>
              </w:rPr>
              <w:t>15 - 25 тис. осіб</w:t>
            </w:r>
          </w:p>
        </w:tc>
        <w:tc>
          <w:tcPr>
            <w:tcW w:w="1416" w:type="dxa"/>
            <w:tcBorders>
              <w:top w:val="single" w:sz="4" w:space="0" w:color="auto"/>
              <w:left w:val="single" w:sz="4" w:space="0" w:color="auto"/>
            </w:tcBorders>
            <w:shd w:val="clear" w:color="auto" w:fill="auto"/>
            <w:vAlign w:val="bottom"/>
          </w:tcPr>
          <w:p w14:paraId="2DBE88B0" w14:textId="77777777" w:rsidR="000B4A0A" w:rsidRDefault="000B4A0A" w:rsidP="000B4A0A">
            <w:pPr>
              <w:pStyle w:val="ad"/>
              <w:spacing w:line="240" w:lineRule="auto"/>
              <w:ind w:firstLine="0"/>
              <w:jc w:val="right"/>
              <w:rPr>
                <w:sz w:val="24"/>
                <w:szCs w:val="24"/>
              </w:rPr>
            </w:pPr>
            <w:r>
              <w:rPr>
                <w:sz w:val="24"/>
                <w:szCs w:val="24"/>
              </w:rPr>
              <w:t>13</w:t>
            </w:r>
          </w:p>
        </w:tc>
        <w:tc>
          <w:tcPr>
            <w:tcW w:w="1834" w:type="dxa"/>
            <w:tcBorders>
              <w:top w:val="single" w:sz="4" w:space="0" w:color="auto"/>
              <w:left w:val="single" w:sz="4" w:space="0" w:color="auto"/>
            </w:tcBorders>
            <w:shd w:val="clear" w:color="auto" w:fill="auto"/>
            <w:vAlign w:val="bottom"/>
          </w:tcPr>
          <w:p w14:paraId="018EA2C1" w14:textId="77777777" w:rsidR="000B4A0A" w:rsidRDefault="000B4A0A" w:rsidP="000B4A0A">
            <w:pPr>
              <w:pStyle w:val="ad"/>
              <w:spacing w:line="240" w:lineRule="auto"/>
              <w:ind w:firstLine="0"/>
              <w:jc w:val="right"/>
              <w:rPr>
                <w:sz w:val="24"/>
                <w:szCs w:val="24"/>
              </w:rPr>
            </w:pPr>
            <w:r>
              <w:rPr>
                <w:i/>
                <w:iCs/>
                <w:sz w:val="24"/>
                <w:szCs w:val="24"/>
              </w:rPr>
              <w:t>8,2</w:t>
            </w:r>
          </w:p>
        </w:tc>
        <w:tc>
          <w:tcPr>
            <w:tcW w:w="1829" w:type="dxa"/>
            <w:tcBorders>
              <w:top w:val="single" w:sz="4" w:space="0" w:color="auto"/>
              <w:left w:val="single" w:sz="4" w:space="0" w:color="auto"/>
            </w:tcBorders>
            <w:shd w:val="clear" w:color="auto" w:fill="auto"/>
            <w:vAlign w:val="bottom"/>
          </w:tcPr>
          <w:p w14:paraId="58067F48" w14:textId="77777777" w:rsidR="000B4A0A" w:rsidRDefault="000B4A0A" w:rsidP="000B4A0A">
            <w:pPr>
              <w:pStyle w:val="ad"/>
              <w:spacing w:line="240" w:lineRule="auto"/>
              <w:ind w:left="1180" w:firstLine="0"/>
              <w:jc w:val="both"/>
              <w:rPr>
                <w:sz w:val="24"/>
                <w:szCs w:val="24"/>
              </w:rPr>
            </w:pPr>
            <w:r>
              <w:rPr>
                <w:sz w:val="24"/>
                <w:szCs w:val="24"/>
              </w:rPr>
              <w:t>248,2</w:t>
            </w:r>
          </w:p>
        </w:tc>
        <w:tc>
          <w:tcPr>
            <w:tcW w:w="1982" w:type="dxa"/>
            <w:tcBorders>
              <w:top w:val="single" w:sz="4" w:space="0" w:color="auto"/>
              <w:left w:val="single" w:sz="4" w:space="0" w:color="auto"/>
              <w:right w:val="single" w:sz="4" w:space="0" w:color="auto"/>
            </w:tcBorders>
            <w:shd w:val="clear" w:color="auto" w:fill="auto"/>
            <w:vAlign w:val="bottom"/>
          </w:tcPr>
          <w:p w14:paraId="0C4DDDB4" w14:textId="77777777" w:rsidR="000B4A0A" w:rsidRDefault="000B4A0A" w:rsidP="000B4A0A">
            <w:pPr>
              <w:pStyle w:val="ad"/>
              <w:spacing w:line="240" w:lineRule="auto"/>
              <w:ind w:left="1440" w:firstLine="0"/>
              <w:jc w:val="both"/>
              <w:rPr>
                <w:sz w:val="24"/>
                <w:szCs w:val="24"/>
              </w:rPr>
            </w:pPr>
            <w:r>
              <w:rPr>
                <w:i/>
                <w:iCs/>
                <w:sz w:val="24"/>
                <w:szCs w:val="24"/>
              </w:rPr>
              <w:t>17,8</w:t>
            </w:r>
          </w:p>
        </w:tc>
      </w:tr>
      <w:tr w:rsidR="000B4A0A" w14:paraId="1A2EB4A9" w14:textId="77777777" w:rsidTr="000B4A0A">
        <w:trPr>
          <w:trHeight w:hRule="exact" w:val="307"/>
        </w:trPr>
        <w:tc>
          <w:tcPr>
            <w:tcW w:w="2438" w:type="dxa"/>
            <w:tcBorders>
              <w:top w:val="single" w:sz="4" w:space="0" w:color="auto"/>
              <w:left w:val="single" w:sz="4" w:space="0" w:color="auto"/>
            </w:tcBorders>
            <w:shd w:val="clear" w:color="auto" w:fill="C4BC97"/>
            <w:vAlign w:val="bottom"/>
          </w:tcPr>
          <w:p w14:paraId="65202F2C" w14:textId="77777777" w:rsidR="000B4A0A" w:rsidRDefault="000B4A0A" w:rsidP="000B4A0A">
            <w:pPr>
              <w:pStyle w:val="ad"/>
              <w:spacing w:line="240" w:lineRule="auto"/>
              <w:ind w:firstLine="0"/>
              <w:rPr>
                <w:sz w:val="24"/>
                <w:szCs w:val="24"/>
              </w:rPr>
            </w:pPr>
            <w:r>
              <w:rPr>
                <w:sz w:val="24"/>
                <w:szCs w:val="24"/>
              </w:rPr>
              <w:t>25 тис. і більше осіб</w:t>
            </w:r>
          </w:p>
        </w:tc>
        <w:tc>
          <w:tcPr>
            <w:tcW w:w="1416" w:type="dxa"/>
            <w:tcBorders>
              <w:top w:val="single" w:sz="4" w:space="0" w:color="auto"/>
              <w:left w:val="single" w:sz="4" w:space="0" w:color="auto"/>
            </w:tcBorders>
            <w:shd w:val="clear" w:color="auto" w:fill="auto"/>
            <w:vAlign w:val="bottom"/>
          </w:tcPr>
          <w:p w14:paraId="1EBE8D4B" w14:textId="77777777" w:rsidR="000B4A0A" w:rsidRDefault="000B4A0A" w:rsidP="000B4A0A">
            <w:pPr>
              <w:pStyle w:val="ad"/>
              <w:spacing w:line="240" w:lineRule="auto"/>
              <w:ind w:firstLine="0"/>
              <w:jc w:val="right"/>
              <w:rPr>
                <w:sz w:val="24"/>
                <w:szCs w:val="24"/>
              </w:rPr>
            </w:pPr>
            <w:r>
              <w:rPr>
                <w:sz w:val="24"/>
                <w:szCs w:val="24"/>
              </w:rPr>
              <w:t>7</w:t>
            </w:r>
          </w:p>
        </w:tc>
        <w:tc>
          <w:tcPr>
            <w:tcW w:w="1834" w:type="dxa"/>
            <w:tcBorders>
              <w:top w:val="single" w:sz="4" w:space="0" w:color="auto"/>
              <w:left w:val="single" w:sz="4" w:space="0" w:color="auto"/>
            </w:tcBorders>
            <w:shd w:val="clear" w:color="auto" w:fill="auto"/>
            <w:vAlign w:val="bottom"/>
          </w:tcPr>
          <w:p w14:paraId="0F3F35B7" w14:textId="77777777" w:rsidR="000B4A0A" w:rsidRDefault="000B4A0A" w:rsidP="000B4A0A">
            <w:pPr>
              <w:pStyle w:val="ad"/>
              <w:spacing w:line="240" w:lineRule="auto"/>
              <w:ind w:firstLine="0"/>
              <w:jc w:val="right"/>
              <w:rPr>
                <w:sz w:val="24"/>
                <w:szCs w:val="24"/>
              </w:rPr>
            </w:pPr>
            <w:r>
              <w:rPr>
                <w:i/>
                <w:iCs/>
                <w:sz w:val="24"/>
                <w:szCs w:val="24"/>
              </w:rPr>
              <w:t>4,4</w:t>
            </w:r>
          </w:p>
        </w:tc>
        <w:tc>
          <w:tcPr>
            <w:tcW w:w="1829" w:type="dxa"/>
            <w:tcBorders>
              <w:top w:val="single" w:sz="4" w:space="0" w:color="auto"/>
              <w:left w:val="single" w:sz="4" w:space="0" w:color="auto"/>
            </w:tcBorders>
            <w:shd w:val="clear" w:color="auto" w:fill="auto"/>
            <w:vAlign w:val="bottom"/>
          </w:tcPr>
          <w:p w14:paraId="06FC5B31" w14:textId="77777777" w:rsidR="000B4A0A" w:rsidRDefault="000B4A0A" w:rsidP="000B4A0A">
            <w:pPr>
              <w:pStyle w:val="ad"/>
              <w:spacing w:line="240" w:lineRule="auto"/>
              <w:ind w:left="1180" w:firstLine="0"/>
              <w:jc w:val="both"/>
              <w:rPr>
                <w:sz w:val="24"/>
                <w:szCs w:val="24"/>
              </w:rPr>
            </w:pPr>
            <w:r>
              <w:rPr>
                <w:sz w:val="24"/>
                <w:szCs w:val="24"/>
              </w:rPr>
              <w:t>239,3</w:t>
            </w:r>
          </w:p>
        </w:tc>
        <w:tc>
          <w:tcPr>
            <w:tcW w:w="1982" w:type="dxa"/>
            <w:tcBorders>
              <w:top w:val="single" w:sz="4" w:space="0" w:color="auto"/>
              <w:left w:val="single" w:sz="4" w:space="0" w:color="auto"/>
              <w:right w:val="single" w:sz="4" w:space="0" w:color="auto"/>
            </w:tcBorders>
            <w:shd w:val="clear" w:color="auto" w:fill="auto"/>
            <w:vAlign w:val="bottom"/>
          </w:tcPr>
          <w:p w14:paraId="1A4312A3" w14:textId="77777777" w:rsidR="000B4A0A" w:rsidRDefault="000B4A0A" w:rsidP="000B4A0A">
            <w:pPr>
              <w:pStyle w:val="ad"/>
              <w:spacing w:line="240" w:lineRule="auto"/>
              <w:ind w:left="1440" w:firstLine="0"/>
              <w:jc w:val="both"/>
              <w:rPr>
                <w:sz w:val="24"/>
                <w:szCs w:val="24"/>
              </w:rPr>
            </w:pPr>
            <w:r>
              <w:rPr>
                <w:i/>
                <w:iCs/>
                <w:sz w:val="24"/>
                <w:szCs w:val="24"/>
              </w:rPr>
              <w:t>17,2</w:t>
            </w:r>
          </w:p>
        </w:tc>
      </w:tr>
      <w:tr w:rsidR="000B4A0A" w14:paraId="3F14CD81" w14:textId="77777777" w:rsidTr="000B4A0A">
        <w:trPr>
          <w:trHeight w:hRule="exact" w:val="322"/>
        </w:trPr>
        <w:tc>
          <w:tcPr>
            <w:tcW w:w="2438" w:type="dxa"/>
            <w:tcBorders>
              <w:top w:val="single" w:sz="4" w:space="0" w:color="auto"/>
              <w:left w:val="single" w:sz="4" w:space="0" w:color="auto"/>
              <w:bottom w:val="single" w:sz="4" w:space="0" w:color="auto"/>
            </w:tcBorders>
            <w:shd w:val="clear" w:color="auto" w:fill="C4BC97"/>
            <w:vAlign w:val="bottom"/>
          </w:tcPr>
          <w:p w14:paraId="0CD568C7" w14:textId="77777777" w:rsidR="000B4A0A" w:rsidRDefault="000B4A0A" w:rsidP="000B4A0A">
            <w:pPr>
              <w:pStyle w:val="ad"/>
              <w:spacing w:line="240" w:lineRule="auto"/>
              <w:ind w:firstLine="0"/>
              <w:rPr>
                <w:sz w:val="24"/>
                <w:szCs w:val="24"/>
              </w:rPr>
            </w:pPr>
            <w:r>
              <w:rPr>
                <w:sz w:val="24"/>
                <w:szCs w:val="24"/>
              </w:rPr>
              <w:t>Разом</w:t>
            </w:r>
          </w:p>
        </w:tc>
        <w:tc>
          <w:tcPr>
            <w:tcW w:w="1416" w:type="dxa"/>
            <w:tcBorders>
              <w:top w:val="single" w:sz="4" w:space="0" w:color="auto"/>
              <w:left w:val="single" w:sz="4" w:space="0" w:color="auto"/>
              <w:bottom w:val="single" w:sz="4" w:space="0" w:color="auto"/>
            </w:tcBorders>
            <w:shd w:val="clear" w:color="auto" w:fill="auto"/>
            <w:vAlign w:val="bottom"/>
          </w:tcPr>
          <w:p w14:paraId="7221424D" w14:textId="77777777" w:rsidR="000B4A0A" w:rsidRDefault="000B4A0A" w:rsidP="000B4A0A">
            <w:pPr>
              <w:pStyle w:val="ad"/>
              <w:spacing w:line="240" w:lineRule="auto"/>
              <w:ind w:firstLine="0"/>
              <w:jc w:val="right"/>
              <w:rPr>
                <w:sz w:val="24"/>
                <w:szCs w:val="24"/>
              </w:rPr>
            </w:pPr>
            <w:r>
              <w:rPr>
                <w:sz w:val="24"/>
                <w:szCs w:val="24"/>
              </w:rPr>
              <w:t>159</w:t>
            </w:r>
          </w:p>
        </w:tc>
        <w:tc>
          <w:tcPr>
            <w:tcW w:w="1834" w:type="dxa"/>
            <w:tcBorders>
              <w:top w:val="single" w:sz="4" w:space="0" w:color="auto"/>
              <w:left w:val="single" w:sz="4" w:space="0" w:color="auto"/>
              <w:bottom w:val="single" w:sz="4" w:space="0" w:color="auto"/>
            </w:tcBorders>
            <w:shd w:val="clear" w:color="auto" w:fill="auto"/>
            <w:vAlign w:val="bottom"/>
          </w:tcPr>
          <w:p w14:paraId="00F98407" w14:textId="77777777" w:rsidR="000B4A0A" w:rsidRDefault="000B4A0A" w:rsidP="000B4A0A">
            <w:pPr>
              <w:pStyle w:val="ad"/>
              <w:spacing w:line="240" w:lineRule="auto"/>
              <w:ind w:firstLine="0"/>
              <w:jc w:val="right"/>
              <w:rPr>
                <w:sz w:val="24"/>
                <w:szCs w:val="24"/>
              </w:rPr>
            </w:pPr>
            <w:r>
              <w:rPr>
                <w:i/>
                <w:iCs/>
                <w:sz w:val="24"/>
                <w:szCs w:val="24"/>
              </w:rPr>
              <w:t>100,0</w:t>
            </w:r>
          </w:p>
        </w:tc>
        <w:tc>
          <w:tcPr>
            <w:tcW w:w="1829" w:type="dxa"/>
            <w:tcBorders>
              <w:top w:val="single" w:sz="4" w:space="0" w:color="auto"/>
              <w:left w:val="single" w:sz="4" w:space="0" w:color="auto"/>
              <w:bottom w:val="single" w:sz="4" w:space="0" w:color="auto"/>
            </w:tcBorders>
            <w:shd w:val="clear" w:color="auto" w:fill="auto"/>
            <w:vAlign w:val="bottom"/>
          </w:tcPr>
          <w:p w14:paraId="7F4AC459" w14:textId="77777777" w:rsidR="000B4A0A" w:rsidRDefault="000B4A0A" w:rsidP="000B4A0A">
            <w:pPr>
              <w:pStyle w:val="ad"/>
              <w:spacing w:line="240" w:lineRule="auto"/>
              <w:ind w:firstLine="0"/>
              <w:jc w:val="right"/>
              <w:rPr>
                <w:sz w:val="24"/>
                <w:szCs w:val="24"/>
              </w:rPr>
            </w:pPr>
            <w:r>
              <w:rPr>
                <w:sz w:val="24"/>
                <w:szCs w:val="24"/>
              </w:rPr>
              <w:t>1390,5</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bottom"/>
          </w:tcPr>
          <w:p w14:paraId="725B994B" w14:textId="77777777" w:rsidR="000B4A0A" w:rsidRDefault="000B4A0A" w:rsidP="000B4A0A">
            <w:pPr>
              <w:pStyle w:val="ad"/>
              <w:spacing w:line="240" w:lineRule="auto"/>
              <w:ind w:firstLine="0"/>
              <w:jc w:val="right"/>
              <w:rPr>
                <w:sz w:val="24"/>
                <w:szCs w:val="24"/>
              </w:rPr>
            </w:pPr>
            <w:r>
              <w:rPr>
                <w:i/>
                <w:iCs/>
                <w:sz w:val="24"/>
                <w:szCs w:val="24"/>
              </w:rPr>
              <w:t>100,0</w:t>
            </w:r>
          </w:p>
        </w:tc>
      </w:tr>
    </w:tbl>
    <w:p w14:paraId="1C1CA010" w14:textId="77777777" w:rsidR="000B4A0A" w:rsidRDefault="000B4A0A" w:rsidP="000B4A0A">
      <w:pPr>
        <w:pStyle w:val="1"/>
        <w:spacing w:line="276" w:lineRule="auto"/>
        <w:ind w:firstLine="567"/>
        <w:jc w:val="both"/>
        <w:rPr>
          <w:b/>
          <w:color w:val="000000"/>
          <w:lang w:val="uk-UA" w:eastAsia="uk-UA" w:bidi="uk-UA"/>
        </w:rPr>
      </w:pPr>
    </w:p>
    <w:p w14:paraId="11354342" w14:textId="77777777" w:rsidR="000B4A0A" w:rsidRDefault="000B4A0A" w:rsidP="0048758C">
      <w:pPr>
        <w:pStyle w:val="1"/>
        <w:spacing w:line="360" w:lineRule="auto"/>
        <w:ind w:firstLine="580"/>
        <w:jc w:val="both"/>
      </w:pPr>
      <w:r>
        <w:rPr>
          <w:lang w:eastAsia="ru-RU" w:bidi="ru-RU"/>
        </w:rPr>
        <w:t xml:space="preserve">Якщо звернутися до надходжень ПДФО на одну особу в ОТГ в </w:t>
      </w:r>
      <w:r>
        <w:t xml:space="preserve">регіональному розрізі </w:t>
      </w:r>
      <w:r w:rsidR="0048758C">
        <w:rPr>
          <w:lang w:eastAsia="ru-RU" w:bidi="ru-RU"/>
        </w:rPr>
        <w:t xml:space="preserve">(рис. </w:t>
      </w:r>
      <w:r w:rsidR="0048758C">
        <w:rPr>
          <w:lang w:val="uk-UA" w:eastAsia="ru-RU" w:bidi="ru-RU"/>
        </w:rPr>
        <w:t>2</w:t>
      </w:r>
      <w:r w:rsidR="0048758C">
        <w:rPr>
          <w:lang w:eastAsia="ru-RU" w:bidi="ru-RU"/>
        </w:rPr>
        <w:t>.</w:t>
      </w:r>
      <w:r w:rsidR="0048758C">
        <w:rPr>
          <w:lang w:val="uk-UA" w:eastAsia="ru-RU" w:bidi="ru-RU"/>
        </w:rPr>
        <w:t>2</w:t>
      </w:r>
      <w:r>
        <w:rPr>
          <w:lang w:eastAsia="ru-RU" w:bidi="ru-RU"/>
        </w:rPr>
        <w:t xml:space="preserve">), </w:t>
      </w:r>
      <w:r>
        <w:t xml:space="preserve">помітною є </w:t>
      </w:r>
      <w:r>
        <w:rPr>
          <w:lang w:eastAsia="ru-RU" w:bidi="ru-RU"/>
        </w:rPr>
        <w:t xml:space="preserve">значна </w:t>
      </w:r>
      <w:r>
        <w:t xml:space="preserve">диференціація. </w:t>
      </w:r>
      <w:r>
        <w:rPr>
          <w:lang w:eastAsia="ru-RU" w:bidi="ru-RU"/>
        </w:rPr>
        <w:t xml:space="preserve">Якщо в </w:t>
      </w:r>
      <w:r>
        <w:t xml:space="preserve">Дніпропетровській області </w:t>
      </w:r>
      <w:r>
        <w:rPr>
          <w:lang w:eastAsia="ru-RU" w:bidi="ru-RU"/>
        </w:rPr>
        <w:t xml:space="preserve">надходження ПДФО на особу в </w:t>
      </w:r>
      <w:r>
        <w:t xml:space="preserve">об’єднаних територіальних </w:t>
      </w:r>
      <w:r>
        <w:rPr>
          <w:lang w:eastAsia="ru-RU" w:bidi="ru-RU"/>
        </w:rPr>
        <w:t xml:space="preserve">громадах становило в середньому 2884,1 грн., то в </w:t>
      </w:r>
      <w:r>
        <w:t xml:space="preserve">Івано- Франківській області </w:t>
      </w:r>
      <w:r>
        <w:rPr>
          <w:lang w:eastAsia="ru-RU" w:bidi="ru-RU"/>
        </w:rPr>
        <w:t xml:space="preserve">цей показник складав 266,1 грн., що становить лише 9,2% надходжень </w:t>
      </w:r>
      <w:r>
        <w:t xml:space="preserve">області-лідера </w:t>
      </w:r>
      <w:r>
        <w:rPr>
          <w:lang w:eastAsia="ru-RU" w:bidi="ru-RU"/>
        </w:rPr>
        <w:t>в даному рейтингу.</w:t>
      </w:r>
    </w:p>
    <w:p w14:paraId="4361EC5B" w14:textId="77777777" w:rsidR="000B4A0A" w:rsidRDefault="000B4A0A" w:rsidP="0048758C">
      <w:pPr>
        <w:pStyle w:val="1"/>
        <w:spacing w:line="360" w:lineRule="auto"/>
        <w:ind w:firstLine="580"/>
        <w:jc w:val="both"/>
      </w:pPr>
      <w:r>
        <w:t xml:space="preserve">Окрім </w:t>
      </w:r>
      <w:r>
        <w:rPr>
          <w:lang w:eastAsia="ru-RU" w:bidi="ru-RU"/>
        </w:rPr>
        <w:t xml:space="preserve">того, як у же зазначалося, податок на доходи </w:t>
      </w:r>
      <w:r>
        <w:t xml:space="preserve">фізичних осіб займає </w:t>
      </w:r>
      <w:r>
        <w:rPr>
          <w:lang w:eastAsia="ru-RU" w:bidi="ru-RU"/>
        </w:rPr>
        <w:t xml:space="preserve">високу частку в </w:t>
      </w:r>
      <w:r>
        <w:t xml:space="preserve">складі </w:t>
      </w:r>
      <w:r>
        <w:rPr>
          <w:lang w:eastAsia="ru-RU" w:bidi="ru-RU"/>
        </w:rPr>
        <w:t xml:space="preserve">податкових </w:t>
      </w:r>
      <w:r>
        <w:t xml:space="preserve">доходів бюджетів </w:t>
      </w:r>
      <w:r>
        <w:rPr>
          <w:lang w:eastAsia="ru-RU" w:bidi="ru-RU"/>
        </w:rPr>
        <w:t xml:space="preserve">ОТГ. Зокрема, найвищим цей показник </w:t>
      </w:r>
      <w:r>
        <w:t xml:space="preserve">є </w:t>
      </w:r>
      <w:r>
        <w:rPr>
          <w:lang w:eastAsia="ru-RU" w:bidi="ru-RU"/>
        </w:rPr>
        <w:t xml:space="preserve">в ОТГ </w:t>
      </w:r>
      <w:r>
        <w:t xml:space="preserve">Миколаївської </w:t>
      </w:r>
      <w:r>
        <w:rPr>
          <w:lang w:eastAsia="ru-RU" w:bidi="ru-RU"/>
        </w:rPr>
        <w:t xml:space="preserve">(77,6%), </w:t>
      </w:r>
      <w:r>
        <w:t xml:space="preserve">Чернігівської (66,7%) та Донецької </w:t>
      </w:r>
      <w:r>
        <w:rPr>
          <w:lang w:eastAsia="ru-RU" w:bidi="ru-RU"/>
        </w:rPr>
        <w:t xml:space="preserve">(67,3%) областей. </w:t>
      </w:r>
      <w:r>
        <w:t xml:space="preserve">Найнижчим </w:t>
      </w:r>
      <w:r>
        <w:rPr>
          <w:lang w:eastAsia="ru-RU" w:bidi="ru-RU"/>
        </w:rPr>
        <w:t xml:space="preserve">- в </w:t>
      </w:r>
      <w:r>
        <w:t xml:space="preserve">Сумській </w:t>
      </w:r>
      <w:r>
        <w:rPr>
          <w:lang w:eastAsia="ru-RU" w:bidi="ru-RU"/>
        </w:rPr>
        <w:t xml:space="preserve">(35,8%) та </w:t>
      </w:r>
      <w:r>
        <w:t xml:space="preserve">Волинській </w:t>
      </w:r>
      <w:r>
        <w:rPr>
          <w:lang w:eastAsia="ru-RU" w:bidi="ru-RU"/>
        </w:rPr>
        <w:t xml:space="preserve">(40,4%) областях. При цьому, </w:t>
      </w:r>
      <w:r>
        <w:t xml:space="preserve">доцільно </w:t>
      </w:r>
      <w:r>
        <w:rPr>
          <w:lang w:eastAsia="ru-RU" w:bidi="ru-RU"/>
        </w:rPr>
        <w:t xml:space="preserve">зауважити, що обсяги надходжень ПДФО до </w:t>
      </w:r>
      <w:r>
        <w:t xml:space="preserve">бюджетів </w:t>
      </w:r>
      <w:r>
        <w:rPr>
          <w:lang w:eastAsia="ru-RU" w:bidi="ru-RU"/>
        </w:rPr>
        <w:t xml:space="preserve">ОТГ на особу </w:t>
      </w:r>
      <w:r>
        <w:t xml:space="preserve">вищі </w:t>
      </w:r>
      <w:r>
        <w:rPr>
          <w:lang w:eastAsia="ru-RU" w:bidi="ru-RU"/>
        </w:rPr>
        <w:t xml:space="preserve">в промислово розвинутих </w:t>
      </w:r>
      <w:r>
        <w:t xml:space="preserve">східних </w:t>
      </w:r>
      <w:r>
        <w:rPr>
          <w:lang w:eastAsia="ru-RU" w:bidi="ru-RU"/>
        </w:rPr>
        <w:t xml:space="preserve">та центральних областях та </w:t>
      </w:r>
      <w:r>
        <w:t xml:space="preserve">низькі </w:t>
      </w:r>
      <w:r>
        <w:rPr>
          <w:lang w:eastAsia="ru-RU" w:bidi="ru-RU"/>
        </w:rPr>
        <w:t xml:space="preserve">в </w:t>
      </w:r>
      <w:r>
        <w:t xml:space="preserve">західному регіоні країни. </w:t>
      </w:r>
      <w:r>
        <w:rPr>
          <w:lang w:eastAsia="ru-RU" w:bidi="ru-RU"/>
        </w:rPr>
        <w:t xml:space="preserve">Причиною цього </w:t>
      </w:r>
      <w:r>
        <w:t xml:space="preserve">є </w:t>
      </w:r>
      <w:r>
        <w:rPr>
          <w:lang w:eastAsia="ru-RU" w:bidi="ru-RU"/>
        </w:rPr>
        <w:t xml:space="preserve">низький </w:t>
      </w:r>
      <w:r>
        <w:t xml:space="preserve">рівень економічної активності </w:t>
      </w:r>
      <w:r>
        <w:rPr>
          <w:lang w:eastAsia="ru-RU" w:bidi="ru-RU"/>
        </w:rPr>
        <w:t xml:space="preserve">та розвитку </w:t>
      </w:r>
      <w:r>
        <w:t xml:space="preserve">підприємництва </w:t>
      </w:r>
      <w:r>
        <w:rPr>
          <w:lang w:eastAsia="ru-RU" w:bidi="ru-RU"/>
        </w:rPr>
        <w:t xml:space="preserve">в </w:t>
      </w:r>
      <w:r>
        <w:t xml:space="preserve">західних </w:t>
      </w:r>
      <w:r>
        <w:rPr>
          <w:lang w:eastAsia="ru-RU" w:bidi="ru-RU"/>
        </w:rPr>
        <w:t>областях.</w:t>
      </w:r>
    </w:p>
    <w:p w14:paraId="1EB52D70" w14:textId="77777777" w:rsidR="00E507BB" w:rsidRPr="00E507BB" w:rsidRDefault="00E507BB" w:rsidP="00E507BB">
      <w:pPr>
        <w:pStyle w:val="1"/>
        <w:jc w:val="both"/>
        <w:rPr>
          <w:lang w:val="uk-UA"/>
        </w:rPr>
      </w:pPr>
    </w:p>
    <w:p w14:paraId="279CD504" w14:textId="77777777" w:rsidR="007A2FCB" w:rsidRDefault="000B4A0A" w:rsidP="007A2FCB">
      <w:pPr>
        <w:pStyle w:val="1"/>
        <w:tabs>
          <w:tab w:val="left" w:pos="966"/>
        </w:tabs>
        <w:spacing w:line="360" w:lineRule="auto"/>
        <w:ind w:firstLine="0"/>
        <w:jc w:val="both"/>
        <w:rPr>
          <w:lang w:val="uk-UA"/>
        </w:rPr>
      </w:pPr>
      <w:r w:rsidRPr="000B4A0A">
        <w:rPr>
          <w:noProof/>
          <w:lang w:val="uk-UA" w:eastAsia="uk-UA"/>
        </w:rPr>
        <w:lastRenderedPageBreak/>
        <w:drawing>
          <wp:inline distT="0" distB="0" distL="0" distR="0" wp14:anchorId="318869C1" wp14:editId="594DDCDD">
            <wp:extent cx="5940425" cy="3347727"/>
            <wp:effectExtent l="19050" t="0" r="3175" b="0"/>
            <wp:docPr id="91" name="Picut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0" cstate="print"/>
                    <a:stretch/>
                  </pic:blipFill>
                  <pic:spPr>
                    <a:xfrm>
                      <a:off x="0" y="0"/>
                      <a:ext cx="5940425" cy="3347727"/>
                    </a:xfrm>
                    <a:prstGeom prst="rect">
                      <a:avLst/>
                    </a:prstGeom>
                  </pic:spPr>
                </pic:pic>
              </a:graphicData>
            </a:graphic>
          </wp:inline>
        </w:drawing>
      </w:r>
    </w:p>
    <w:p w14:paraId="46A4BE30" w14:textId="77777777" w:rsidR="000B4A0A" w:rsidRDefault="0048758C" w:rsidP="000B4A0A">
      <w:pPr>
        <w:pStyle w:val="a7"/>
        <w:spacing w:line="240" w:lineRule="auto"/>
      </w:pPr>
      <w:r>
        <w:rPr>
          <w:lang w:eastAsia="ru-RU" w:bidi="ru-RU"/>
        </w:rPr>
        <w:t xml:space="preserve">Рис. </w:t>
      </w:r>
      <w:r>
        <w:rPr>
          <w:lang w:val="uk-UA" w:eastAsia="ru-RU" w:bidi="ru-RU"/>
        </w:rPr>
        <w:t>2</w:t>
      </w:r>
      <w:r>
        <w:rPr>
          <w:lang w:eastAsia="ru-RU" w:bidi="ru-RU"/>
        </w:rPr>
        <w:t>.</w:t>
      </w:r>
      <w:r>
        <w:rPr>
          <w:lang w:val="uk-UA" w:eastAsia="ru-RU" w:bidi="ru-RU"/>
        </w:rPr>
        <w:t>2</w:t>
      </w:r>
      <w:r w:rsidR="000B4A0A">
        <w:rPr>
          <w:lang w:eastAsia="ru-RU" w:bidi="ru-RU"/>
        </w:rPr>
        <w:t xml:space="preserve">. </w:t>
      </w:r>
      <w:r w:rsidR="000B4A0A">
        <w:t xml:space="preserve">Порівняння </w:t>
      </w:r>
      <w:r w:rsidR="000B4A0A">
        <w:rPr>
          <w:lang w:eastAsia="ru-RU" w:bidi="ru-RU"/>
        </w:rPr>
        <w:t xml:space="preserve">надходжень </w:t>
      </w:r>
      <w:r w:rsidR="000B4A0A">
        <w:t xml:space="preserve">від </w:t>
      </w:r>
      <w:r w:rsidR="000B4A0A">
        <w:rPr>
          <w:lang w:eastAsia="ru-RU" w:bidi="ru-RU"/>
        </w:rPr>
        <w:t xml:space="preserve">ПДФО та податкових </w:t>
      </w:r>
      <w:r w:rsidR="000B4A0A">
        <w:t>доходів</w:t>
      </w:r>
    </w:p>
    <w:p w14:paraId="39211912" w14:textId="77777777" w:rsidR="000B4A0A" w:rsidRDefault="000B4A0A" w:rsidP="000B4A0A">
      <w:pPr>
        <w:pStyle w:val="1"/>
        <w:ind w:firstLine="0"/>
        <w:jc w:val="center"/>
      </w:pPr>
      <w:r>
        <w:t xml:space="preserve">бюджетів </w:t>
      </w:r>
      <w:r w:rsidR="0048758C">
        <w:rPr>
          <w:lang w:eastAsia="ru-RU" w:bidi="ru-RU"/>
        </w:rPr>
        <w:t>ОТГ у 20</w:t>
      </w:r>
      <w:r w:rsidR="0048758C">
        <w:rPr>
          <w:lang w:val="uk-UA" w:eastAsia="ru-RU" w:bidi="ru-RU"/>
        </w:rPr>
        <w:t>21</w:t>
      </w:r>
      <w:r>
        <w:rPr>
          <w:lang w:eastAsia="ru-RU" w:bidi="ru-RU"/>
        </w:rPr>
        <w:t xml:space="preserve"> </w:t>
      </w:r>
      <w:r>
        <w:t>році</w:t>
      </w:r>
    </w:p>
    <w:p w14:paraId="45CB9504" w14:textId="77777777" w:rsidR="000B4A0A" w:rsidRDefault="000B4A0A" w:rsidP="007A2FCB">
      <w:pPr>
        <w:pStyle w:val="1"/>
        <w:tabs>
          <w:tab w:val="left" w:pos="966"/>
        </w:tabs>
        <w:spacing w:line="360" w:lineRule="auto"/>
        <w:ind w:firstLine="0"/>
        <w:jc w:val="both"/>
        <w:rPr>
          <w:lang w:val="uk-UA"/>
        </w:rPr>
      </w:pPr>
    </w:p>
    <w:p w14:paraId="2E208D40" w14:textId="77777777" w:rsidR="00A33B18" w:rsidRPr="00A33B18" w:rsidRDefault="00A33B18" w:rsidP="00A33B18">
      <w:pPr>
        <w:pStyle w:val="1"/>
        <w:spacing w:line="360" w:lineRule="auto"/>
        <w:ind w:firstLine="600"/>
        <w:jc w:val="both"/>
        <w:rPr>
          <w:lang w:val="uk-UA"/>
        </w:rPr>
      </w:pPr>
      <w:r w:rsidRPr="00A33B18">
        <w:rPr>
          <w:lang w:val="uk-UA"/>
        </w:rPr>
        <w:t>Слід зазначити, що лише 14% об’єднаних територіальних громад є міськими [21], тобто характеризуються об’єднанням сіл і селищ навколо міста, інші 86% – це сільські та селищні ОТГ. Аналізуючи надходження податку на доходи фізичних осіб у сільських та агломераційних громадах, важливо зазначити, що ці надходження надходять майже виключно від податків на зарплату працівників бюджетних галузей, тобто освіти, охорони здоров’я, управління тощо. механізм. Як зазначалося раніше, рівень економічної активності в сільських і міських громадах є низьким. Тому можна «стверджувати, що сьогодні ПДФО виконує перерозподільчу функцію, а не стимул для створення умов для підвищення економічної активності в громаді» [28].</w:t>
      </w:r>
    </w:p>
    <w:p w14:paraId="31D79F13" w14:textId="77777777" w:rsidR="00A33B18" w:rsidRPr="00A33B18" w:rsidRDefault="00A33B18" w:rsidP="00A33B18">
      <w:pPr>
        <w:pStyle w:val="1"/>
        <w:spacing w:line="360" w:lineRule="auto"/>
        <w:ind w:firstLine="600"/>
        <w:jc w:val="both"/>
        <w:rPr>
          <w:lang w:val="uk-UA"/>
        </w:rPr>
      </w:pPr>
      <w:r w:rsidRPr="00A33B18">
        <w:rPr>
          <w:lang w:val="uk-UA"/>
        </w:rPr>
        <w:t xml:space="preserve">Щодо інших податків у бюджеті ОТГ, то порівняно з 2020 та 2021 роками також спостерігається зростання. Зокрема, надходження акцизного податку зросли на 219,4 тис. грн. До 367,7 тис.грн.у 2015р. У 2016 році, або 67,6%, плата за землю склала 353,9 тис. грн. До 557 700 грн. (57,6%), єдиний податок - 284400 грн. До 447,1 тис. грн. (57,2%) та інших податків – із 131,2 тис. грн. </w:t>
      </w:r>
      <w:r w:rsidRPr="00A33B18">
        <w:rPr>
          <w:lang w:val="uk-UA"/>
        </w:rPr>
        <w:lastRenderedPageBreak/>
        <w:t>До 107,1 тис. грн. (22,5%).</w:t>
      </w:r>
    </w:p>
    <w:p w14:paraId="37FE790A" w14:textId="77777777" w:rsidR="00CD74F6" w:rsidRDefault="00A33B18" w:rsidP="00A33B18">
      <w:pPr>
        <w:pStyle w:val="1"/>
        <w:spacing w:line="360" w:lineRule="auto"/>
        <w:ind w:firstLine="600"/>
        <w:jc w:val="both"/>
        <w:rPr>
          <w:lang w:val="uk-UA"/>
        </w:rPr>
      </w:pPr>
      <w:r w:rsidRPr="00A33B18">
        <w:rPr>
          <w:lang w:val="uk-UA"/>
        </w:rPr>
        <w:t>Особливістю акцизного податку, що справляється з роздрібної торгівлі суб’єктами господарювання об’єктами оподаткування, є залежність його надходження від територіального розташування громади. Таким чином, найвищі доходи від цього податку відбуваються в передмістях, прикордонних громадах і громадах вздовж важливих магістралей. Ця теза підтверджується і щодо об’єднаної територіальної громади. на рис. 2.3 наведено список ОТГ з найвищим надходженням ПДВ на душу населення.</w:t>
      </w:r>
    </w:p>
    <w:p w14:paraId="38764601" w14:textId="77777777" w:rsidR="00A33B18" w:rsidRPr="00CD74F6" w:rsidRDefault="00A33B18" w:rsidP="00A33B18">
      <w:pPr>
        <w:pStyle w:val="1"/>
        <w:spacing w:line="360" w:lineRule="auto"/>
        <w:ind w:firstLine="600"/>
        <w:jc w:val="both"/>
        <w:rPr>
          <w:lang w:val="uk-UA"/>
        </w:rPr>
      </w:pPr>
    </w:p>
    <w:p w14:paraId="2C68783F" w14:textId="77777777" w:rsidR="000B4A0A" w:rsidRDefault="00884CEA" w:rsidP="007A2FCB">
      <w:pPr>
        <w:pStyle w:val="1"/>
        <w:tabs>
          <w:tab w:val="left" w:pos="966"/>
        </w:tabs>
        <w:spacing w:line="360" w:lineRule="auto"/>
        <w:ind w:firstLine="0"/>
        <w:jc w:val="both"/>
        <w:rPr>
          <w:lang w:val="uk-UA"/>
        </w:rPr>
      </w:pPr>
      <w:r w:rsidRPr="00884CEA">
        <w:rPr>
          <w:noProof/>
          <w:lang w:val="uk-UA" w:eastAsia="uk-UA"/>
        </w:rPr>
        <w:drawing>
          <wp:inline distT="0" distB="0" distL="0" distR="0" wp14:anchorId="1B1EFCA1" wp14:editId="0ECE6703">
            <wp:extent cx="5940425" cy="3299845"/>
            <wp:effectExtent l="19050" t="0" r="3175" b="0"/>
            <wp:docPr id="92" name="Picut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11" cstate="print"/>
                    <a:stretch/>
                  </pic:blipFill>
                  <pic:spPr>
                    <a:xfrm>
                      <a:off x="0" y="0"/>
                      <a:ext cx="5940425" cy="3299845"/>
                    </a:xfrm>
                    <a:prstGeom prst="rect">
                      <a:avLst/>
                    </a:prstGeom>
                  </pic:spPr>
                </pic:pic>
              </a:graphicData>
            </a:graphic>
          </wp:inline>
        </w:drawing>
      </w:r>
    </w:p>
    <w:p w14:paraId="3ED9C13C" w14:textId="77777777" w:rsidR="00884CEA" w:rsidRDefault="00CD74F6" w:rsidP="00CD74F6">
      <w:pPr>
        <w:pStyle w:val="a7"/>
        <w:spacing w:line="240" w:lineRule="auto"/>
        <w:ind w:firstLine="567"/>
        <w:jc w:val="both"/>
      </w:pPr>
      <w:r>
        <w:rPr>
          <w:lang w:eastAsia="ru-RU" w:bidi="ru-RU"/>
        </w:rPr>
        <w:t xml:space="preserve">Рис. </w:t>
      </w:r>
      <w:r>
        <w:rPr>
          <w:lang w:val="uk-UA" w:eastAsia="ru-RU" w:bidi="ru-RU"/>
        </w:rPr>
        <w:t>2</w:t>
      </w:r>
      <w:r>
        <w:rPr>
          <w:lang w:eastAsia="ru-RU" w:bidi="ru-RU"/>
        </w:rPr>
        <w:t>.</w:t>
      </w:r>
      <w:r>
        <w:rPr>
          <w:lang w:val="uk-UA" w:eastAsia="ru-RU" w:bidi="ru-RU"/>
        </w:rPr>
        <w:t>3</w:t>
      </w:r>
      <w:r w:rsidR="00884CEA">
        <w:rPr>
          <w:lang w:eastAsia="ru-RU" w:bidi="ru-RU"/>
        </w:rPr>
        <w:t>. ОТГ з найвищими показниками надходжень акцизного</w:t>
      </w:r>
    </w:p>
    <w:p w14:paraId="42D6E50D" w14:textId="77777777" w:rsidR="00884CEA" w:rsidRDefault="00884CEA" w:rsidP="00CD74F6">
      <w:pPr>
        <w:pStyle w:val="1"/>
        <w:ind w:firstLine="0"/>
        <w:jc w:val="both"/>
      </w:pPr>
      <w:r>
        <w:rPr>
          <w:lang w:eastAsia="ru-RU" w:bidi="ru-RU"/>
        </w:rPr>
        <w:t xml:space="preserve">податку з </w:t>
      </w:r>
      <w:r>
        <w:t xml:space="preserve">реалізації підакцизних товарів </w:t>
      </w:r>
      <w:r>
        <w:rPr>
          <w:lang w:eastAsia="ru-RU" w:bidi="ru-RU"/>
        </w:rPr>
        <w:t>на одну особу у 2015 та 2016 рр.,</w:t>
      </w:r>
    </w:p>
    <w:p w14:paraId="491DFDC9" w14:textId="77777777" w:rsidR="00884CEA" w:rsidRDefault="00884CEA" w:rsidP="007A2FCB">
      <w:pPr>
        <w:pStyle w:val="1"/>
        <w:tabs>
          <w:tab w:val="left" w:pos="966"/>
        </w:tabs>
        <w:spacing w:line="360" w:lineRule="auto"/>
        <w:ind w:firstLine="0"/>
        <w:jc w:val="both"/>
        <w:rPr>
          <w:lang w:val="uk-UA"/>
        </w:rPr>
      </w:pPr>
    </w:p>
    <w:p w14:paraId="1E9DEE99" w14:textId="77777777" w:rsidR="00884CEA" w:rsidRDefault="00884CEA" w:rsidP="00CD74F6">
      <w:pPr>
        <w:pStyle w:val="1"/>
        <w:spacing w:line="360" w:lineRule="auto"/>
        <w:ind w:firstLine="600"/>
        <w:jc w:val="both"/>
      </w:pPr>
      <w:r w:rsidRPr="00A33B18">
        <w:rPr>
          <w:lang w:val="uk-UA"/>
        </w:rPr>
        <w:t xml:space="preserve">Слід зауважити, що серед наведених 20 ОТГ 13 - це територіальні громади, які розташовані або біля обласного центру, або великого міста, тобто приміські громади; 11 ОТГ - громади, через або попри які проходять важливі автошляхи; і одна ОТГ - Тячівська - прикордонна. </w:t>
      </w:r>
      <w:r>
        <w:t>Таким чином, бачимо повне підтвердження залежності надходження акцизного податку від розташування ОТГ.</w:t>
      </w:r>
    </w:p>
    <w:p w14:paraId="2BD7309C" w14:textId="77777777" w:rsidR="00884CEA" w:rsidRDefault="00884CEA" w:rsidP="00CD74F6">
      <w:pPr>
        <w:pStyle w:val="1"/>
        <w:spacing w:line="360" w:lineRule="auto"/>
        <w:ind w:firstLine="600"/>
        <w:jc w:val="both"/>
      </w:pPr>
      <w:r>
        <w:t xml:space="preserve">Найвищим показник надходження акцизного податку з реалізації </w:t>
      </w:r>
      <w:r>
        <w:lastRenderedPageBreak/>
        <w:t>підакцизних товарів на одну особу є в Новоолександрівській ОТГ, яка межує з м. Дніпропетровськ, і становить 2187,5 грн. на особу. При порівнянні цього показника з середнім по усіх 159 ОТГ України (254,4 грн. на особу), бачимо різницю у 8,6 разу, з найнижчим значенням - 2,4 грн. на особу у Студенянській ОТГ Вінницької області - у 911,5 разів, що свідчить про</w:t>
      </w:r>
    </w:p>
    <w:p w14:paraId="7970A005" w14:textId="77777777" w:rsidR="00884CEA" w:rsidRPr="00CD74F6" w:rsidRDefault="00884CEA" w:rsidP="00CD74F6">
      <w:pPr>
        <w:pStyle w:val="1"/>
        <w:spacing w:line="360" w:lineRule="auto"/>
        <w:ind w:firstLine="0"/>
        <w:rPr>
          <w:lang w:val="uk-UA"/>
        </w:rPr>
      </w:pPr>
      <w:r>
        <w:rPr>
          <w:lang w:eastAsia="ru-RU" w:bidi="ru-RU"/>
        </w:rPr>
        <w:t xml:space="preserve">значну </w:t>
      </w:r>
      <w:r>
        <w:t xml:space="preserve">диференціацію </w:t>
      </w:r>
      <w:r>
        <w:rPr>
          <w:lang w:eastAsia="ru-RU" w:bidi="ru-RU"/>
        </w:rPr>
        <w:t xml:space="preserve">в надходженнях цього податку та власних </w:t>
      </w:r>
      <w:r>
        <w:t xml:space="preserve">доходів </w:t>
      </w:r>
      <w:r>
        <w:rPr>
          <w:lang w:eastAsia="ru-RU" w:bidi="ru-RU"/>
        </w:rPr>
        <w:t>загалом.</w:t>
      </w:r>
    </w:p>
    <w:p w14:paraId="70B7C75D" w14:textId="77777777" w:rsidR="00884CEA" w:rsidRDefault="00CD74F6" w:rsidP="00CD74F6">
      <w:pPr>
        <w:pStyle w:val="1"/>
        <w:spacing w:line="360" w:lineRule="auto"/>
        <w:ind w:firstLine="600"/>
        <w:jc w:val="both"/>
      </w:pPr>
      <w:r>
        <w:rPr>
          <w:lang w:eastAsia="ru-RU" w:bidi="ru-RU"/>
        </w:rPr>
        <w:t xml:space="preserve">З рис. </w:t>
      </w:r>
      <w:r>
        <w:rPr>
          <w:lang w:val="uk-UA" w:eastAsia="ru-RU" w:bidi="ru-RU"/>
        </w:rPr>
        <w:t>2</w:t>
      </w:r>
      <w:r>
        <w:rPr>
          <w:lang w:eastAsia="ru-RU" w:bidi="ru-RU"/>
        </w:rPr>
        <w:t>.</w:t>
      </w:r>
      <w:r>
        <w:rPr>
          <w:lang w:val="uk-UA" w:eastAsia="ru-RU" w:bidi="ru-RU"/>
        </w:rPr>
        <w:t>4</w:t>
      </w:r>
      <w:r w:rsidR="00884CEA">
        <w:rPr>
          <w:lang w:eastAsia="ru-RU" w:bidi="ru-RU"/>
        </w:rPr>
        <w:t xml:space="preserve"> видно, що </w:t>
      </w:r>
      <w:r w:rsidR="00884CEA">
        <w:t xml:space="preserve">є зміна </w:t>
      </w:r>
      <w:r w:rsidR="00884CEA">
        <w:rPr>
          <w:lang w:eastAsia="ru-RU" w:bidi="ru-RU"/>
        </w:rPr>
        <w:t xml:space="preserve">структури податкових </w:t>
      </w:r>
      <w:r w:rsidR="00884CEA">
        <w:t xml:space="preserve">доходів бюджетів </w:t>
      </w:r>
      <w:r w:rsidR="00884CEA">
        <w:rPr>
          <w:lang w:eastAsia="ru-RU" w:bidi="ru-RU"/>
        </w:rPr>
        <w:t xml:space="preserve">ОТГ впродовж </w:t>
      </w:r>
      <w:r w:rsidR="00884CEA">
        <w:t xml:space="preserve">аналізованого періоду </w:t>
      </w:r>
      <w:r w:rsidR="00884CEA">
        <w:rPr>
          <w:lang w:eastAsia="ru-RU" w:bidi="ru-RU"/>
        </w:rPr>
        <w:t xml:space="preserve">через зарахування ПДФО, а також </w:t>
      </w:r>
      <w:r w:rsidR="00884CEA">
        <w:t xml:space="preserve">різницю </w:t>
      </w:r>
      <w:r w:rsidR="00884CEA">
        <w:rPr>
          <w:lang w:eastAsia="ru-RU" w:bidi="ru-RU"/>
        </w:rPr>
        <w:t xml:space="preserve">в </w:t>
      </w:r>
      <w:r w:rsidR="00884CEA">
        <w:t xml:space="preserve">структурі доходів </w:t>
      </w:r>
      <w:r w:rsidR="00884CEA">
        <w:rPr>
          <w:lang w:eastAsia="ru-RU" w:bidi="ru-RU"/>
        </w:rPr>
        <w:t>груп ОТГ.</w:t>
      </w:r>
    </w:p>
    <w:p w14:paraId="55683C2F" w14:textId="77777777" w:rsidR="00884CEA" w:rsidRDefault="00884CEA" w:rsidP="007A2FCB">
      <w:pPr>
        <w:pStyle w:val="1"/>
        <w:tabs>
          <w:tab w:val="left" w:pos="966"/>
        </w:tabs>
        <w:spacing w:line="360" w:lineRule="auto"/>
        <w:ind w:firstLine="0"/>
        <w:jc w:val="both"/>
        <w:rPr>
          <w:lang w:val="uk-UA"/>
        </w:rPr>
      </w:pPr>
    </w:p>
    <w:p w14:paraId="1AD9CB97" w14:textId="77777777" w:rsidR="00884CEA" w:rsidRDefault="00884CEA" w:rsidP="007A2FCB">
      <w:pPr>
        <w:pStyle w:val="1"/>
        <w:tabs>
          <w:tab w:val="left" w:pos="966"/>
        </w:tabs>
        <w:spacing w:line="360" w:lineRule="auto"/>
        <w:ind w:firstLine="0"/>
        <w:jc w:val="both"/>
        <w:rPr>
          <w:lang w:val="uk-UA"/>
        </w:rPr>
      </w:pPr>
      <w:r w:rsidRPr="00884CEA">
        <w:rPr>
          <w:noProof/>
          <w:lang w:val="uk-UA" w:eastAsia="uk-UA"/>
        </w:rPr>
        <w:drawing>
          <wp:inline distT="0" distB="0" distL="0" distR="0" wp14:anchorId="1F528C3F" wp14:editId="3CDB2288">
            <wp:extent cx="5819775" cy="2781300"/>
            <wp:effectExtent l="19050" t="0" r="9525" b="0"/>
            <wp:docPr id="93" name="Picut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12" cstate="print"/>
                    <a:stretch/>
                  </pic:blipFill>
                  <pic:spPr>
                    <a:xfrm>
                      <a:off x="0" y="0"/>
                      <a:ext cx="5824184" cy="2783407"/>
                    </a:xfrm>
                    <a:prstGeom prst="rect">
                      <a:avLst/>
                    </a:prstGeom>
                  </pic:spPr>
                </pic:pic>
              </a:graphicData>
            </a:graphic>
          </wp:inline>
        </w:drawing>
      </w:r>
    </w:p>
    <w:p w14:paraId="306424A4" w14:textId="77777777" w:rsidR="00CD74F6" w:rsidRDefault="00CD74F6" w:rsidP="007A2FCB">
      <w:pPr>
        <w:pStyle w:val="1"/>
        <w:tabs>
          <w:tab w:val="left" w:pos="966"/>
        </w:tabs>
        <w:spacing w:line="360" w:lineRule="auto"/>
        <w:ind w:firstLine="0"/>
        <w:jc w:val="both"/>
        <w:rPr>
          <w:lang w:val="uk-UA"/>
        </w:rPr>
      </w:pPr>
    </w:p>
    <w:p w14:paraId="0CDE77AE" w14:textId="77777777" w:rsidR="00884CEA" w:rsidRPr="00884CEA" w:rsidRDefault="00884CEA" w:rsidP="00884CEA">
      <w:pPr>
        <w:pStyle w:val="a7"/>
        <w:framePr w:wrap="none" w:vAnchor="page" w:hAnchor="page" w:x="2216" w:y="12737"/>
        <w:spacing w:line="240" w:lineRule="auto"/>
        <w:rPr>
          <w:lang w:val="uk-UA"/>
        </w:rPr>
      </w:pPr>
    </w:p>
    <w:p w14:paraId="4DA2085B" w14:textId="77777777" w:rsidR="00884CEA" w:rsidRDefault="00CD74F6" w:rsidP="00CD74F6">
      <w:pPr>
        <w:pStyle w:val="a7"/>
        <w:spacing w:line="240" w:lineRule="auto"/>
        <w:ind w:firstLine="567"/>
        <w:jc w:val="both"/>
        <w:rPr>
          <w:lang w:val="uk-UA"/>
        </w:rPr>
      </w:pPr>
      <w:r>
        <w:t xml:space="preserve">Рис. </w:t>
      </w:r>
      <w:r>
        <w:rPr>
          <w:lang w:val="uk-UA"/>
        </w:rPr>
        <w:t>2</w:t>
      </w:r>
      <w:r>
        <w:t>.</w:t>
      </w:r>
      <w:r>
        <w:rPr>
          <w:lang w:val="uk-UA"/>
        </w:rPr>
        <w:t>4</w:t>
      </w:r>
      <w:r w:rsidR="00884CEA">
        <w:t xml:space="preserve">. Динаміка структури податкових надходжень бюджетів ОТГ </w:t>
      </w:r>
      <w:r w:rsidR="00884CEA">
        <w:rPr>
          <w:lang w:val="uk-UA"/>
        </w:rPr>
        <w:t xml:space="preserve"> у 2021р.</w:t>
      </w:r>
    </w:p>
    <w:p w14:paraId="5C276319" w14:textId="77777777" w:rsidR="00884CEA" w:rsidRDefault="00884CEA" w:rsidP="00884CEA">
      <w:pPr>
        <w:pStyle w:val="a7"/>
        <w:spacing w:line="240" w:lineRule="auto"/>
        <w:rPr>
          <w:lang w:val="uk-UA"/>
        </w:rPr>
      </w:pPr>
    </w:p>
    <w:p w14:paraId="6E11A054" w14:textId="77777777" w:rsidR="00884CEA" w:rsidRDefault="00884CEA" w:rsidP="00CD74F6">
      <w:pPr>
        <w:pStyle w:val="1"/>
        <w:spacing w:line="360" w:lineRule="auto"/>
        <w:ind w:firstLine="600"/>
        <w:jc w:val="both"/>
      </w:pPr>
      <w:r>
        <w:rPr>
          <w:lang w:eastAsia="ru-RU" w:bidi="ru-RU"/>
        </w:rPr>
        <w:t xml:space="preserve">Щодо основних </w:t>
      </w:r>
      <w:r>
        <w:t xml:space="preserve">місцевих податків: </w:t>
      </w:r>
      <w:r>
        <w:rPr>
          <w:lang w:eastAsia="ru-RU" w:bidi="ru-RU"/>
        </w:rPr>
        <w:t xml:space="preserve">питома вага </w:t>
      </w:r>
      <w:r>
        <w:t xml:space="preserve">єдиного </w:t>
      </w:r>
      <w:r>
        <w:rPr>
          <w:lang w:eastAsia="ru-RU" w:bidi="ru-RU"/>
        </w:rPr>
        <w:t xml:space="preserve">податку в </w:t>
      </w:r>
      <w:r>
        <w:t xml:space="preserve">структурі </w:t>
      </w:r>
      <w:r>
        <w:rPr>
          <w:lang w:eastAsia="ru-RU" w:bidi="ru-RU"/>
        </w:rPr>
        <w:t xml:space="preserve">податкових надходжень </w:t>
      </w:r>
      <w:r>
        <w:t xml:space="preserve">бюджетів </w:t>
      </w:r>
      <w:r w:rsidR="00CD74F6">
        <w:rPr>
          <w:lang w:eastAsia="ru-RU" w:bidi="ru-RU"/>
        </w:rPr>
        <w:t>ОТГ у 20</w:t>
      </w:r>
      <w:r w:rsidR="00CD74F6">
        <w:rPr>
          <w:lang w:val="uk-UA" w:eastAsia="ru-RU" w:bidi="ru-RU"/>
        </w:rPr>
        <w:t>21</w:t>
      </w:r>
      <w:r>
        <w:t xml:space="preserve">році </w:t>
      </w:r>
      <w:r>
        <w:rPr>
          <w:lang w:eastAsia="ru-RU" w:bidi="ru-RU"/>
        </w:rPr>
        <w:t xml:space="preserve">коливалася в межах 12,4-18,2% по </w:t>
      </w:r>
      <w:r>
        <w:t xml:space="preserve">усіх групах; частка плати за землю - в межах </w:t>
      </w:r>
      <w:r>
        <w:rPr>
          <w:lang w:eastAsia="ru-RU" w:bidi="ru-RU"/>
        </w:rPr>
        <w:t>14,0</w:t>
      </w:r>
      <w:r>
        <w:rPr>
          <w:lang w:eastAsia="ru-RU" w:bidi="ru-RU"/>
        </w:rPr>
        <w:softHyphen/>
        <w:t>39,2%.</w:t>
      </w:r>
    </w:p>
    <w:p w14:paraId="3540A616" w14:textId="77777777" w:rsidR="00884CEA" w:rsidRDefault="00884CEA" w:rsidP="00CD74F6">
      <w:pPr>
        <w:pStyle w:val="1"/>
        <w:spacing w:line="360" w:lineRule="auto"/>
        <w:ind w:firstLine="600"/>
        <w:jc w:val="both"/>
      </w:pPr>
      <w:r>
        <w:t>Ще одним показником, який дозволяє проаналізувати спроможність громад до забезпечення власного розвитку є рівень фінансової залежності бюджетів ОТГ від надання дотацій</w:t>
      </w:r>
      <w:r w:rsidR="00CD74F6">
        <w:t xml:space="preserve"> з державного бюджету (табл. </w:t>
      </w:r>
      <w:r w:rsidR="00CD74F6">
        <w:rPr>
          <w:lang w:val="uk-UA"/>
        </w:rPr>
        <w:t>2</w:t>
      </w:r>
      <w:r w:rsidR="00CD74F6">
        <w:t>.</w:t>
      </w:r>
      <w:r w:rsidR="00CD74F6">
        <w:rPr>
          <w:lang w:val="uk-UA"/>
        </w:rPr>
        <w:t>2</w:t>
      </w:r>
      <w:r>
        <w:t>).</w:t>
      </w:r>
    </w:p>
    <w:p w14:paraId="0C305F4E" w14:textId="77777777" w:rsidR="00884CEA" w:rsidRPr="00CD74F6" w:rsidRDefault="00CD74F6" w:rsidP="00CD74F6">
      <w:pPr>
        <w:pStyle w:val="1"/>
        <w:spacing w:line="360" w:lineRule="auto"/>
        <w:ind w:right="380" w:firstLine="0"/>
        <w:jc w:val="right"/>
        <w:rPr>
          <w:lang w:val="uk-UA"/>
        </w:rPr>
      </w:pPr>
      <w:r>
        <w:lastRenderedPageBreak/>
        <w:t>Таблиця .</w:t>
      </w:r>
      <w:r>
        <w:rPr>
          <w:lang w:val="uk-UA"/>
        </w:rPr>
        <w:t>2</w:t>
      </w:r>
      <w:r>
        <w:t>.</w:t>
      </w:r>
      <w:r>
        <w:rPr>
          <w:lang w:val="uk-UA"/>
        </w:rPr>
        <w:t>2</w:t>
      </w:r>
    </w:p>
    <w:p w14:paraId="36C4E77D" w14:textId="77777777" w:rsidR="00C8148F" w:rsidRDefault="00C8148F" w:rsidP="007A2F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3AF16A12" w14:textId="77777777" w:rsidR="00884CEA" w:rsidRPr="00CD74F6" w:rsidRDefault="00884CEA" w:rsidP="00884CEA">
      <w:pPr>
        <w:pStyle w:val="af1"/>
        <w:jc w:val="center"/>
        <w:rPr>
          <w:b/>
          <w:lang w:val="uk-UA"/>
        </w:rPr>
      </w:pPr>
      <w:r w:rsidRPr="00CD74F6">
        <w:rPr>
          <w:b/>
        </w:rPr>
        <w:t>Рівень фінансової залежності бюджетів ОТГ</w:t>
      </w:r>
    </w:p>
    <w:p w14:paraId="5A7F0F33" w14:textId="77777777" w:rsidR="00884CEA" w:rsidRPr="00884CEA" w:rsidRDefault="00884CEA" w:rsidP="00884CEA">
      <w:pPr>
        <w:pStyle w:val="af1"/>
        <w:jc w:val="center"/>
        <w:rPr>
          <w:lang w:val="uk-UA"/>
        </w:rPr>
      </w:pPr>
    </w:p>
    <w:tbl>
      <w:tblPr>
        <w:tblW w:w="9754" w:type="dxa"/>
        <w:tblLayout w:type="fixed"/>
        <w:tblCellMar>
          <w:left w:w="10" w:type="dxa"/>
          <w:right w:w="10" w:type="dxa"/>
        </w:tblCellMar>
        <w:tblLook w:val="04A0" w:firstRow="1" w:lastRow="0" w:firstColumn="1" w:lastColumn="0" w:noHBand="0" w:noVBand="1"/>
      </w:tblPr>
      <w:tblGrid>
        <w:gridCol w:w="1867"/>
        <w:gridCol w:w="1277"/>
        <w:gridCol w:w="1498"/>
        <w:gridCol w:w="1560"/>
        <w:gridCol w:w="1834"/>
        <w:gridCol w:w="1718"/>
      </w:tblGrid>
      <w:tr w:rsidR="00884CEA" w14:paraId="4C33817E" w14:textId="77777777" w:rsidTr="00884CEA">
        <w:trPr>
          <w:trHeight w:hRule="exact" w:val="317"/>
        </w:trPr>
        <w:tc>
          <w:tcPr>
            <w:tcW w:w="1867" w:type="dxa"/>
            <w:vMerge w:val="restart"/>
            <w:tcBorders>
              <w:top w:val="single" w:sz="4" w:space="0" w:color="auto"/>
              <w:left w:val="single" w:sz="4" w:space="0" w:color="auto"/>
            </w:tcBorders>
            <w:shd w:val="clear" w:color="auto" w:fill="C4BC97"/>
            <w:vAlign w:val="center"/>
          </w:tcPr>
          <w:p w14:paraId="57770F7D" w14:textId="77777777" w:rsidR="00884CEA" w:rsidRDefault="00884CEA" w:rsidP="00884CEA">
            <w:pPr>
              <w:pStyle w:val="ad"/>
              <w:spacing w:line="240" w:lineRule="auto"/>
              <w:ind w:firstLine="0"/>
              <w:jc w:val="center"/>
              <w:rPr>
                <w:sz w:val="24"/>
                <w:szCs w:val="24"/>
              </w:rPr>
            </w:pPr>
            <w:r>
              <w:rPr>
                <w:b/>
                <w:bCs/>
                <w:sz w:val="24"/>
                <w:szCs w:val="24"/>
              </w:rPr>
              <w:t>Групи</w:t>
            </w:r>
          </w:p>
        </w:tc>
        <w:tc>
          <w:tcPr>
            <w:tcW w:w="1277" w:type="dxa"/>
            <w:vMerge w:val="restart"/>
            <w:tcBorders>
              <w:top w:val="single" w:sz="4" w:space="0" w:color="auto"/>
              <w:left w:val="single" w:sz="4" w:space="0" w:color="auto"/>
            </w:tcBorders>
            <w:shd w:val="clear" w:color="auto" w:fill="C4BC97"/>
            <w:vAlign w:val="center"/>
          </w:tcPr>
          <w:p w14:paraId="0D9A00D6" w14:textId="77777777" w:rsidR="00884CEA" w:rsidRDefault="00884CEA" w:rsidP="00884CEA">
            <w:pPr>
              <w:pStyle w:val="ad"/>
              <w:spacing w:line="240" w:lineRule="auto"/>
              <w:ind w:firstLine="0"/>
              <w:jc w:val="center"/>
              <w:rPr>
                <w:sz w:val="24"/>
                <w:szCs w:val="24"/>
              </w:rPr>
            </w:pPr>
            <w:r>
              <w:rPr>
                <w:b/>
                <w:bCs/>
                <w:sz w:val="24"/>
                <w:szCs w:val="24"/>
              </w:rPr>
              <w:t>Кількість ОТГ</w:t>
            </w:r>
          </w:p>
        </w:tc>
        <w:tc>
          <w:tcPr>
            <w:tcW w:w="3058" w:type="dxa"/>
            <w:gridSpan w:val="2"/>
            <w:tcBorders>
              <w:top w:val="single" w:sz="4" w:space="0" w:color="auto"/>
              <w:left w:val="single" w:sz="4" w:space="0" w:color="auto"/>
            </w:tcBorders>
            <w:shd w:val="clear" w:color="auto" w:fill="C4BC97"/>
            <w:vAlign w:val="bottom"/>
          </w:tcPr>
          <w:p w14:paraId="681EBDB9" w14:textId="77777777" w:rsidR="00884CEA" w:rsidRDefault="00884CEA" w:rsidP="00884CEA">
            <w:pPr>
              <w:pStyle w:val="ad"/>
              <w:spacing w:line="240" w:lineRule="auto"/>
              <w:ind w:firstLine="0"/>
              <w:jc w:val="center"/>
              <w:rPr>
                <w:sz w:val="24"/>
                <w:szCs w:val="24"/>
              </w:rPr>
            </w:pPr>
            <w:r>
              <w:rPr>
                <w:b/>
                <w:bCs/>
                <w:sz w:val="24"/>
                <w:szCs w:val="24"/>
              </w:rPr>
              <w:t>Кількість ОТГ в групі з</w:t>
            </w:r>
          </w:p>
        </w:tc>
        <w:tc>
          <w:tcPr>
            <w:tcW w:w="1834" w:type="dxa"/>
            <w:vMerge w:val="restart"/>
            <w:tcBorders>
              <w:top w:val="single" w:sz="4" w:space="0" w:color="auto"/>
              <w:left w:val="single" w:sz="4" w:space="0" w:color="auto"/>
            </w:tcBorders>
            <w:shd w:val="clear" w:color="auto" w:fill="C4BC97"/>
            <w:vAlign w:val="bottom"/>
          </w:tcPr>
          <w:p w14:paraId="7E6153F2" w14:textId="77777777" w:rsidR="00884CEA" w:rsidRDefault="00884CEA" w:rsidP="00884CEA">
            <w:pPr>
              <w:pStyle w:val="ad"/>
              <w:spacing w:line="240" w:lineRule="auto"/>
              <w:ind w:firstLine="0"/>
              <w:jc w:val="center"/>
              <w:rPr>
                <w:sz w:val="24"/>
                <w:szCs w:val="24"/>
              </w:rPr>
            </w:pPr>
            <w:r>
              <w:rPr>
                <w:b/>
                <w:bCs/>
                <w:sz w:val="24"/>
                <w:szCs w:val="24"/>
              </w:rPr>
              <w:t>Питома частка ОТГ в групі з базовою дотацією, %</w:t>
            </w:r>
          </w:p>
        </w:tc>
        <w:tc>
          <w:tcPr>
            <w:tcW w:w="1718" w:type="dxa"/>
            <w:vMerge w:val="restart"/>
            <w:tcBorders>
              <w:top w:val="single" w:sz="4" w:space="0" w:color="auto"/>
              <w:left w:val="single" w:sz="4" w:space="0" w:color="auto"/>
              <w:right w:val="single" w:sz="4" w:space="0" w:color="auto"/>
            </w:tcBorders>
            <w:shd w:val="clear" w:color="auto" w:fill="C4BC97"/>
            <w:vAlign w:val="bottom"/>
          </w:tcPr>
          <w:p w14:paraId="76DE60C6" w14:textId="77777777" w:rsidR="00884CEA" w:rsidRDefault="00884CEA" w:rsidP="00884CEA">
            <w:pPr>
              <w:pStyle w:val="ad"/>
              <w:spacing w:line="240" w:lineRule="auto"/>
              <w:ind w:firstLine="0"/>
              <w:jc w:val="center"/>
              <w:rPr>
                <w:sz w:val="24"/>
                <w:szCs w:val="24"/>
              </w:rPr>
            </w:pPr>
            <w:r>
              <w:rPr>
                <w:b/>
                <w:bCs/>
                <w:sz w:val="24"/>
                <w:szCs w:val="24"/>
              </w:rPr>
              <w:t xml:space="preserve">Питома частка ОТГ в групі з </w:t>
            </w:r>
            <w:r>
              <w:rPr>
                <w:b/>
                <w:bCs/>
                <w:sz w:val="24"/>
                <w:szCs w:val="24"/>
                <w:lang w:eastAsia="ru-RU" w:bidi="ru-RU"/>
              </w:rPr>
              <w:t xml:space="preserve">реверсною </w:t>
            </w:r>
            <w:r>
              <w:rPr>
                <w:b/>
                <w:bCs/>
                <w:sz w:val="24"/>
                <w:szCs w:val="24"/>
              </w:rPr>
              <w:t>дотацією, %</w:t>
            </w:r>
          </w:p>
        </w:tc>
      </w:tr>
      <w:tr w:rsidR="00884CEA" w14:paraId="5DCBFF45" w14:textId="77777777" w:rsidTr="00884CEA">
        <w:trPr>
          <w:trHeight w:hRule="exact" w:val="1080"/>
        </w:trPr>
        <w:tc>
          <w:tcPr>
            <w:tcW w:w="1867" w:type="dxa"/>
            <w:vMerge/>
            <w:tcBorders>
              <w:left w:val="single" w:sz="4" w:space="0" w:color="auto"/>
            </w:tcBorders>
            <w:shd w:val="clear" w:color="auto" w:fill="C4BC97"/>
            <w:vAlign w:val="center"/>
          </w:tcPr>
          <w:p w14:paraId="6EFB9876" w14:textId="77777777" w:rsidR="00884CEA" w:rsidRDefault="00884CEA" w:rsidP="00884CEA"/>
        </w:tc>
        <w:tc>
          <w:tcPr>
            <w:tcW w:w="1277" w:type="dxa"/>
            <w:vMerge/>
            <w:tcBorders>
              <w:left w:val="single" w:sz="4" w:space="0" w:color="auto"/>
            </w:tcBorders>
            <w:shd w:val="clear" w:color="auto" w:fill="C4BC97"/>
            <w:vAlign w:val="center"/>
          </w:tcPr>
          <w:p w14:paraId="4514D0F7" w14:textId="77777777" w:rsidR="00884CEA" w:rsidRDefault="00884CEA" w:rsidP="00884CEA"/>
        </w:tc>
        <w:tc>
          <w:tcPr>
            <w:tcW w:w="1498" w:type="dxa"/>
            <w:tcBorders>
              <w:top w:val="single" w:sz="4" w:space="0" w:color="auto"/>
              <w:left w:val="single" w:sz="4" w:space="0" w:color="auto"/>
            </w:tcBorders>
            <w:shd w:val="clear" w:color="auto" w:fill="E6EED6"/>
            <w:vAlign w:val="center"/>
          </w:tcPr>
          <w:p w14:paraId="4AA1755D" w14:textId="77777777" w:rsidR="00884CEA" w:rsidRDefault="00884CEA" w:rsidP="00884CEA">
            <w:pPr>
              <w:pStyle w:val="ad"/>
              <w:spacing w:line="240" w:lineRule="auto"/>
              <w:ind w:firstLine="0"/>
              <w:jc w:val="center"/>
              <w:rPr>
                <w:sz w:val="24"/>
                <w:szCs w:val="24"/>
              </w:rPr>
            </w:pPr>
            <w:r>
              <w:rPr>
                <w:b/>
                <w:bCs/>
                <w:sz w:val="24"/>
                <w:szCs w:val="24"/>
              </w:rPr>
              <w:t>базовою дотацією</w:t>
            </w:r>
          </w:p>
        </w:tc>
        <w:tc>
          <w:tcPr>
            <w:tcW w:w="1560" w:type="dxa"/>
            <w:tcBorders>
              <w:top w:val="single" w:sz="4" w:space="0" w:color="auto"/>
              <w:left w:val="single" w:sz="4" w:space="0" w:color="auto"/>
            </w:tcBorders>
            <w:shd w:val="clear" w:color="auto" w:fill="E6EED6"/>
            <w:vAlign w:val="center"/>
          </w:tcPr>
          <w:p w14:paraId="2F203E43" w14:textId="77777777" w:rsidR="00884CEA" w:rsidRDefault="00884CEA" w:rsidP="00884CEA">
            <w:pPr>
              <w:pStyle w:val="ad"/>
              <w:spacing w:line="240" w:lineRule="auto"/>
              <w:ind w:firstLine="0"/>
              <w:jc w:val="center"/>
              <w:rPr>
                <w:sz w:val="24"/>
                <w:szCs w:val="24"/>
              </w:rPr>
            </w:pPr>
            <w:r>
              <w:rPr>
                <w:b/>
                <w:bCs/>
                <w:sz w:val="24"/>
                <w:szCs w:val="24"/>
                <w:lang w:eastAsia="ru-RU" w:bidi="ru-RU"/>
              </w:rPr>
              <w:t xml:space="preserve">реверсною </w:t>
            </w:r>
            <w:r>
              <w:rPr>
                <w:b/>
                <w:bCs/>
                <w:sz w:val="24"/>
                <w:szCs w:val="24"/>
              </w:rPr>
              <w:t>дотацією</w:t>
            </w:r>
          </w:p>
        </w:tc>
        <w:tc>
          <w:tcPr>
            <w:tcW w:w="1834" w:type="dxa"/>
            <w:vMerge/>
            <w:tcBorders>
              <w:left w:val="single" w:sz="4" w:space="0" w:color="auto"/>
            </w:tcBorders>
            <w:shd w:val="clear" w:color="auto" w:fill="C4BC97"/>
            <w:vAlign w:val="bottom"/>
          </w:tcPr>
          <w:p w14:paraId="03016324" w14:textId="77777777" w:rsidR="00884CEA" w:rsidRDefault="00884CEA" w:rsidP="00884CEA"/>
        </w:tc>
        <w:tc>
          <w:tcPr>
            <w:tcW w:w="1718" w:type="dxa"/>
            <w:vMerge/>
            <w:tcBorders>
              <w:left w:val="single" w:sz="4" w:space="0" w:color="auto"/>
              <w:right w:val="single" w:sz="4" w:space="0" w:color="auto"/>
            </w:tcBorders>
            <w:shd w:val="clear" w:color="auto" w:fill="C4BC97"/>
            <w:vAlign w:val="bottom"/>
          </w:tcPr>
          <w:p w14:paraId="6745048A" w14:textId="77777777" w:rsidR="00884CEA" w:rsidRDefault="00884CEA" w:rsidP="00884CEA"/>
        </w:tc>
      </w:tr>
      <w:tr w:rsidR="00884CEA" w14:paraId="5C81D7DD" w14:textId="77777777" w:rsidTr="00884CEA">
        <w:trPr>
          <w:trHeight w:hRule="exact" w:val="312"/>
        </w:trPr>
        <w:tc>
          <w:tcPr>
            <w:tcW w:w="1867" w:type="dxa"/>
            <w:tcBorders>
              <w:top w:val="single" w:sz="4" w:space="0" w:color="auto"/>
              <w:left w:val="single" w:sz="4" w:space="0" w:color="auto"/>
            </w:tcBorders>
            <w:shd w:val="clear" w:color="auto" w:fill="E6EED6"/>
            <w:vAlign w:val="bottom"/>
          </w:tcPr>
          <w:p w14:paraId="760CE270" w14:textId="77777777" w:rsidR="00884CEA" w:rsidRDefault="00884CEA" w:rsidP="00884CEA">
            <w:pPr>
              <w:pStyle w:val="ad"/>
              <w:spacing w:line="240" w:lineRule="auto"/>
              <w:ind w:firstLine="180"/>
              <w:rPr>
                <w:sz w:val="24"/>
                <w:szCs w:val="24"/>
              </w:rPr>
            </w:pPr>
            <w:r>
              <w:rPr>
                <w:sz w:val="24"/>
                <w:szCs w:val="24"/>
              </w:rPr>
              <w:t>до 3 тис. осіб</w:t>
            </w:r>
          </w:p>
        </w:tc>
        <w:tc>
          <w:tcPr>
            <w:tcW w:w="1277" w:type="dxa"/>
            <w:tcBorders>
              <w:top w:val="single" w:sz="4" w:space="0" w:color="auto"/>
              <w:left w:val="single" w:sz="4" w:space="0" w:color="auto"/>
            </w:tcBorders>
            <w:shd w:val="clear" w:color="auto" w:fill="auto"/>
            <w:vAlign w:val="bottom"/>
          </w:tcPr>
          <w:p w14:paraId="6757E3DD" w14:textId="77777777" w:rsidR="00884CEA" w:rsidRDefault="00884CEA" w:rsidP="00884CEA">
            <w:pPr>
              <w:pStyle w:val="ad"/>
              <w:spacing w:line="240" w:lineRule="auto"/>
              <w:ind w:firstLine="0"/>
              <w:jc w:val="center"/>
              <w:rPr>
                <w:sz w:val="24"/>
                <w:szCs w:val="24"/>
              </w:rPr>
            </w:pPr>
            <w:r>
              <w:rPr>
                <w:sz w:val="24"/>
                <w:szCs w:val="24"/>
              </w:rPr>
              <w:t>18</w:t>
            </w:r>
          </w:p>
        </w:tc>
        <w:tc>
          <w:tcPr>
            <w:tcW w:w="1498" w:type="dxa"/>
            <w:tcBorders>
              <w:top w:val="single" w:sz="4" w:space="0" w:color="auto"/>
              <w:left w:val="single" w:sz="4" w:space="0" w:color="auto"/>
            </w:tcBorders>
            <w:shd w:val="clear" w:color="auto" w:fill="auto"/>
            <w:vAlign w:val="bottom"/>
          </w:tcPr>
          <w:p w14:paraId="31CD74D2" w14:textId="77777777" w:rsidR="00884CEA" w:rsidRDefault="00884CEA" w:rsidP="00884CEA">
            <w:pPr>
              <w:pStyle w:val="ad"/>
              <w:spacing w:line="240" w:lineRule="auto"/>
              <w:ind w:firstLine="0"/>
              <w:jc w:val="center"/>
              <w:rPr>
                <w:sz w:val="24"/>
                <w:szCs w:val="24"/>
              </w:rPr>
            </w:pPr>
            <w:r>
              <w:rPr>
                <w:sz w:val="24"/>
                <w:szCs w:val="24"/>
              </w:rPr>
              <w:t>16</w:t>
            </w:r>
          </w:p>
        </w:tc>
        <w:tc>
          <w:tcPr>
            <w:tcW w:w="1560" w:type="dxa"/>
            <w:tcBorders>
              <w:top w:val="single" w:sz="4" w:space="0" w:color="auto"/>
              <w:left w:val="single" w:sz="4" w:space="0" w:color="auto"/>
            </w:tcBorders>
            <w:shd w:val="clear" w:color="auto" w:fill="auto"/>
            <w:vAlign w:val="bottom"/>
          </w:tcPr>
          <w:p w14:paraId="32076678" w14:textId="77777777" w:rsidR="00884CEA" w:rsidRDefault="00884CEA" w:rsidP="00884CEA">
            <w:pPr>
              <w:pStyle w:val="ad"/>
              <w:spacing w:line="240" w:lineRule="auto"/>
              <w:ind w:firstLine="0"/>
              <w:jc w:val="center"/>
              <w:rPr>
                <w:sz w:val="24"/>
                <w:szCs w:val="24"/>
              </w:rPr>
            </w:pPr>
            <w:r>
              <w:rPr>
                <w:sz w:val="24"/>
                <w:szCs w:val="24"/>
              </w:rPr>
              <w:t>0</w:t>
            </w:r>
          </w:p>
        </w:tc>
        <w:tc>
          <w:tcPr>
            <w:tcW w:w="1834" w:type="dxa"/>
            <w:tcBorders>
              <w:top w:val="single" w:sz="4" w:space="0" w:color="auto"/>
              <w:left w:val="single" w:sz="4" w:space="0" w:color="auto"/>
            </w:tcBorders>
            <w:shd w:val="clear" w:color="auto" w:fill="auto"/>
            <w:vAlign w:val="bottom"/>
          </w:tcPr>
          <w:p w14:paraId="60F2DCB0" w14:textId="77777777" w:rsidR="00884CEA" w:rsidRDefault="00884CEA" w:rsidP="00884CEA">
            <w:pPr>
              <w:pStyle w:val="ad"/>
              <w:spacing w:line="240" w:lineRule="auto"/>
              <w:ind w:firstLine="0"/>
              <w:jc w:val="center"/>
              <w:rPr>
                <w:sz w:val="24"/>
                <w:szCs w:val="24"/>
              </w:rPr>
            </w:pPr>
            <w:r>
              <w:rPr>
                <w:sz w:val="24"/>
                <w:szCs w:val="24"/>
              </w:rPr>
              <w:t>88,9</w:t>
            </w:r>
          </w:p>
        </w:tc>
        <w:tc>
          <w:tcPr>
            <w:tcW w:w="1718" w:type="dxa"/>
            <w:tcBorders>
              <w:top w:val="single" w:sz="4" w:space="0" w:color="auto"/>
              <w:left w:val="single" w:sz="4" w:space="0" w:color="auto"/>
              <w:right w:val="single" w:sz="4" w:space="0" w:color="auto"/>
            </w:tcBorders>
            <w:shd w:val="clear" w:color="auto" w:fill="auto"/>
            <w:vAlign w:val="bottom"/>
          </w:tcPr>
          <w:p w14:paraId="600936A2" w14:textId="77777777" w:rsidR="00884CEA" w:rsidRDefault="00884CEA" w:rsidP="00884CEA">
            <w:pPr>
              <w:pStyle w:val="ad"/>
              <w:spacing w:line="240" w:lineRule="auto"/>
              <w:ind w:firstLine="0"/>
              <w:jc w:val="center"/>
              <w:rPr>
                <w:sz w:val="24"/>
                <w:szCs w:val="24"/>
              </w:rPr>
            </w:pPr>
            <w:r>
              <w:rPr>
                <w:sz w:val="24"/>
                <w:szCs w:val="24"/>
              </w:rPr>
              <w:t>0,0</w:t>
            </w:r>
          </w:p>
        </w:tc>
      </w:tr>
      <w:tr w:rsidR="00884CEA" w14:paraId="37213E75" w14:textId="77777777" w:rsidTr="00884CEA">
        <w:trPr>
          <w:trHeight w:hRule="exact" w:val="307"/>
        </w:trPr>
        <w:tc>
          <w:tcPr>
            <w:tcW w:w="1867" w:type="dxa"/>
            <w:tcBorders>
              <w:top w:val="single" w:sz="4" w:space="0" w:color="auto"/>
              <w:left w:val="single" w:sz="4" w:space="0" w:color="auto"/>
            </w:tcBorders>
            <w:shd w:val="clear" w:color="auto" w:fill="E6EED6"/>
            <w:vAlign w:val="bottom"/>
          </w:tcPr>
          <w:p w14:paraId="7C433284" w14:textId="77777777" w:rsidR="00884CEA" w:rsidRDefault="00884CEA" w:rsidP="00884CEA">
            <w:pPr>
              <w:pStyle w:val="ad"/>
              <w:spacing w:line="240" w:lineRule="auto"/>
              <w:ind w:firstLine="180"/>
              <w:rPr>
                <w:sz w:val="24"/>
                <w:szCs w:val="24"/>
              </w:rPr>
            </w:pPr>
            <w:r>
              <w:rPr>
                <w:sz w:val="24"/>
                <w:szCs w:val="24"/>
              </w:rPr>
              <w:t>3-5 тис. осіб</w:t>
            </w:r>
          </w:p>
        </w:tc>
        <w:tc>
          <w:tcPr>
            <w:tcW w:w="1277" w:type="dxa"/>
            <w:tcBorders>
              <w:top w:val="single" w:sz="4" w:space="0" w:color="auto"/>
              <w:left w:val="single" w:sz="4" w:space="0" w:color="auto"/>
            </w:tcBorders>
            <w:shd w:val="clear" w:color="auto" w:fill="auto"/>
            <w:vAlign w:val="bottom"/>
          </w:tcPr>
          <w:p w14:paraId="38F5EE1C" w14:textId="77777777" w:rsidR="00884CEA" w:rsidRDefault="00884CEA" w:rsidP="00884CEA">
            <w:pPr>
              <w:pStyle w:val="ad"/>
              <w:spacing w:line="240" w:lineRule="auto"/>
              <w:ind w:firstLine="0"/>
              <w:jc w:val="center"/>
              <w:rPr>
                <w:sz w:val="24"/>
                <w:szCs w:val="24"/>
              </w:rPr>
            </w:pPr>
            <w:r>
              <w:rPr>
                <w:sz w:val="24"/>
                <w:szCs w:val="24"/>
              </w:rPr>
              <w:t>40</w:t>
            </w:r>
          </w:p>
        </w:tc>
        <w:tc>
          <w:tcPr>
            <w:tcW w:w="1498" w:type="dxa"/>
            <w:tcBorders>
              <w:top w:val="single" w:sz="4" w:space="0" w:color="auto"/>
              <w:left w:val="single" w:sz="4" w:space="0" w:color="auto"/>
            </w:tcBorders>
            <w:shd w:val="clear" w:color="auto" w:fill="auto"/>
            <w:vAlign w:val="bottom"/>
          </w:tcPr>
          <w:p w14:paraId="4DBC8143" w14:textId="77777777" w:rsidR="00884CEA" w:rsidRDefault="00884CEA" w:rsidP="00884CEA">
            <w:pPr>
              <w:pStyle w:val="ad"/>
              <w:spacing w:line="240" w:lineRule="auto"/>
              <w:ind w:firstLine="0"/>
              <w:jc w:val="center"/>
              <w:rPr>
                <w:sz w:val="24"/>
                <w:szCs w:val="24"/>
              </w:rPr>
            </w:pPr>
            <w:r>
              <w:rPr>
                <w:sz w:val="24"/>
                <w:szCs w:val="24"/>
              </w:rPr>
              <w:t>33</w:t>
            </w:r>
          </w:p>
        </w:tc>
        <w:tc>
          <w:tcPr>
            <w:tcW w:w="1560" w:type="dxa"/>
            <w:tcBorders>
              <w:top w:val="single" w:sz="4" w:space="0" w:color="auto"/>
              <w:left w:val="single" w:sz="4" w:space="0" w:color="auto"/>
            </w:tcBorders>
            <w:shd w:val="clear" w:color="auto" w:fill="auto"/>
            <w:vAlign w:val="bottom"/>
          </w:tcPr>
          <w:p w14:paraId="53B7C00E" w14:textId="77777777" w:rsidR="00884CEA" w:rsidRDefault="00884CEA" w:rsidP="00884CEA">
            <w:pPr>
              <w:pStyle w:val="ad"/>
              <w:spacing w:line="240" w:lineRule="auto"/>
              <w:ind w:firstLine="660"/>
              <w:rPr>
                <w:sz w:val="24"/>
                <w:szCs w:val="24"/>
              </w:rPr>
            </w:pPr>
            <w:r>
              <w:rPr>
                <w:sz w:val="24"/>
                <w:szCs w:val="24"/>
              </w:rPr>
              <w:t>6</w:t>
            </w:r>
          </w:p>
        </w:tc>
        <w:tc>
          <w:tcPr>
            <w:tcW w:w="1834" w:type="dxa"/>
            <w:tcBorders>
              <w:top w:val="single" w:sz="4" w:space="0" w:color="auto"/>
              <w:left w:val="single" w:sz="4" w:space="0" w:color="auto"/>
            </w:tcBorders>
            <w:shd w:val="clear" w:color="auto" w:fill="auto"/>
            <w:vAlign w:val="bottom"/>
          </w:tcPr>
          <w:p w14:paraId="4B4FB553" w14:textId="77777777" w:rsidR="00884CEA" w:rsidRDefault="00884CEA" w:rsidP="00884CEA">
            <w:pPr>
              <w:pStyle w:val="ad"/>
              <w:spacing w:line="240" w:lineRule="auto"/>
              <w:ind w:firstLine="0"/>
              <w:jc w:val="center"/>
              <w:rPr>
                <w:sz w:val="24"/>
                <w:szCs w:val="24"/>
              </w:rPr>
            </w:pPr>
            <w:r>
              <w:rPr>
                <w:sz w:val="24"/>
                <w:szCs w:val="24"/>
              </w:rPr>
              <w:t>82,5</w:t>
            </w:r>
          </w:p>
        </w:tc>
        <w:tc>
          <w:tcPr>
            <w:tcW w:w="1718" w:type="dxa"/>
            <w:tcBorders>
              <w:top w:val="single" w:sz="4" w:space="0" w:color="auto"/>
              <w:left w:val="single" w:sz="4" w:space="0" w:color="auto"/>
              <w:right w:val="single" w:sz="4" w:space="0" w:color="auto"/>
            </w:tcBorders>
            <w:shd w:val="clear" w:color="auto" w:fill="auto"/>
            <w:vAlign w:val="bottom"/>
          </w:tcPr>
          <w:p w14:paraId="4BEBFBA1" w14:textId="77777777" w:rsidR="00884CEA" w:rsidRDefault="00884CEA" w:rsidP="00884CEA">
            <w:pPr>
              <w:pStyle w:val="ad"/>
              <w:spacing w:line="240" w:lineRule="auto"/>
              <w:ind w:firstLine="0"/>
              <w:jc w:val="center"/>
              <w:rPr>
                <w:sz w:val="24"/>
                <w:szCs w:val="24"/>
              </w:rPr>
            </w:pPr>
            <w:r>
              <w:rPr>
                <w:sz w:val="24"/>
                <w:szCs w:val="24"/>
              </w:rPr>
              <w:t>15,0</w:t>
            </w:r>
          </w:p>
        </w:tc>
      </w:tr>
      <w:tr w:rsidR="00884CEA" w14:paraId="56F74372" w14:textId="77777777" w:rsidTr="00884CEA">
        <w:trPr>
          <w:trHeight w:hRule="exact" w:val="312"/>
        </w:trPr>
        <w:tc>
          <w:tcPr>
            <w:tcW w:w="1867" w:type="dxa"/>
            <w:tcBorders>
              <w:top w:val="single" w:sz="4" w:space="0" w:color="auto"/>
              <w:left w:val="single" w:sz="4" w:space="0" w:color="auto"/>
            </w:tcBorders>
            <w:shd w:val="clear" w:color="auto" w:fill="E6EED6"/>
            <w:vAlign w:val="bottom"/>
          </w:tcPr>
          <w:p w14:paraId="1165E8B9" w14:textId="77777777" w:rsidR="00884CEA" w:rsidRDefault="00884CEA" w:rsidP="00884CEA">
            <w:pPr>
              <w:pStyle w:val="ad"/>
              <w:spacing w:line="240" w:lineRule="auto"/>
              <w:ind w:firstLine="180"/>
              <w:rPr>
                <w:sz w:val="24"/>
                <w:szCs w:val="24"/>
              </w:rPr>
            </w:pPr>
            <w:r>
              <w:rPr>
                <w:sz w:val="24"/>
                <w:szCs w:val="24"/>
              </w:rPr>
              <w:t>5-10 тис. осіб</w:t>
            </w:r>
          </w:p>
        </w:tc>
        <w:tc>
          <w:tcPr>
            <w:tcW w:w="1277" w:type="dxa"/>
            <w:tcBorders>
              <w:top w:val="single" w:sz="4" w:space="0" w:color="auto"/>
              <w:left w:val="single" w:sz="4" w:space="0" w:color="auto"/>
            </w:tcBorders>
            <w:shd w:val="clear" w:color="auto" w:fill="auto"/>
            <w:vAlign w:val="bottom"/>
          </w:tcPr>
          <w:p w14:paraId="0D9DA8FF" w14:textId="77777777" w:rsidR="00884CEA" w:rsidRDefault="00884CEA" w:rsidP="00884CEA">
            <w:pPr>
              <w:pStyle w:val="ad"/>
              <w:spacing w:line="240" w:lineRule="auto"/>
              <w:ind w:firstLine="0"/>
              <w:jc w:val="center"/>
              <w:rPr>
                <w:sz w:val="24"/>
                <w:szCs w:val="24"/>
              </w:rPr>
            </w:pPr>
            <w:r>
              <w:rPr>
                <w:sz w:val="24"/>
                <w:szCs w:val="24"/>
              </w:rPr>
              <w:t>56</w:t>
            </w:r>
          </w:p>
        </w:tc>
        <w:tc>
          <w:tcPr>
            <w:tcW w:w="1498" w:type="dxa"/>
            <w:tcBorders>
              <w:top w:val="single" w:sz="4" w:space="0" w:color="auto"/>
              <w:left w:val="single" w:sz="4" w:space="0" w:color="auto"/>
            </w:tcBorders>
            <w:shd w:val="clear" w:color="auto" w:fill="auto"/>
            <w:vAlign w:val="bottom"/>
          </w:tcPr>
          <w:p w14:paraId="7469036B" w14:textId="77777777" w:rsidR="00884CEA" w:rsidRDefault="00884CEA" w:rsidP="00884CEA">
            <w:pPr>
              <w:pStyle w:val="ad"/>
              <w:spacing w:line="240" w:lineRule="auto"/>
              <w:ind w:firstLine="0"/>
              <w:jc w:val="center"/>
              <w:rPr>
                <w:sz w:val="24"/>
                <w:szCs w:val="24"/>
              </w:rPr>
            </w:pPr>
            <w:r>
              <w:rPr>
                <w:sz w:val="24"/>
                <w:szCs w:val="24"/>
              </w:rPr>
              <w:t>44</w:t>
            </w:r>
          </w:p>
        </w:tc>
        <w:tc>
          <w:tcPr>
            <w:tcW w:w="1560" w:type="dxa"/>
            <w:tcBorders>
              <w:top w:val="single" w:sz="4" w:space="0" w:color="auto"/>
              <w:left w:val="single" w:sz="4" w:space="0" w:color="auto"/>
            </w:tcBorders>
            <w:shd w:val="clear" w:color="auto" w:fill="auto"/>
            <w:vAlign w:val="bottom"/>
          </w:tcPr>
          <w:p w14:paraId="7BB51654" w14:textId="77777777" w:rsidR="00884CEA" w:rsidRDefault="00884CEA" w:rsidP="00884CEA">
            <w:pPr>
              <w:pStyle w:val="ad"/>
              <w:spacing w:line="240" w:lineRule="auto"/>
              <w:ind w:firstLine="0"/>
              <w:jc w:val="center"/>
              <w:rPr>
                <w:sz w:val="24"/>
                <w:szCs w:val="24"/>
              </w:rPr>
            </w:pPr>
            <w:r>
              <w:rPr>
                <w:sz w:val="24"/>
                <w:szCs w:val="24"/>
              </w:rPr>
              <w:t>10</w:t>
            </w:r>
          </w:p>
        </w:tc>
        <w:tc>
          <w:tcPr>
            <w:tcW w:w="1834" w:type="dxa"/>
            <w:tcBorders>
              <w:top w:val="single" w:sz="4" w:space="0" w:color="auto"/>
              <w:left w:val="single" w:sz="4" w:space="0" w:color="auto"/>
            </w:tcBorders>
            <w:shd w:val="clear" w:color="auto" w:fill="auto"/>
            <w:vAlign w:val="bottom"/>
          </w:tcPr>
          <w:p w14:paraId="6D269B76" w14:textId="77777777" w:rsidR="00884CEA" w:rsidRDefault="00884CEA" w:rsidP="00884CEA">
            <w:pPr>
              <w:pStyle w:val="ad"/>
              <w:spacing w:line="240" w:lineRule="auto"/>
              <w:ind w:firstLine="0"/>
              <w:jc w:val="center"/>
              <w:rPr>
                <w:sz w:val="24"/>
                <w:szCs w:val="24"/>
              </w:rPr>
            </w:pPr>
            <w:r>
              <w:rPr>
                <w:sz w:val="24"/>
                <w:szCs w:val="24"/>
              </w:rPr>
              <w:t>78,6</w:t>
            </w:r>
          </w:p>
        </w:tc>
        <w:tc>
          <w:tcPr>
            <w:tcW w:w="1718" w:type="dxa"/>
            <w:tcBorders>
              <w:top w:val="single" w:sz="4" w:space="0" w:color="auto"/>
              <w:left w:val="single" w:sz="4" w:space="0" w:color="auto"/>
              <w:right w:val="single" w:sz="4" w:space="0" w:color="auto"/>
            </w:tcBorders>
            <w:shd w:val="clear" w:color="auto" w:fill="auto"/>
            <w:vAlign w:val="bottom"/>
          </w:tcPr>
          <w:p w14:paraId="7D26DCF3" w14:textId="77777777" w:rsidR="00884CEA" w:rsidRDefault="00884CEA" w:rsidP="00884CEA">
            <w:pPr>
              <w:pStyle w:val="ad"/>
              <w:spacing w:line="240" w:lineRule="auto"/>
              <w:ind w:firstLine="0"/>
              <w:jc w:val="center"/>
              <w:rPr>
                <w:sz w:val="24"/>
                <w:szCs w:val="24"/>
              </w:rPr>
            </w:pPr>
            <w:r>
              <w:rPr>
                <w:sz w:val="24"/>
                <w:szCs w:val="24"/>
              </w:rPr>
              <w:t>17,9</w:t>
            </w:r>
          </w:p>
        </w:tc>
      </w:tr>
      <w:tr w:rsidR="00884CEA" w14:paraId="1E7E3BF7" w14:textId="77777777" w:rsidTr="00884CEA">
        <w:trPr>
          <w:trHeight w:hRule="exact" w:val="312"/>
        </w:trPr>
        <w:tc>
          <w:tcPr>
            <w:tcW w:w="1867" w:type="dxa"/>
            <w:tcBorders>
              <w:top w:val="single" w:sz="4" w:space="0" w:color="auto"/>
              <w:left w:val="single" w:sz="4" w:space="0" w:color="auto"/>
            </w:tcBorders>
            <w:shd w:val="clear" w:color="auto" w:fill="E6EED6"/>
            <w:vAlign w:val="bottom"/>
          </w:tcPr>
          <w:p w14:paraId="66E35F47" w14:textId="77777777" w:rsidR="00884CEA" w:rsidRDefault="00884CEA" w:rsidP="00884CEA">
            <w:pPr>
              <w:pStyle w:val="ad"/>
              <w:spacing w:line="240" w:lineRule="auto"/>
              <w:ind w:firstLine="180"/>
              <w:rPr>
                <w:sz w:val="24"/>
                <w:szCs w:val="24"/>
              </w:rPr>
            </w:pPr>
            <w:r>
              <w:rPr>
                <w:sz w:val="24"/>
                <w:szCs w:val="24"/>
              </w:rPr>
              <w:t>10-15 тис. осіб</w:t>
            </w:r>
          </w:p>
        </w:tc>
        <w:tc>
          <w:tcPr>
            <w:tcW w:w="1277" w:type="dxa"/>
            <w:tcBorders>
              <w:top w:val="single" w:sz="4" w:space="0" w:color="auto"/>
              <w:left w:val="single" w:sz="4" w:space="0" w:color="auto"/>
            </w:tcBorders>
            <w:shd w:val="clear" w:color="auto" w:fill="auto"/>
            <w:vAlign w:val="bottom"/>
          </w:tcPr>
          <w:p w14:paraId="3BCB1217" w14:textId="77777777" w:rsidR="00884CEA" w:rsidRDefault="00884CEA" w:rsidP="00884CEA">
            <w:pPr>
              <w:pStyle w:val="ad"/>
              <w:spacing w:line="240" w:lineRule="auto"/>
              <w:ind w:firstLine="0"/>
              <w:jc w:val="center"/>
              <w:rPr>
                <w:sz w:val="24"/>
                <w:szCs w:val="24"/>
              </w:rPr>
            </w:pPr>
            <w:r>
              <w:rPr>
                <w:sz w:val="24"/>
                <w:szCs w:val="24"/>
              </w:rPr>
              <w:t>25</w:t>
            </w:r>
          </w:p>
        </w:tc>
        <w:tc>
          <w:tcPr>
            <w:tcW w:w="1498" w:type="dxa"/>
            <w:tcBorders>
              <w:top w:val="single" w:sz="4" w:space="0" w:color="auto"/>
              <w:left w:val="single" w:sz="4" w:space="0" w:color="auto"/>
            </w:tcBorders>
            <w:shd w:val="clear" w:color="auto" w:fill="auto"/>
            <w:vAlign w:val="bottom"/>
          </w:tcPr>
          <w:p w14:paraId="7881DA63" w14:textId="77777777" w:rsidR="00884CEA" w:rsidRDefault="00884CEA" w:rsidP="00884CEA">
            <w:pPr>
              <w:pStyle w:val="ad"/>
              <w:spacing w:line="240" w:lineRule="auto"/>
              <w:ind w:firstLine="0"/>
              <w:jc w:val="center"/>
              <w:rPr>
                <w:sz w:val="24"/>
                <w:szCs w:val="24"/>
              </w:rPr>
            </w:pPr>
            <w:r>
              <w:rPr>
                <w:sz w:val="24"/>
                <w:szCs w:val="24"/>
              </w:rPr>
              <w:t>16</w:t>
            </w:r>
          </w:p>
        </w:tc>
        <w:tc>
          <w:tcPr>
            <w:tcW w:w="1560" w:type="dxa"/>
            <w:tcBorders>
              <w:top w:val="single" w:sz="4" w:space="0" w:color="auto"/>
              <w:left w:val="single" w:sz="4" w:space="0" w:color="auto"/>
            </w:tcBorders>
            <w:shd w:val="clear" w:color="auto" w:fill="auto"/>
            <w:vAlign w:val="bottom"/>
          </w:tcPr>
          <w:p w14:paraId="28A40698" w14:textId="77777777" w:rsidR="00884CEA" w:rsidRDefault="00884CEA" w:rsidP="00884CEA">
            <w:pPr>
              <w:pStyle w:val="ad"/>
              <w:spacing w:line="240" w:lineRule="auto"/>
              <w:ind w:firstLine="0"/>
              <w:jc w:val="center"/>
              <w:rPr>
                <w:sz w:val="24"/>
                <w:szCs w:val="24"/>
              </w:rPr>
            </w:pPr>
            <w:r>
              <w:rPr>
                <w:sz w:val="24"/>
                <w:szCs w:val="24"/>
              </w:rPr>
              <w:t>3</w:t>
            </w:r>
          </w:p>
        </w:tc>
        <w:tc>
          <w:tcPr>
            <w:tcW w:w="1834" w:type="dxa"/>
            <w:tcBorders>
              <w:top w:val="single" w:sz="4" w:space="0" w:color="auto"/>
              <w:left w:val="single" w:sz="4" w:space="0" w:color="auto"/>
            </w:tcBorders>
            <w:shd w:val="clear" w:color="auto" w:fill="auto"/>
            <w:vAlign w:val="bottom"/>
          </w:tcPr>
          <w:p w14:paraId="379DCE29" w14:textId="77777777" w:rsidR="00884CEA" w:rsidRDefault="00884CEA" w:rsidP="00884CEA">
            <w:pPr>
              <w:pStyle w:val="ad"/>
              <w:spacing w:line="240" w:lineRule="auto"/>
              <w:ind w:firstLine="0"/>
              <w:jc w:val="center"/>
              <w:rPr>
                <w:sz w:val="24"/>
                <w:szCs w:val="24"/>
              </w:rPr>
            </w:pPr>
            <w:r>
              <w:rPr>
                <w:sz w:val="24"/>
                <w:szCs w:val="24"/>
              </w:rPr>
              <w:t>64,0</w:t>
            </w:r>
          </w:p>
        </w:tc>
        <w:tc>
          <w:tcPr>
            <w:tcW w:w="1718" w:type="dxa"/>
            <w:tcBorders>
              <w:top w:val="single" w:sz="4" w:space="0" w:color="auto"/>
              <w:left w:val="single" w:sz="4" w:space="0" w:color="auto"/>
              <w:right w:val="single" w:sz="4" w:space="0" w:color="auto"/>
            </w:tcBorders>
            <w:shd w:val="clear" w:color="auto" w:fill="auto"/>
            <w:vAlign w:val="bottom"/>
          </w:tcPr>
          <w:p w14:paraId="3BFAC5AC" w14:textId="77777777" w:rsidR="00884CEA" w:rsidRDefault="00884CEA" w:rsidP="00884CEA">
            <w:pPr>
              <w:pStyle w:val="ad"/>
              <w:spacing w:line="240" w:lineRule="auto"/>
              <w:ind w:firstLine="0"/>
              <w:jc w:val="center"/>
              <w:rPr>
                <w:sz w:val="24"/>
                <w:szCs w:val="24"/>
              </w:rPr>
            </w:pPr>
            <w:r>
              <w:rPr>
                <w:sz w:val="24"/>
                <w:szCs w:val="24"/>
              </w:rPr>
              <w:t>12,0</w:t>
            </w:r>
          </w:p>
        </w:tc>
      </w:tr>
      <w:tr w:rsidR="00884CEA" w14:paraId="695598A9" w14:textId="77777777" w:rsidTr="00884CEA">
        <w:trPr>
          <w:trHeight w:hRule="exact" w:val="307"/>
        </w:trPr>
        <w:tc>
          <w:tcPr>
            <w:tcW w:w="1867" w:type="dxa"/>
            <w:tcBorders>
              <w:top w:val="single" w:sz="4" w:space="0" w:color="auto"/>
              <w:left w:val="single" w:sz="4" w:space="0" w:color="auto"/>
            </w:tcBorders>
            <w:shd w:val="clear" w:color="auto" w:fill="E6EED6"/>
            <w:vAlign w:val="bottom"/>
          </w:tcPr>
          <w:p w14:paraId="6BCF3C75" w14:textId="77777777" w:rsidR="00884CEA" w:rsidRDefault="00884CEA" w:rsidP="00884CEA">
            <w:pPr>
              <w:pStyle w:val="ad"/>
              <w:spacing w:line="240" w:lineRule="auto"/>
              <w:ind w:firstLine="180"/>
              <w:rPr>
                <w:sz w:val="24"/>
                <w:szCs w:val="24"/>
              </w:rPr>
            </w:pPr>
            <w:r>
              <w:rPr>
                <w:sz w:val="24"/>
                <w:szCs w:val="24"/>
              </w:rPr>
              <w:t>15-25 тис. осіб</w:t>
            </w:r>
          </w:p>
        </w:tc>
        <w:tc>
          <w:tcPr>
            <w:tcW w:w="1277" w:type="dxa"/>
            <w:tcBorders>
              <w:top w:val="single" w:sz="4" w:space="0" w:color="auto"/>
              <w:left w:val="single" w:sz="4" w:space="0" w:color="auto"/>
            </w:tcBorders>
            <w:shd w:val="clear" w:color="auto" w:fill="auto"/>
            <w:vAlign w:val="bottom"/>
          </w:tcPr>
          <w:p w14:paraId="084F4A85" w14:textId="77777777" w:rsidR="00884CEA" w:rsidRDefault="00884CEA" w:rsidP="00884CEA">
            <w:pPr>
              <w:pStyle w:val="ad"/>
              <w:spacing w:line="240" w:lineRule="auto"/>
              <w:ind w:firstLine="0"/>
              <w:jc w:val="center"/>
              <w:rPr>
                <w:sz w:val="24"/>
                <w:szCs w:val="24"/>
              </w:rPr>
            </w:pPr>
            <w:r>
              <w:rPr>
                <w:sz w:val="24"/>
                <w:szCs w:val="24"/>
              </w:rPr>
              <w:t>13</w:t>
            </w:r>
          </w:p>
        </w:tc>
        <w:tc>
          <w:tcPr>
            <w:tcW w:w="1498" w:type="dxa"/>
            <w:tcBorders>
              <w:top w:val="single" w:sz="4" w:space="0" w:color="auto"/>
              <w:left w:val="single" w:sz="4" w:space="0" w:color="auto"/>
            </w:tcBorders>
            <w:shd w:val="clear" w:color="auto" w:fill="auto"/>
            <w:vAlign w:val="bottom"/>
          </w:tcPr>
          <w:p w14:paraId="64EA8716" w14:textId="77777777" w:rsidR="00884CEA" w:rsidRDefault="00884CEA" w:rsidP="00884CEA">
            <w:pPr>
              <w:pStyle w:val="ad"/>
              <w:spacing w:line="240" w:lineRule="auto"/>
              <w:ind w:firstLine="0"/>
              <w:jc w:val="center"/>
              <w:rPr>
                <w:sz w:val="24"/>
                <w:szCs w:val="24"/>
              </w:rPr>
            </w:pPr>
            <w:r>
              <w:rPr>
                <w:sz w:val="24"/>
                <w:szCs w:val="24"/>
              </w:rPr>
              <w:t>9</w:t>
            </w:r>
          </w:p>
        </w:tc>
        <w:tc>
          <w:tcPr>
            <w:tcW w:w="1560" w:type="dxa"/>
            <w:tcBorders>
              <w:top w:val="single" w:sz="4" w:space="0" w:color="auto"/>
              <w:left w:val="single" w:sz="4" w:space="0" w:color="auto"/>
            </w:tcBorders>
            <w:shd w:val="clear" w:color="auto" w:fill="auto"/>
            <w:vAlign w:val="bottom"/>
          </w:tcPr>
          <w:p w14:paraId="144D4EBB" w14:textId="77777777" w:rsidR="00884CEA" w:rsidRDefault="00884CEA" w:rsidP="00884CEA">
            <w:pPr>
              <w:pStyle w:val="ad"/>
              <w:spacing w:line="240" w:lineRule="auto"/>
              <w:ind w:firstLine="660"/>
              <w:rPr>
                <w:sz w:val="24"/>
                <w:szCs w:val="24"/>
              </w:rPr>
            </w:pPr>
            <w:r>
              <w:rPr>
                <w:sz w:val="24"/>
                <w:szCs w:val="24"/>
              </w:rPr>
              <w:t>3</w:t>
            </w:r>
          </w:p>
        </w:tc>
        <w:tc>
          <w:tcPr>
            <w:tcW w:w="1834" w:type="dxa"/>
            <w:tcBorders>
              <w:top w:val="single" w:sz="4" w:space="0" w:color="auto"/>
              <w:left w:val="single" w:sz="4" w:space="0" w:color="auto"/>
            </w:tcBorders>
            <w:shd w:val="clear" w:color="auto" w:fill="auto"/>
            <w:vAlign w:val="bottom"/>
          </w:tcPr>
          <w:p w14:paraId="74D21972" w14:textId="77777777" w:rsidR="00884CEA" w:rsidRDefault="00884CEA" w:rsidP="00884CEA">
            <w:pPr>
              <w:pStyle w:val="ad"/>
              <w:spacing w:line="240" w:lineRule="auto"/>
              <w:ind w:firstLine="0"/>
              <w:jc w:val="center"/>
              <w:rPr>
                <w:sz w:val="24"/>
                <w:szCs w:val="24"/>
              </w:rPr>
            </w:pPr>
            <w:r>
              <w:rPr>
                <w:sz w:val="24"/>
                <w:szCs w:val="24"/>
              </w:rPr>
              <w:t>69,2</w:t>
            </w:r>
          </w:p>
        </w:tc>
        <w:tc>
          <w:tcPr>
            <w:tcW w:w="1718" w:type="dxa"/>
            <w:tcBorders>
              <w:top w:val="single" w:sz="4" w:space="0" w:color="auto"/>
              <w:left w:val="single" w:sz="4" w:space="0" w:color="auto"/>
              <w:right w:val="single" w:sz="4" w:space="0" w:color="auto"/>
            </w:tcBorders>
            <w:shd w:val="clear" w:color="auto" w:fill="auto"/>
            <w:vAlign w:val="bottom"/>
          </w:tcPr>
          <w:p w14:paraId="3B272F7D" w14:textId="77777777" w:rsidR="00884CEA" w:rsidRDefault="00884CEA" w:rsidP="00884CEA">
            <w:pPr>
              <w:pStyle w:val="ad"/>
              <w:spacing w:line="240" w:lineRule="auto"/>
              <w:ind w:firstLine="0"/>
              <w:jc w:val="center"/>
              <w:rPr>
                <w:sz w:val="24"/>
                <w:szCs w:val="24"/>
              </w:rPr>
            </w:pPr>
            <w:r>
              <w:rPr>
                <w:sz w:val="24"/>
                <w:szCs w:val="24"/>
              </w:rPr>
              <w:t>23,1</w:t>
            </w:r>
          </w:p>
        </w:tc>
      </w:tr>
      <w:tr w:rsidR="00884CEA" w14:paraId="50263AA6" w14:textId="77777777" w:rsidTr="00884CEA">
        <w:trPr>
          <w:trHeight w:hRule="exact" w:val="562"/>
        </w:trPr>
        <w:tc>
          <w:tcPr>
            <w:tcW w:w="1867" w:type="dxa"/>
            <w:tcBorders>
              <w:top w:val="single" w:sz="4" w:space="0" w:color="auto"/>
              <w:left w:val="single" w:sz="4" w:space="0" w:color="auto"/>
            </w:tcBorders>
            <w:shd w:val="clear" w:color="auto" w:fill="E6EED6"/>
            <w:vAlign w:val="bottom"/>
          </w:tcPr>
          <w:p w14:paraId="13CE8BD3" w14:textId="77777777" w:rsidR="00884CEA" w:rsidRDefault="00884CEA" w:rsidP="00884CEA">
            <w:pPr>
              <w:pStyle w:val="ad"/>
              <w:spacing w:line="240" w:lineRule="auto"/>
              <w:ind w:firstLine="0"/>
              <w:jc w:val="center"/>
              <w:rPr>
                <w:sz w:val="24"/>
                <w:szCs w:val="24"/>
              </w:rPr>
            </w:pPr>
            <w:r>
              <w:rPr>
                <w:sz w:val="24"/>
                <w:szCs w:val="24"/>
              </w:rPr>
              <w:t>25 і більше тис. осіб</w:t>
            </w:r>
          </w:p>
        </w:tc>
        <w:tc>
          <w:tcPr>
            <w:tcW w:w="1277" w:type="dxa"/>
            <w:tcBorders>
              <w:top w:val="single" w:sz="4" w:space="0" w:color="auto"/>
              <w:left w:val="single" w:sz="4" w:space="0" w:color="auto"/>
            </w:tcBorders>
            <w:shd w:val="clear" w:color="auto" w:fill="auto"/>
            <w:vAlign w:val="bottom"/>
          </w:tcPr>
          <w:p w14:paraId="75D6DDDD" w14:textId="77777777" w:rsidR="00884CEA" w:rsidRDefault="00884CEA" w:rsidP="00884CEA">
            <w:pPr>
              <w:pStyle w:val="ad"/>
              <w:spacing w:line="240" w:lineRule="auto"/>
              <w:ind w:firstLine="0"/>
              <w:jc w:val="center"/>
              <w:rPr>
                <w:sz w:val="24"/>
                <w:szCs w:val="24"/>
              </w:rPr>
            </w:pPr>
            <w:r>
              <w:rPr>
                <w:sz w:val="24"/>
                <w:szCs w:val="24"/>
              </w:rPr>
              <w:t>7</w:t>
            </w:r>
          </w:p>
        </w:tc>
        <w:tc>
          <w:tcPr>
            <w:tcW w:w="1498" w:type="dxa"/>
            <w:tcBorders>
              <w:top w:val="single" w:sz="4" w:space="0" w:color="auto"/>
              <w:left w:val="single" w:sz="4" w:space="0" w:color="auto"/>
            </w:tcBorders>
            <w:shd w:val="clear" w:color="auto" w:fill="auto"/>
            <w:vAlign w:val="bottom"/>
          </w:tcPr>
          <w:p w14:paraId="4F0A5AAD" w14:textId="77777777" w:rsidR="00884CEA" w:rsidRDefault="00884CEA" w:rsidP="00884CEA">
            <w:pPr>
              <w:pStyle w:val="ad"/>
              <w:spacing w:line="240" w:lineRule="auto"/>
              <w:ind w:firstLine="0"/>
              <w:jc w:val="center"/>
              <w:rPr>
                <w:sz w:val="24"/>
                <w:szCs w:val="24"/>
              </w:rPr>
            </w:pPr>
            <w:r>
              <w:rPr>
                <w:sz w:val="24"/>
                <w:szCs w:val="24"/>
              </w:rPr>
              <w:t>5</w:t>
            </w:r>
          </w:p>
        </w:tc>
        <w:tc>
          <w:tcPr>
            <w:tcW w:w="1560" w:type="dxa"/>
            <w:tcBorders>
              <w:top w:val="single" w:sz="4" w:space="0" w:color="auto"/>
              <w:left w:val="single" w:sz="4" w:space="0" w:color="auto"/>
            </w:tcBorders>
            <w:shd w:val="clear" w:color="auto" w:fill="auto"/>
            <w:vAlign w:val="bottom"/>
          </w:tcPr>
          <w:p w14:paraId="5B456E32" w14:textId="77777777" w:rsidR="00884CEA" w:rsidRDefault="00884CEA" w:rsidP="00884CEA">
            <w:pPr>
              <w:pStyle w:val="ad"/>
              <w:spacing w:line="240" w:lineRule="auto"/>
              <w:ind w:firstLine="660"/>
              <w:rPr>
                <w:sz w:val="24"/>
                <w:szCs w:val="24"/>
              </w:rPr>
            </w:pPr>
            <w:r>
              <w:rPr>
                <w:sz w:val="24"/>
                <w:szCs w:val="24"/>
              </w:rPr>
              <w:t>1</w:t>
            </w:r>
          </w:p>
        </w:tc>
        <w:tc>
          <w:tcPr>
            <w:tcW w:w="1834" w:type="dxa"/>
            <w:tcBorders>
              <w:top w:val="single" w:sz="4" w:space="0" w:color="auto"/>
              <w:left w:val="single" w:sz="4" w:space="0" w:color="auto"/>
            </w:tcBorders>
            <w:shd w:val="clear" w:color="auto" w:fill="auto"/>
            <w:vAlign w:val="bottom"/>
          </w:tcPr>
          <w:p w14:paraId="11A15BB8" w14:textId="77777777" w:rsidR="00884CEA" w:rsidRDefault="00884CEA" w:rsidP="00884CEA">
            <w:pPr>
              <w:pStyle w:val="ad"/>
              <w:spacing w:line="240" w:lineRule="auto"/>
              <w:ind w:firstLine="0"/>
              <w:jc w:val="center"/>
              <w:rPr>
                <w:sz w:val="24"/>
                <w:szCs w:val="24"/>
              </w:rPr>
            </w:pPr>
            <w:r>
              <w:rPr>
                <w:sz w:val="24"/>
                <w:szCs w:val="24"/>
              </w:rPr>
              <w:t>71,4</w:t>
            </w:r>
          </w:p>
        </w:tc>
        <w:tc>
          <w:tcPr>
            <w:tcW w:w="1718" w:type="dxa"/>
            <w:tcBorders>
              <w:top w:val="single" w:sz="4" w:space="0" w:color="auto"/>
              <w:left w:val="single" w:sz="4" w:space="0" w:color="auto"/>
              <w:right w:val="single" w:sz="4" w:space="0" w:color="auto"/>
            </w:tcBorders>
            <w:shd w:val="clear" w:color="auto" w:fill="auto"/>
            <w:vAlign w:val="bottom"/>
          </w:tcPr>
          <w:p w14:paraId="7648565E" w14:textId="77777777" w:rsidR="00884CEA" w:rsidRDefault="00884CEA" w:rsidP="00884CEA">
            <w:pPr>
              <w:pStyle w:val="ad"/>
              <w:spacing w:line="240" w:lineRule="auto"/>
              <w:ind w:firstLine="0"/>
              <w:jc w:val="center"/>
              <w:rPr>
                <w:sz w:val="24"/>
                <w:szCs w:val="24"/>
              </w:rPr>
            </w:pPr>
            <w:r>
              <w:rPr>
                <w:sz w:val="24"/>
                <w:szCs w:val="24"/>
              </w:rPr>
              <w:t>14,3</w:t>
            </w:r>
          </w:p>
        </w:tc>
      </w:tr>
      <w:tr w:rsidR="00884CEA" w14:paraId="65561C50" w14:textId="77777777" w:rsidTr="00884CEA">
        <w:trPr>
          <w:trHeight w:hRule="exact" w:val="322"/>
        </w:trPr>
        <w:tc>
          <w:tcPr>
            <w:tcW w:w="1867" w:type="dxa"/>
            <w:tcBorders>
              <w:top w:val="single" w:sz="4" w:space="0" w:color="auto"/>
              <w:left w:val="single" w:sz="4" w:space="0" w:color="auto"/>
              <w:bottom w:val="single" w:sz="4" w:space="0" w:color="auto"/>
            </w:tcBorders>
            <w:shd w:val="clear" w:color="auto" w:fill="E6EED6"/>
            <w:vAlign w:val="bottom"/>
          </w:tcPr>
          <w:p w14:paraId="65A4DEB9" w14:textId="77777777" w:rsidR="00884CEA" w:rsidRDefault="00884CEA" w:rsidP="00884CEA">
            <w:pPr>
              <w:pStyle w:val="ad"/>
              <w:spacing w:line="240" w:lineRule="auto"/>
              <w:ind w:firstLine="0"/>
              <w:jc w:val="center"/>
              <w:rPr>
                <w:sz w:val="24"/>
                <w:szCs w:val="24"/>
              </w:rPr>
            </w:pPr>
            <w:r>
              <w:rPr>
                <w:b/>
                <w:bCs/>
                <w:sz w:val="24"/>
                <w:szCs w:val="24"/>
              </w:rPr>
              <w:t>Разом</w:t>
            </w:r>
          </w:p>
        </w:tc>
        <w:tc>
          <w:tcPr>
            <w:tcW w:w="1277" w:type="dxa"/>
            <w:tcBorders>
              <w:top w:val="single" w:sz="4" w:space="0" w:color="auto"/>
              <w:left w:val="single" w:sz="4" w:space="0" w:color="auto"/>
              <w:bottom w:val="single" w:sz="4" w:space="0" w:color="auto"/>
            </w:tcBorders>
            <w:shd w:val="clear" w:color="auto" w:fill="E6EED6"/>
            <w:vAlign w:val="bottom"/>
          </w:tcPr>
          <w:p w14:paraId="0101590B" w14:textId="77777777" w:rsidR="00884CEA" w:rsidRDefault="00884CEA" w:rsidP="00884CEA">
            <w:pPr>
              <w:pStyle w:val="ad"/>
              <w:spacing w:line="240" w:lineRule="auto"/>
              <w:ind w:firstLine="0"/>
              <w:jc w:val="center"/>
              <w:rPr>
                <w:sz w:val="24"/>
                <w:szCs w:val="24"/>
              </w:rPr>
            </w:pPr>
            <w:r>
              <w:rPr>
                <w:b/>
                <w:bCs/>
                <w:sz w:val="24"/>
                <w:szCs w:val="24"/>
              </w:rPr>
              <w:t>159</w:t>
            </w:r>
          </w:p>
        </w:tc>
        <w:tc>
          <w:tcPr>
            <w:tcW w:w="1498" w:type="dxa"/>
            <w:tcBorders>
              <w:top w:val="single" w:sz="4" w:space="0" w:color="auto"/>
              <w:left w:val="single" w:sz="4" w:space="0" w:color="auto"/>
              <w:bottom w:val="single" w:sz="4" w:space="0" w:color="auto"/>
            </w:tcBorders>
            <w:shd w:val="clear" w:color="auto" w:fill="E6EED6"/>
            <w:vAlign w:val="bottom"/>
          </w:tcPr>
          <w:p w14:paraId="2BC1BBD0" w14:textId="77777777" w:rsidR="00884CEA" w:rsidRDefault="00884CEA" w:rsidP="00884CEA">
            <w:pPr>
              <w:pStyle w:val="ad"/>
              <w:spacing w:line="240" w:lineRule="auto"/>
              <w:ind w:firstLine="0"/>
              <w:jc w:val="center"/>
              <w:rPr>
                <w:sz w:val="24"/>
                <w:szCs w:val="24"/>
              </w:rPr>
            </w:pPr>
            <w:r>
              <w:rPr>
                <w:b/>
                <w:bCs/>
                <w:sz w:val="24"/>
                <w:szCs w:val="24"/>
              </w:rPr>
              <w:t>123</w:t>
            </w:r>
          </w:p>
        </w:tc>
        <w:tc>
          <w:tcPr>
            <w:tcW w:w="1560" w:type="dxa"/>
            <w:tcBorders>
              <w:top w:val="single" w:sz="4" w:space="0" w:color="auto"/>
              <w:left w:val="single" w:sz="4" w:space="0" w:color="auto"/>
              <w:bottom w:val="single" w:sz="4" w:space="0" w:color="auto"/>
            </w:tcBorders>
            <w:shd w:val="clear" w:color="auto" w:fill="E6EED6"/>
            <w:vAlign w:val="bottom"/>
          </w:tcPr>
          <w:p w14:paraId="424ED29C" w14:textId="77777777" w:rsidR="00884CEA" w:rsidRDefault="00884CEA" w:rsidP="00884CEA">
            <w:pPr>
              <w:pStyle w:val="ad"/>
              <w:spacing w:line="240" w:lineRule="auto"/>
              <w:ind w:firstLine="0"/>
              <w:jc w:val="center"/>
              <w:rPr>
                <w:sz w:val="24"/>
                <w:szCs w:val="24"/>
              </w:rPr>
            </w:pPr>
            <w:r>
              <w:rPr>
                <w:b/>
                <w:bCs/>
                <w:sz w:val="24"/>
                <w:szCs w:val="24"/>
              </w:rPr>
              <w:t>23</w:t>
            </w:r>
          </w:p>
        </w:tc>
        <w:tc>
          <w:tcPr>
            <w:tcW w:w="1834" w:type="dxa"/>
            <w:tcBorders>
              <w:top w:val="single" w:sz="4" w:space="0" w:color="auto"/>
              <w:left w:val="single" w:sz="4" w:space="0" w:color="auto"/>
              <w:bottom w:val="single" w:sz="4" w:space="0" w:color="auto"/>
            </w:tcBorders>
            <w:shd w:val="clear" w:color="auto" w:fill="E6EED6"/>
            <w:vAlign w:val="bottom"/>
          </w:tcPr>
          <w:p w14:paraId="64F28AEA" w14:textId="77777777" w:rsidR="00884CEA" w:rsidRDefault="00884CEA" w:rsidP="00884CEA">
            <w:pPr>
              <w:pStyle w:val="ad"/>
              <w:spacing w:line="240" w:lineRule="auto"/>
              <w:ind w:firstLine="0"/>
              <w:jc w:val="center"/>
              <w:rPr>
                <w:sz w:val="24"/>
                <w:szCs w:val="24"/>
              </w:rPr>
            </w:pPr>
            <w:r>
              <w:rPr>
                <w:b/>
                <w:bCs/>
                <w:sz w:val="24"/>
                <w:szCs w:val="24"/>
              </w:rPr>
              <w:t>77,4</w:t>
            </w:r>
          </w:p>
        </w:tc>
        <w:tc>
          <w:tcPr>
            <w:tcW w:w="1718" w:type="dxa"/>
            <w:tcBorders>
              <w:top w:val="single" w:sz="4" w:space="0" w:color="auto"/>
              <w:left w:val="single" w:sz="4" w:space="0" w:color="auto"/>
              <w:bottom w:val="single" w:sz="4" w:space="0" w:color="auto"/>
              <w:right w:val="single" w:sz="4" w:space="0" w:color="auto"/>
            </w:tcBorders>
            <w:shd w:val="clear" w:color="auto" w:fill="E6EED6"/>
            <w:vAlign w:val="bottom"/>
          </w:tcPr>
          <w:p w14:paraId="47C82C3E" w14:textId="77777777" w:rsidR="00884CEA" w:rsidRDefault="00884CEA" w:rsidP="00884CEA">
            <w:pPr>
              <w:pStyle w:val="ad"/>
              <w:spacing w:line="240" w:lineRule="auto"/>
              <w:ind w:firstLine="0"/>
              <w:jc w:val="center"/>
              <w:rPr>
                <w:sz w:val="24"/>
                <w:szCs w:val="24"/>
              </w:rPr>
            </w:pPr>
            <w:r>
              <w:rPr>
                <w:b/>
                <w:bCs/>
                <w:sz w:val="24"/>
                <w:szCs w:val="24"/>
              </w:rPr>
              <w:t>14,5</w:t>
            </w:r>
          </w:p>
        </w:tc>
      </w:tr>
    </w:tbl>
    <w:p w14:paraId="33892871" w14:textId="77777777" w:rsidR="00CD74F6" w:rsidRDefault="00CD74F6" w:rsidP="00884CEA">
      <w:pPr>
        <w:pStyle w:val="1"/>
        <w:ind w:firstLine="600"/>
        <w:jc w:val="both"/>
        <w:rPr>
          <w:lang w:val="uk-UA"/>
        </w:rPr>
      </w:pPr>
    </w:p>
    <w:p w14:paraId="2FE148CD" w14:textId="77777777" w:rsidR="00884CEA" w:rsidRPr="00A33B18" w:rsidRDefault="00884CEA" w:rsidP="00CD74F6">
      <w:pPr>
        <w:pStyle w:val="1"/>
        <w:spacing w:line="360" w:lineRule="auto"/>
        <w:ind w:firstLine="600"/>
        <w:jc w:val="both"/>
        <w:rPr>
          <w:lang w:val="uk-UA"/>
        </w:rPr>
      </w:pPr>
      <w:r w:rsidRPr="00A33B18">
        <w:rPr>
          <w:lang w:val="uk-UA"/>
        </w:rPr>
        <w:t>З табл. 3.4 видно: 77,4% об’єднаних територіальних громад характеризуються певним рівнем дотаційності бюджетів від трансфертів з державного бюджету і лише 14,5% ОТГ надають реверсну дотацію до Державного бюджету. Проте, доцільним є визначення саме рівня ці</w:t>
      </w:r>
      <w:r w:rsidR="00CD74F6" w:rsidRPr="00A33B18">
        <w:rPr>
          <w:lang w:val="uk-UA"/>
        </w:rPr>
        <w:t>єї залежності впродовж 20</w:t>
      </w:r>
      <w:r w:rsidR="00CD74F6">
        <w:rPr>
          <w:lang w:val="uk-UA"/>
        </w:rPr>
        <w:t>20</w:t>
      </w:r>
      <w:r w:rsidR="00CD74F6" w:rsidRPr="00A33B18">
        <w:rPr>
          <w:lang w:val="uk-UA"/>
        </w:rPr>
        <w:t>-20</w:t>
      </w:r>
      <w:r w:rsidR="00CD74F6">
        <w:rPr>
          <w:lang w:val="uk-UA"/>
        </w:rPr>
        <w:t>21</w:t>
      </w:r>
      <w:r w:rsidRPr="00A33B18">
        <w:rPr>
          <w:lang w:val="uk-UA"/>
        </w:rPr>
        <w:t xml:space="preserve"> рр., що дозволить визначити основні тенденції з</w:t>
      </w:r>
      <w:r w:rsidR="00CD74F6" w:rsidRPr="00A33B18">
        <w:rPr>
          <w:lang w:val="uk-UA"/>
        </w:rPr>
        <w:t xml:space="preserve">азначеного показника - рис. </w:t>
      </w:r>
      <w:r w:rsidR="00CD74F6">
        <w:rPr>
          <w:lang w:val="uk-UA"/>
        </w:rPr>
        <w:t>2</w:t>
      </w:r>
      <w:r w:rsidR="00CD74F6" w:rsidRPr="00A33B18">
        <w:rPr>
          <w:lang w:val="uk-UA"/>
        </w:rPr>
        <w:t>.</w:t>
      </w:r>
      <w:r w:rsidR="00CD74F6">
        <w:rPr>
          <w:lang w:val="uk-UA"/>
        </w:rPr>
        <w:t>5</w:t>
      </w:r>
      <w:r w:rsidRPr="00A33B18">
        <w:rPr>
          <w:lang w:val="uk-UA"/>
        </w:rPr>
        <w:t>.</w:t>
      </w:r>
    </w:p>
    <w:p w14:paraId="70B29A77" w14:textId="77777777" w:rsidR="00C8148F" w:rsidRDefault="00C8148F"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0EDCB7B3" w14:textId="77777777" w:rsidR="00C8148F" w:rsidRDefault="00884CEA"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r w:rsidRPr="00884CEA">
        <w:rPr>
          <w:rFonts w:ascii="Times New Roman" w:eastAsia="Times New Roman" w:hAnsi="Times New Roman" w:cs="Times New Roman"/>
          <w:noProof/>
          <w:color w:val="000000"/>
          <w:sz w:val="28"/>
          <w:szCs w:val="28"/>
          <w:lang w:val="uk-UA" w:eastAsia="uk-UA"/>
        </w:rPr>
        <w:drawing>
          <wp:inline distT="0" distB="0" distL="0" distR="0" wp14:anchorId="3DC8867C" wp14:editId="50DC1D09">
            <wp:extent cx="5175250" cy="2145665"/>
            <wp:effectExtent l="0" t="0" r="0" b="0"/>
            <wp:docPr id="95" name="Picut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3" cstate="print"/>
                    <a:stretch/>
                  </pic:blipFill>
                  <pic:spPr>
                    <a:xfrm>
                      <a:off x="0" y="0"/>
                      <a:ext cx="5175250" cy="2145665"/>
                    </a:xfrm>
                    <a:prstGeom prst="rect">
                      <a:avLst/>
                    </a:prstGeom>
                  </pic:spPr>
                </pic:pic>
              </a:graphicData>
            </a:graphic>
          </wp:inline>
        </w:drawing>
      </w:r>
    </w:p>
    <w:p w14:paraId="44801A3B" w14:textId="77777777" w:rsidR="00C8148F" w:rsidRDefault="00C8148F" w:rsidP="00CD74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017B18DD" w14:textId="77777777" w:rsidR="00884CEA" w:rsidRDefault="00CD74F6" w:rsidP="00884CEA">
      <w:pPr>
        <w:pStyle w:val="a7"/>
        <w:spacing w:line="360" w:lineRule="auto"/>
        <w:ind w:left="1960" w:hanging="1800"/>
        <w:rPr>
          <w:lang w:val="uk-UA"/>
        </w:rPr>
      </w:pPr>
      <w:r w:rsidRPr="00A33B18">
        <w:rPr>
          <w:lang w:val="uk-UA"/>
        </w:rPr>
        <w:t xml:space="preserve">Рис. </w:t>
      </w:r>
      <w:r>
        <w:rPr>
          <w:lang w:val="uk-UA"/>
        </w:rPr>
        <w:t>2</w:t>
      </w:r>
      <w:r w:rsidRPr="00A33B18">
        <w:rPr>
          <w:lang w:val="uk-UA"/>
        </w:rPr>
        <w:t>.</w:t>
      </w:r>
      <w:r>
        <w:rPr>
          <w:lang w:val="uk-UA"/>
        </w:rPr>
        <w:t>5</w:t>
      </w:r>
      <w:r w:rsidR="00884CEA" w:rsidRPr="00A33B18">
        <w:rPr>
          <w:lang w:val="uk-UA"/>
        </w:rPr>
        <w:t>. Рівень фінансової залежності бюджетів ОТГ від державного бюджету (відсоток дотаційності), %</w:t>
      </w:r>
    </w:p>
    <w:p w14:paraId="6A757813" w14:textId="77777777" w:rsidR="00255BC9" w:rsidRPr="00A33B18" w:rsidRDefault="00255BC9" w:rsidP="00884CEA">
      <w:pPr>
        <w:pStyle w:val="a7"/>
        <w:spacing w:line="360" w:lineRule="auto"/>
        <w:ind w:left="1960" w:hanging="1800"/>
        <w:rPr>
          <w:lang w:val="uk-UA"/>
        </w:rPr>
      </w:pPr>
    </w:p>
    <w:p w14:paraId="378C6E09" w14:textId="77777777" w:rsidR="00C8148F" w:rsidRDefault="00C8148F" w:rsidP="00032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14:paraId="21661B40" w14:textId="77777777" w:rsidR="00A33B18" w:rsidRPr="00A33B18" w:rsidRDefault="00A33B18" w:rsidP="00A33B18">
      <w:pPr>
        <w:pStyle w:val="1"/>
        <w:spacing w:line="360" w:lineRule="auto"/>
        <w:ind w:firstLine="600"/>
        <w:jc w:val="both"/>
        <w:rPr>
          <w:lang w:val="uk-UA"/>
        </w:rPr>
      </w:pPr>
      <w:r w:rsidRPr="00A33B18">
        <w:rPr>
          <w:lang w:val="uk-UA"/>
        </w:rPr>
        <w:lastRenderedPageBreak/>
        <w:t xml:space="preserve"> Видно, що у 2021 році порівняно з попереднім роком зменшився ступінь диференціації залежності бюджету ОТГ від дотації з державного бюджету. У 2020 році найбільший відсоток дотаційності мали громади з населенням до 3 тис. – 37,2%. У 2021 році показник знизився до 17,5 відсотка, або 19,7 відсоткового пункту, але 2021 рік був найвищим серед інших груп громад. Показник був найнижчим серед громад із населенням 15 000-25 000 осіб (15,2 відсотка у 2016 році) та 25 000 і більше (15,3 відсотка). Загалом, з аналізу графіків. 2.5 Існує чітка обернена залежність аналізованих факторів: зі збільшенням кількості мешканців ОТГ показник фіскальної залежності бюджету ОТГ від державного бюджету зменшується, що ще раз свідчить про вплив розміру територіальної громади на її фінансовий та економічні можливості розвитку.</w:t>
      </w:r>
    </w:p>
    <w:p w14:paraId="653020C4" w14:textId="77777777" w:rsidR="00A33B18" w:rsidRPr="00A33B18" w:rsidRDefault="00A33B18" w:rsidP="00A33B18">
      <w:pPr>
        <w:pStyle w:val="1"/>
        <w:spacing w:line="360" w:lineRule="auto"/>
        <w:ind w:firstLine="600"/>
        <w:jc w:val="both"/>
        <w:rPr>
          <w:lang w:val="uk-UA"/>
        </w:rPr>
      </w:pPr>
      <w:r w:rsidRPr="00A33B18">
        <w:rPr>
          <w:lang w:val="uk-UA"/>
        </w:rPr>
        <w:t>Виняток становлять окремі малі громади, які не отримують базової дотації або перераховують контрдотацію у зв’язку з розміщенням на їхній території комерційних структур. Особливо Вербківська ОТГ з населенням 7,6 млн осіб, Богданівська ОТГ – 7 тис. осіб, Дніпропетровська область, Шахівська ОТГ Донецької області – 3 тис. осіб, Білоцерківська ОТГ Полтавської області – 380 осіб[17].</w:t>
      </w:r>
    </w:p>
    <w:p w14:paraId="0265FA17" w14:textId="77777777" w:rsidR="00BA6E86" w:rsidRDefault="00A33B18" w:rsidP="00A33B18">
      <w:pPr>
        <w:pStyle w:val="1"/>
        <w:spacing w:line="360" w:lineRule="auto"/>
        <w:ind w:firstLine="600"/>
        <w:jc w:val="both"/>
        <w:rPr>
          <w:lang w:val="uk-UA"/>
        </w:rPr>
      </w:pPr>
      <w:r w:rsidRPr="00A33B18">
        <w:rPr>
          <w:lang w:val="uk-UA"/>
        </w:rPr>
        <w:t>На регіональному рівні (рис. 2.6) висока залежність від ОТГ чітко простежується на заході країни. Найбільша фінансова залежність від бюджету ОТГ Івано-Франківської області – 42% у 2016 році, Львівської – 31%, Чернівецької – 28% та Закарпатської – 24%, а саме Карпатської області, т.к. а також Волинська (22%), Рівненська (21%) та Тернопільська (21%) області.</w:t>
      </w:r>
    </w:p>
    <w:p w14:paraId="1D37F3A3" w14:textId="77777777" w:rsidR="00A33B18" w:rsidRPr="00BA6E86" w:rsidRDefault="00A33B18" w:rsidP="00A33B18">
      <w:pPr>
        <w:pStyle w:val="1"/>
        <w:spacing w:line="360" w:lineRule="auto"/>
        <w:ind w:firstLine="600"/>
        <w:jc w:val="both"/>
        <w:rPr>
          <w:lang w:val="uk-UA"/>
        </w:rPr>
      </w:pPr>
    </w:p>
    <w:p w14:paraId="068A7F4D" w14:textId="77777777" w:rsidR="00C8148F" w:rsidRDefault="00884CEA"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r w:rsidRPr="00884CEA">
        <w:rPr>
          <w:rFonts w:ascii="Times New Roman" w:eastAsia="Times New Roman" w:hAnsi="Times New Roman" w:cs="Times New Roman"/>
          <w:noProof/>
          <w:color w:val="000000"/>
          <w:sz w:val="28"/>
          <w:szCs w:val="28"/>
          <w:lang w:val="uk-UA" w:eastAsia="uk-UA"/>
        </w:rPr>
        <w:lastRenderedPageBreak/>
        <w:drawing>
          <wp:inline distT="0" distB="0" distL="0" distR="0" wp14:anchorId="2752C1E1" wp14:editId="2CE4A5E3">
            <wp:extent cx="5940425" cy="3177464"/>
            <wp:effectExtent l="19050" t="0" r="3175" b="0"/>
            <wp:docPr id="96" name="Picut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14" cstate="print"/>
                    <a:stretch/>
                  </pic:blipFill>
                  <pic:spPr>
                    <a:xfrm>
                      <a:off x="0" y="0"/>
                      <a:ext cx="5940425" cy="3177464"/>
                    </a:xfrm>
                    <a:prstGeom prst="rect">
                      <a:avLst/>
                    </a:prstGeom>
                  </pic:spPr>
                </pic:pic>
              </a:graphicData>
            </a:graphic>
          </wp:inline>
        </w:drawing>
      </w:r>
    </w:p>
    <w:p w14:paraId="0A42513E" w14:textId="77777777" w:rsidR="00884CEA" w:rsidRDefault="00CD74F6" w:rsidP="00884CEA">
      <w:pPr>
        <w:pStyle w:val="a7"/>
        <w:spacing w:line="360" w:lineRule="auto"/>
        <w:ind w:left="260" w:firstLine="140"/>
        <w:rPr>
          <w:lang w:val="uk-UA" w:eastAsia="ru-RU" w:bidi="ru-RU"/>
        </w:rPr>
      </w:pPr>
      <w:r>
        <w:rPr>
          <w:lang w:eastAsia="ru-RU" w:bidi="ru-RU"/>
        </w:rPr>
        <w:t xml:space="preserve">Рис. </w:t>
      </w:r>
      <w:r>
        <w:rPr>
          <w:lang w:val="uk-UA" w:eastAsia="ru-RU" w:bidi="ru-RU"/>
        </w:rPr>
        <w:t>2</w:t>
      </w:r>
      <w:r>
        <w:rPr>
          <w:lang w:eastAsia="ru-RU" w:bidi="ru-RU"/>
        </w:rPr>
        <w:t>.</w:t>
      </w:r>
      <w:r>
        <w:rPr>
          <w:lang w:val="uk-UA" w:eastAsia="ru-RU" w:bidi="ru-RU"/>
        </w:rPr>
        <w:t>6</w:t>
      </w:r>
      <w:r w:rsidR="00884CEA">
        <w:rPr>
          <w:lang w:eastAsia="ru-RU" w:bidi="ru-RU"/>
        </w:rPr>
        <w:t xml:space="preserve">. </w:t>
      </w:r>
      <w:r w:rsidR="00884CEA">
        <w:t xml:space="preserve">Динаміка рівня фінансової залежності бюджетів </w:t>
      </w:r>
      <w:r w:rsidR="00884CEA">
        <w:rPr>
          <w:lang w:eastAsia="ru-RU" w:bidi="ru-RU"/>
        </w:rPr>
        <w:t xml:space="preserve">ОТГ </w:t>
      </w:r>
      <w:r w:rsidR="00884CEA">
        <w:t xml:space="preserve">від </w:t>
      </w:r>
      <w:r w:rsidR="00884CEA">
        <w:rPr>
          <w:lang w:eastAsia="ru-RU" w:bidi="ru-RU"/>
        </w:rPr>
        <w:t xml:space="preserve">державного бюджету в </w:t>
      </w:r>
      <w:r w:rsidR="00884CEA">
        <w:t xml:space="preserve">розрізі </w:t>
      </w:r>
      <w:r w:rsidR="00884CEA">
        <w:rPr>
          <w:lang w:eastAsia="ru-RU" w:bidi="ru-RU"/>
        </w:rPr>
        <w:t xml:space="preserve">областей </w:t>
      </w:r>
      <w:r w:rsidR="00884CEA">
        <w:t xml:space="preserve">України </w:t>
      </w:r>
      <w:r w:rsidR="00884CEA">
        <w:rPr>
          <w:lang w:eastAsia="ru-RU" w:bidi="ru-RU"/>
        </w:rPr>
        <w:t>у 2015-2016 рр.</w:t>
      </w:r>
    </w:p>
    <w:p w14:paraId="2D3367B4" w14:textId="77777777" w:rsidR="00CD74F6" w:rsidRPr="00CD74F6" w:rsidRDefault="00CD74F6" w:rsidP="00884CEA">
      <w:pPr>
        <w:pStyle w:val="a7"/>
        <w:spacing w:line="360" w:lineRule="auto"/>
        <w:ind w:left="260" w:firstLine="140"/>
        <w:rPr>
          <w:lang w:val="uk-UA"/>
        </w:rPr>
      </w:pPr>
    </w:p>
    <w:p w14:paraId="281E365D" w14:textId="77777777" w:rsidR="00BA6E86" w:rsidRPr="00BA6E86" w:rsidRDefault="00884CEA" w:rsidP="00CD74F6">
      <w:pPr>
        <w:pStyle w:val="1"/>
        <w:spacing w:line="360" w:lineRule="auto"/>
        <w:ind w:firstLine="600"/>
        <w:jc w:val="both"/>
        <w:rPr>
          <w:lang w:val="uk-UA"/>
        </w:rPr>
      </w:pPr>
      <w:r w:rsidRPr="00A33B18">
        <w:rPr>
          <w:lang w:val="uk-UA"/>
        </w:rPr>
        <w:t>Причиною таких показників є формування саме в областях Західної України 66 зі 159 ОТГ, тобто 41,5% усіх об’єднаних територіальних громад і неспроможність до самостійного фінансового забезпечення свого розвитку більшості з них.</w:t>
      </w:r>
    </w:p>
    <w:p w14:paraId="2A185CB0" w14:textId="77777777" w:rsidR="00884CEA" w:rsidRPr="00CD74F6" w:rsidRDefault="00884CEA" w:rsidP="00CD74F6">
      <w:pPr>
        <w:pStyle w:val="1"/>
        <w:spacing w:line="360" w:lineRule="auto"/>
        <w:ind w:firstLine="600"/>
        <w:jc w:val="both"/>
      </w:pPr>
      <w:r w:rsidRPr="00A33B18">
        <w:rPr>
          <w:lang w:val="uk-UA"/>
        </w:rPr>
        <w:t xml:space="preserve">Проте, якщо звернути увагу на тенденції зростання обсягів міжбюджетних трансфертів та власних доходів за аналізований період (рис. 3.24), можна побачити, що у 2016 році в порівнянні з 2015 роком спостерігається зростання обсягів і власних доходів, і трансфертів. </w:t>
      </w:r>
      <w:r w:rsidRPr="00CD74F6">
        <w:t>При порівнянні темпів приросту цих показників в розрізі областей України, що</w:t>
      </w:r>
    </w:p>
    <w:p w14:paraId="03A889AF" w14:textId="77777777" w:rsidR="00884CEA" w:rsidRPr="00CD74F6" w:rsidRDefault="00884CEA" w:rsidP="00CD74F6">
      <w:pPr>
        <w:pStyle w:val="1"/>
        <w:spacing w:line="360" w:lineRule="auto"/>
        <w:ind w:firstLine="140"/>
        <w:jc w:val="both"/>
        <w:rPr>
          <w:lang w:val="uk-UA" w:eastAsia="ru-RU" w:bidi="ru-RU"/>
        </w:rPr>
      </w:pPr>
      <w:r w:rsidRPr="00CD74F6">
        <w:rPr>
          <w:lang w:eastAsia="ru-RU" w:bidi="ru-RU"/>
        </w:rPr>
        <w:t xml:space="preserve">темпи приросту власних </w:t>
      </w:r>
      <w:r w:rsidRPr="00CD74F6">
        <w:t xml:space="preserve">доходів </w:t>
      </w:r>
      <w:r w:rsidRPr="00CD74F6">
        <w:rPr>
          <w:lang w:eastAsia="ru-RU" w:bidi="ru-RU"/>
        </w:rPr>
        <w:t xml:space="preserve">переважають практично по </w:t>
      </w:r>
      <w:r w:rsidRPr="00CD74F6">
        <w:t xml:space="preserve">усіх </w:t>
      </w:r>
      <w:r w:rsidRPr="00CD74F6">
        <w:rPr>
          <w:lang w:eastAsia="ru-RU" w:bidi="ru-RU"/>
        </w:rPr>
        <w:t xml:space="preserve">областях, за винятком ОТГ </w:t>
      </w:r>
      <w:r w:rsidRPr="00CD74F6">
        <w:t xml:space="preserve">Сумської, Чернігівської, Херсонської </w:t>
      </w:r>
      <w:r w:rsidRPr="00CD74F6">
        <w:rPr>
          <w:lang w:eastAsia="ru-RU" w:bidi="ru-RU"/>
        </w:rPr>
        <w:t xml:space="preserve">та </w:t>
      </w:r>
      <w:r w:rsidRPr="00CD74F6">
        <w:t xml:space="preserve">Запорізької </w:t>
      </w:r>
      <w:r w:rsidRPr="00CD74F6">
        <w:rPr>
          <w:lang w:eastAsia="ru-RU" w:bidi="ru-RU"/>
        </w:rPr>
        <w:t>областей.</w:t>
      </w:r>
    </w:p>
    <w:p w14:paraId="73B6A576" w14:textId="77777777" w:rsidR="00BA6E86" w:rsidRPr="00CD74F6" w:rsidRDefault="00BA6E86" w:rsidP="00CD74F6">
      <w:pPr>
        <w:pStyle w:val="1"/>
        <w:spacing w:line="360" w:lineRule="auto"/>
        <w:ind w:firstLine="580"/>
        <w:jc w:val="both"/>
      </w:pPr>
      <w:r w:rsidRPr="00CD74F6">
        <w:t>Відтак, за рахунок використання коштів субвенції на формуванн</w:t>
      </w:r>
      <w:r w:rsidR="00CD74F6">
        <w:t>я інфраструктури планується [28</w:t>
      </w:r>
      <w:r w:rsidRPr="00CD74F6">
        <w:t>]:</w:t>
      </w:r>
    </w:p>
    <w:p w14:paraId="40F6841F" w14:textId="77777777" w:rsidR="00BA6E86" w:rsidRPr="00CD74F6" w:rsidRDefault="00BA6E86" w:rsidP="00CD74F6">
      <w:pPr>
        <w:pStyle w:val="1"/>
        <w:numPr>
          <w:ilvl w:val="0"/>
          <w:numId w:val="8"/>
        </w:numPr>
        <w:tabs>
          <w:tab w:val="left" w:pos="852"/>
        </w:tabs>
        <w:spacing w:line="360" w:lineRule="auto"/>
        <w:ind w:firstLine="580"/>
        <w:jc w:val="both"/>
      </w:pPr>
      <w:r w:rsidRPr="00CD74F6">
        <w:t>створення центрів надання адміністративних послуг;</w:t>
      </w:r>
    </w:p>
    <w:p w14:paraId="4C377499" w14:textId="77777777" w:rsidR="00BA6E86" w:rsidRPr="00CD74F6" w:rsidRDefault="00BA6E86" w:rsidP="00CD74F6">
      <w:pPr>
        <w:pStyle w:val="1"/>
        <w:numPr>
          <w:ilvl w:val="0"/>
          <w:numId w:val="8"/>
        </w:numPr>
        <w:tabs>
          <w:tab w:val="left" w:pos="848"/>
        </w:tabs>
        <w:spacing w:line="360" w:lineRule="auto"/>
        <w:ind w:firstLine="580"/>
        <w:jc w:val="both"/>
      </w:pPr>
      <w:r w:rsidRPr="00CD74F6">
        <w:t xml:space="preserve">реконструкція, переобладнання, перепрофілювання будівель бюджетних установ для їх використання відповідно до потреб ОТГ, але, при </w:t>
      </w:r>
      <w:r w:rsidRPr="00CD74F6">
        <w:lastRenderedPageBreak/>
        <w:t>цьому, з застосуванням енергозберігаючих технологій;</w:t>
      </w:r>
    </w:p>
    <w:p w14:paraId="0680FB89" w14:textId="77777777" w:rsidR="00BA6E86" w:rsidRPr="00CD74F6" w:rsidRDefault="00BA6E86" w:rsidP="00CD74F6">
      <w:pPr>
        <w:pStyle w:val="1"/>
        <w:numPr>
          <w:ilvl w:val="0"/>
          <w:numId w:val="8"/>
        </w:numPr>
        <w:tabs>
          <w:tab w:val="left" w:pos="852"/>
        </w:tabs>
        <w:spacing w:line="360" w:lineRule="auto"/>
        <w:ind w:firstLine="580"/>
        <w:jc w:val="both"/>
      </w:pPr>
      <w:r w:rsidRPr="00CD74F6">
        <w:t>капітальний ремонт, реконструкція, будівництво доріг</w:t>
      </w:r>
      <w:r w:rsidRPr="00CD74F6">
        <w:rPr>
          <w:lang w:val="uk-UA"/>
        </w:rPr>
        <w:t>.</w:t>
      </w:r>
    </w:p>
    <w:p w14:paraId="1D3E641B" w14:textId="77777777" w:rsidR="00BA6E86" w:rsidRPr="00CD74F6" w:rsidRDefault="00BA6E86" w:rsidP="00CD74F6">
      <w:pPr>
        <w:pStyle w:val="1"/>
        <w:spacing w:line="360" w:lineRule="auto"/>
        <w:ind w:firstLine="140"/>
        <w:jc w:val="both"/>
        <w:rPr>
          <w:lang w:val="uk-UA"/>
        </w:rPr>
      </w:pPr>
      <w:r w:rsidRPr="00CD74F6">
        <w:rPr>
          <w:lang w:eastAsia="ru-RU" w:bidi="ru-RU"/>
        </w:rPr>
        <w:t xml:space="preserve">Якщо </w:t>
      </w:r>
      <w:r w:rsidRPr="00CD74F6">
        <w:t xml:space="preserve">проаналізувати </w:t>
      </w:r>
      <w:r w:rsidRPr="00CD74F6">
        <w:rPr>
          <w:lang w:eastAsia="ru-RU" w:bidi="ru-RU"/>
        </w:rPr>
        <w:t xml:space="preserve">обсяги </w:t>
      </w:r>
      <w:r w:rsidRPr="00CD74F6">
        <w:t xml:space="preserve">виділеної субвенції </w:t>
      </w:r>
      <w:r w:rsidRPr="00CD74F6">
        <w:rPr>
          <w:lang w:eastAsia="ru-RU" w:bidi="ru-RU"/>
        </w:rPr>
        <w:t xml:space="preserve">для ОТГ з </w:t>
      </w:r>
      <w:r w:rsidRPr="00CD74F6">
        <w:t>різною</w:t>
      </w:r>
      <w:r w:rsidR="00CD74F6">
        <w:rPr>
          <w:lang w:val="uk-UA"/>
        </w:rPr>
        <w:t xml:space="preserve"> </w:t>
      </w:r>
      <w:r w:rsidRPr="00CD74F6">
        <w:t xml:space="preserve">кількість </w:t>
      </w:r>
      <w:r w:rsidRPr="00CD74F6">
        <w:rPr>
          <w:lang w:eastAsia="ru-RU" w:bidi="ru-RU"/>
        </w:rPr>
        <w:t xml:space="preserve">населення, можна побачити, що </w:t>
      </w:r>
      <w:r w:rsidRPr="00CD74F6">
        <w:t xml:space="preserve">максимальні </w:t>
      </w:r>
      <w:r w:rsidRPr="00CD74F6">
        <w:rPr>
          <w:lang w:eastAsia="ru-RU" w:bidi="ru-RU"/>
        </w:rPr>
        <w:t xml:space="preserve">обсяги </w:t>
      </w:r>
      <w:r w:rsidRPr="00CD74F6">
        <w:t xml:space="preserve">субвенції </w:t>
      </w:r>
      <w:r w:rsidRPr="00CD74F6">
        <w:rPr>
          <w:lang w:eastAsia="ru-RU" w:bidi="ru-RU"/>
        </w:rPr>
        <w:t xml:space="preserve">на формування </w:t>
      </w:r>
      <w:r w:rsidRPr="00CD74F6">
        <w:t xml:space="preserve">інфраструктури </w:t>
      </w:r>
      <w:r w:rsidRPr="00CD74F6">
        <w:rPr>
          <w:lang w:eastAsia="ru-RU" w:bidi="ru-RU"/>
        </w:rPr>
        <w:t xml:space="preserve">направлено до </w:t>
      </w:r>
      <w:r w:rsidRPr="00CD74F6">
        <w:t xml:space="preserve">бюджетів </w:t>
      </w:r>
      <w:r w:rsidRPr="00CD74F6">
        <w:rPr>
          <w:lang w:eastAsia="ru-RU" w:bidi="ru-RU"/>
        </w:rPr>
        <w:t xml:space="preserve">громад з </w:t>
      </w:r>
      <w:r w:rsidRPr="00CD74F6">
        <w:t>чисельністю</w:t>
      </w:r>
      <w:r w:rsidR="00CD74F6">
        <w:rPr>
          <w:lang w:val="uk-UA"/>
        </w:rPr>
        <w:t xml:space="preserve"> </w:t>
      </w:r>
      <w:r w:rsidRPr="00CD74F6">
        <w:t>жителів менше 3 тис. осіб - 1062,9 грн. на особу. Мінімальні - ОТГ з 15-25 тис.</w:t>
      </w:r>
    </w:p>
    <w:p w14:paraId="7D930F29" w14:textId="77777777" w:rsidR="00BA6E86" w:rsidRDefault="00BA6E86"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uk-UA"/>
        </w:rPr>
      </w:pPr>
    </w:p>
    <w:p w14:paraId="0DB9904F" w14:textId="77777777" w:rsidR="00BA6E86" w:rsidRDefault="00BA6E86"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r w:rsidRPr="00BA6E86">
        <w:rPr>
          <w:noProof/>
          <w:lang w:val="uk-UA" w:eastAsia="uk-UA"/>
        </w:rPr>
        <w:drawing>
          <wp:inline distT="0" distB="0" distL="0" distR="0" wp14:anchorId="5ABCC470" wp14:editId="16C8E7C3">
            <wp:extent cx="5940425" cy="2833998"/>
            <wp:effectExtent l="19050" t="0" r="3175" b="0"/>
            <wp:docPr id="101" name="Picut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5" cstate="print"/>
                    <a:stretch/>
                  </pic:blipFill>
                  <pic:spPr>
                    <a:xfrm>
                      <a:off x="0" y="0"/>
                      <a:ext cx="5940425" cy="2833998"/>
                    </a:xfrm>
                    <a:prstGeom prst="rect">
                      <a:avLst/>
                    </a:prstGeom>
                  </pic:spPr>
                </pic:pic>
              </a:graphicData>
            </a:graphic>
          </wp:inline>
        </w:drawing>
      </w:r>
    </w:p>
    <w:p w14:paraId="22E1D648" w14:textId="77777777" w:rsidR="00CD74F6" w:rsidRDefault="00CD74F6" w:rsidP="00BA6E86">
      <w:pPr>
        <w:pStyle w:val="1"/>
        <w:spacing w:after="140"/>
        <w:ind w:firstLine="0"/>
        <w:jc w:val="center"/>
        <w:rPr>
          <w:lang w:val="uk-UA"/>
        </w:rPr>
      </w:pPr>
    </w:p>
    <w:p w14:paraId="4CE648BE" w14:textId="77777777" w:rsidR="00BA6E86" w:rsidRDefault="00CD74F6" w:rsidP="00A33B18">
      <w:pPr>
        <w:pStyle w:val="1"/>
        <w:spacing w:after="140" w:line="360" w:lineRule="auto"/>
        <w:ind w:firstLine="0"/>
        <w:jc w:val="center"/>
      </w:pPr>
      <w:r>
        <w:t xml:space="preserve">Рис. </w:t>
      </w:r>
      <w:r>
        <w:rPr>
          <w:lang w:val="uk-UA"/>
        </w:rPr>
        <w:t>2</w:t>
      </w:r>
      <w:r>
        <w:t>.</w:t>
      </w:r>
      <w:r>
        <w:rPr>
          <w:lang w:val="uk-UA"/>
        </w:rPr>
        <w:t>7</w:t>
      </w:r>
      <w:r w:rsidR="00BA6E86">
        <w:t>. Надходження та використання субвенції з державного</w:t>
      </w:r>
      <w:r w:rsidR="00BA6E86" w:rsidRPr="00BA6E86">
        <w:t xml:space="preserve"> </w:t>
      </w:r>
      <w:r w:rsidR="00BA6E86">
        <w:t>бюджету на формування ін</w:t>
      </w:r>
      <w:r>
        <w:t>фраструктури ОТГ на особу у 20</w:t>
      </w:r>
      <w:r>
        <w:rPr>
          <w:lang w:val="uk-UA"/>
        </w:rPr>
        <w:t>21</w:t>
      </w:r>
      <w:r w:rsidR="00BA6E86">
        <w:t xml:space="preserve"> році</w:t>
      </w:r>
    </w:p>
    <w:p w14:paraId="398190E4" w14:textId="77777777" w:rsidR="00A33B18" w:rsidRPr="00A33B18" w:rsidRDefault="00A33B18" w:rsidP="00A33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r w:rsidRPr="00A33B18">
        <w:rPr>
          <w:rFonts w:ascii="Times New Roman" w:eastAsia="Times New Roman" w:hAnsi="Times New Roman" w:cs="Times New Roman"/>
          <w:color w:val="000000"/>
          <w:sz w:val="28"/>
          <w:szCs w:val="28"/>
          <w:lang w:val="uk-UA" w:eastAsia="ru-RU"/>
        </w:rPr>
        <w:t>Причина таких показників є специфічною для розрахунку субвенції ОТГ на будівництво інфраструктури, оскільки при її визначенні враховується лише кількість мешканців села, а не міста. Таким чином, малі громади, як правило, є сільськими муніципалітетами, а громади з населенням понад 10 000 включають міста, жителі яких не отримують дотацій.</w:t>
      </w:r>
    </w:p>
    <w:p w14:paraId="3AA05BF0" w14:textId="77777777" w:rsidR="00A33B18" w:rsidRPr="00A33B18" w:rsidRDefault="00A33B18" w:rsidP="00A33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r w:rsidRPr="00A33B18">
        <w:rPr>
          <w:rFonts w:ascii="Times New Roman" w:eastAsia="Times New Roman" w:hAnsi="Times New Roman" w:cs="Times New Roman"/>
          <w:color w:val="000000"/>
          <w:sz w:val="28"/>
          <w:szCs w:val="28"/>
          <w:lang w:val="uk-UA" w:eastAsia="ru-RU"/>
        </w:rPr>
        <w:t>Незважаючи на це, інфраструктурні субсидії все ще є важливим джерелом капіталовкладень ОТГ. Крім того, у деяких ОТГ ця дотація подекуди перевищувала їхній власний дохід більш ніж у 2 рази, що свідчить про те, що існують можливості фінансування для розвитку ОТГ.</w:t>
      </w:r>
    </w:p>
    <w:p w14:paraId="34F3C940" w14:textId="77777777" w:rsidR="00A33B18" w:rsidRPr="00A33B18" w:rsidRDefault="00A33B18" w:rsidP="00A33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r w:rsidRPr="00A33B18">
        <w:rPr>
          <w:rFonts w:ascii="Times New Roman" w:eastAsia="Times New Roman" w:hAnsi="Times New Roman" w:cs="Times New Roman"/>
          <w:color w:val="000000"/>
          <w:sz w:val="28"/>
          <w:szCs w:val="28"/>
          <w:lang w:val="uk-UA" w:eastAsia="ru-RU"/>
        </w:rPr>
        <w:t>Як висновок, із проведеного аналізу можна виділити наступні основні аспекти: 1) Забезпечити відповідне джерело доповнення для бюджету ОТГ,</w:t>
      </w:r>
    </w:p>
    <w:p w14:paraId="077C6589" w14:textId="77777777" w:rsidR="00884CEA" w:rsidRDefault="00A33B18" w:rsidP="00A33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r w:rsidRPr="00A33B18">
        <w:rPr>
          <w:rFonts w:ascii="Times New Roman" w:eastAsia="Times New Roman" w:hAnsi="Times New Roman" w:cs="Times New Roman"/>
          <w:color w:val="000000"/>
          <w:sz w:val="28"/>
          <w:szCs w:val="28"/>
          <w:lang w:val="uk-UA" w:eastAsia="ru-RU"/>
        </w:rPr>
        <w:lastRenderedPageBreak/>
        <w:t>Зокрема, 60% податку на доходи фізичних осіб, податку на споживання та місцевого податку для забезпечення їх ефективного використання; 2) Індекс фіскальної залежності бюджету ОТГ у 2021 році порівняно з попереднім роком суттєво знизився, демонструючи позитивну тенденцію розвитку, який розраховується з 1 січня. , результати сплати податку на доходи фізичних осіб за 2022 рік; водночас, порівнюючи ОТГ, можна зазначити, що обсяги бюджетної дотації дуже різняться (це не свідчить про спроможність принести користь окремим громадам); аналізуючи фінансові можливості груп ОТГ з різними чисельності н</w:t>
      </w:r>
      <w:r w:rsidR="00255BC9">
        <w:rPr>
          <w:rFonts w:ascii="Times New Roman" w:eastAsia="Times New Roman" w:hAnsi="Times New Roman" w:cs="Times New Roman"/>
          <w:color w:val="000000"/>
          <w:sz w:val="28"/>
          <w:szCs w:val="28"/>
          <w:lang w:val="uk-UA" w:eastAsia="ru-RU"/>
        </w:rPr>
        <w:t>аселення, можна чітко побачити д</w:t>
      </w:r>
      <w:r w:rsidRPr="00A33B18">
        <w:rPr>
          <w:rFonts w:ascii="Times New Roman" w:eastAsia="Times New Roman" w:hAnsi="Times New Roman" w:cs="Times New Roman"/>
          <w:color w:val="000000"/>
          <w:sz w:val="28"/>
          <w:szCs w:val="28"/>
          <w:lang w:val="uk-UA" w:eastAsia="ru-RU"/>
        </w:rPr>
        <w:t>о: чим більша кількість мешканців громади, тим більший її фінансовий потенціал. З проведеного аналізу можна зробити висновок, що найефективніше формувати громаду чисельністю 10-25 тис. осіб. Причина закономірності між кількістю мешканців та фінансовою спроможністю ОТГ полягає в тому, що, насамперед, великі громади мають певні переваги, зокрема більшу наявність можливостей для розвитку бізнесу, трудових ресурсів, ринків збуту продукції. По-друге, великі громади мають більше потенціалу для сталого розвитку та здатності підтримувати та розвивати інфраструктуру.</w:t>
      </w:r>
    </w:p>
    <w:p w14:paraId="4A4FDE9C" w14:textId="77777777" w:rsidR="00A33B18" w:rsidRDefault="00A33B18" w:rsidP="00A33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p>
    <w:p w14:paraId="751BD618" w14:textId="77777777" w:rsidR="00BA6E86" w:rsidRDefault="00BA6E86"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47F1453D" w14:textId="77777777" w:rsidR="002A1067" w:rsidRDefault="002A1067" w:rsidP="002A1067">
      <w:pPr>
        <w:pStyle w:val="1"/>
        <w:spacing w:line="276" w:lineRule="auto"/>
        <w:ind w:firstLine="567"/>
        <w:jc w:val="both"/>
        <w:rPr>
          <w:b/>
          <w:color w:val="000000"/>
          <w:lang w:val="uk-UA" w:eastAsia="uk-UA" w:bidi="uk-UA"/>
        </w:rPr>
      </w:pPr>
      <w:r w:rsidRPr="002A1067">
        <w:rPr>
          <w:b/>
          <w:color w:val="000000"/>
          <w:lang w:val="uk-UA" w:eastAsia="uk-UA" w:bidi="uk-UA"/>
        </w:rPr>
        <w:t>2.2.</w:t>
      </w:r>
      <w:r w:rsidRPr="002A1067">
        <w:rPr>
          <w:b/>
        </w:rPr>
        <w:t xml:space="preserve"> </w:t>
      </w:r>
      <w:r w:rsidRPr="002A1067">
        <w:rPr>
          <w:b/>
          <w:color w:val="000000"/>
          <w:lang w:val="uk-UA" w:eastAsia="uk-UA" w:bidi="uk-UA"/>
        </w:rPr>
        <w:t>Оцінювання бюджетного забезпечення соціально-економічного</w:t>
      </w:r>
      <w:r w:rsidRPr="002A1067">
        <w:rPr>
          <w:b/>
          <w:color w:val="000000"/>
          <w:lang w:val="uk-UA" w:eastAsia="uk-UA" w:bidi="uk-UA"/>
        </w:rPr>
        <w:br/>
        <w:t xml:space="preserve">розвитку територій в Україні </w:t>
      </w:r>
    </w:p>
    <w:p w14:paraId="0DFA0C01" w14:textId="77777777" w:rsidR="00180F4A" w:rsidRDefault="00180F4A" w:rsidP="002A1067">
      <w:pPr>
        <w:pStyle w:val="1"/>
        <w:spacing w:line="276" w:lineRule="auto"/>
        <w:ind w:firstLine="567"/>
        <w:jc w:val="both"/>
        <w:rPr>
          <w:b/>
          <w:color w:val="000000"/>
          <w:lang w:val="uk-UA" w:eastAsia="uk-UA" w:bidi="uk-UA"/>
        </w:rPr>
      </w:pPr>
    </w:p>
    <w:p w14:paraId="4CAB49D8" w14:textId="77777777" w:rsidR="00A33B18" w:rsidRDefault="00A33B18" w:rsidP="00A33B18">
      <w:pPr>
        <w:pStyle w:val="1"/>
        <w:numPr>
          <w:ilvl w:val="0"/>
          <w:numId w:val="9"/>
        </w:numPr>
        <w:tabs>
          <w:tab w:val="left" w:pos="709"/>
        </w:tabs>
        <w:spacing w:line="360" w:lineRule="auto"/>
        <w:jc w:val="both"/>
      </w:pPr>
      <w:r w:rsidRPr="00A33B18">
        <w:rPr>
          <w:lang w:val="uk-UA"/>
        </w:rPr>
        <w:t xml:space="preserve">Однією з ключових умов децентралізації є стимулювання економічного розвитку громад області, спрямування бюджетних ресурсів на розвиток місцевої інфраструктури та інвестиційної привабливості регіону та забезпечення ефективного використання економічного потенціалу самих громад. . </w:t>
      </w:r>
      <w:r>
        <w:t xml:space="preserve">Основним інструментом, за допомогою якого держава виконує це завдання, є бюджет розвитку. Як і України, його існування передбачено бюджетними системами більшості розвинутих країн як дієвий механізм формування фінансових ресурсів для забезпечення соціально-економічного розвитку громади, регіону чи регіону на основі інвестицій та здійснення </w:t>
      </w:r>
      <w:r>
        <w:lastRenderedPageBreak/>
        <w:t>інноваційної діяльності.</w:t>
      </w:r>
    </w:p>
    <w:p w14:paraId="623CC83F" w14:textId="77777777" w:rsidR="00A33B18" w:rsidRDefault="00A33B18" w:rsidP="00255BC9">
      <w:pPr>
        <w:pStyle w:val="1"/>
        <w:tabs>
          <w:tab w:val="left" w:pos="709"/>
        </w:tabs>
        <w:spacing w:line="360" w:lineRule="auto"/>
        <w:jc w:val="both"/>
      </w:pPr>
      <w:r>
        <w:t>За словами Паба, бюджети використовували для розробки місцевих бюджетів. Статтею 71 Бюджетного кодексу України передбачено склад спеціального фонду місцевих бюджетів, який включає окремі доходи та використовується для покриття видатків. Водночас податковим законодавством передбачено напрямок капітальних видатків бюджету розвитку, а саме:</w:t>
      </w:r>
    </w:p>
    <w:p w14:paraId="50DAFE7D" w14:textId="77777777" w:rsidR="00180F4A" w:rsidRDefault="00180F4A" w:rsidP="00A33B18">
      <w:pPr>
        <w:pStyle w:val="1"/>
        <w:numPr>
          <w:ilvl w:val="0"/>
          <w:numId w:val="9"/>
        </w:numPr>
        <w:tabs>
          <w:tab w:val="left" w:pos="709"/>
        </w:tabs>
        <w:spacing w:line="360" w:lineRule="auto"/>
        <w:ind w:firstLine="567"/>
        <w:jc w:val="both"/>
      </w:pPr>
      <w:r>
        <w:t>соціально-економічний розвиток;</w:t>
      </w:r>
    </w:p>
    <w:p w14:paraId="7C61E6EF" w14:textId="77777777" w:rsidR="00180F4A" w:rsidRDefault="00180F4A" w:rsidP="00553064">
      <w:pPr>
        <w:pStyle w:val="1"/>
        <w:numPr>
          <w:ilvl w:val="0"/>
          <w:numId w:val="9"/>
        </w:numPr>
        <w:tabs>
          <w:tab w:val="left" w:pos="709"/>
        </w:tabs>
        <w:spacing w:line="360" w:lineRule="auto"/>
        <w:ind w:firstLine="567"/>
        <w:jc w:val="both"/>
      </w:pPr>
      <w:r>
        <w:t>виконання інвестиційних проектів;</w:t>
      </w:r>
    </w:p>
    <w:p w14:paraId="52E563BF" w14:textId="77777777" w:rsidR="00180F4A" w:rsidRDefault="00180F4A" w:rsidP="00553064">
      <w:pPr>
        <w:pStyle w:val="1"/>
        <w:numPr>
          <w:ilvl w:val="0"/>
          <w:numId w:val="9"/>
        </w:numPr>
        <w:tabs>
          <w:tab w:val="left" w:pos="709"/>
        </w:tabs>
        <w:spacing w:line="360" w:lineRule="auto"/>
        <w:ind w:firstLine="567"/>
        <w:jc w:val="both"/>
      </w:pPr>
      <w:r>
        <w:t>будівництво, капітальний ремонт та реконструкція об’єктів соціально- культурної сфери і житлово-комунального господарства;</w:t>
      </w:r>
    </w:p>
    <w:p w14:paraId="45307938" w14:textId="77777777" w:rsidR="00180F4A" w:rsidRDefault="00180F4A" w:rsidP="00553064">
      <w:pPr>
        <w:pStyle w:val="1"/>
        <w:numPr>
          <w:ilvl w:val="0"/>
          <w:numId w:val="9"/>
        </w:numPr>
        <w:tabs>
          <w:tab w:val="left" w:pos="709"/>
        </w:tabs>
        <w:spacing w:line="360" w:lineRule="auto"/>
        <w:ind w:firstLine="567"/>
        <w:jc w:val="both"/>
      </w:pPr>
      <w:r>
        <w:t>будівництво газопроводів і газифікація населених пунктів;</w:t>
      </w:r>
    </w:p>
    <w:p w14:paraId="6FA72338" w14:textId="77777777" w:rsidR="00180F4A" w:rsidRDefault="00180F4A" w:rsidP="00553064">
      <w:pPr>
        <w:pStyle w:val="1"/>
        <w:numPr>
          <w:ilvl w:val="0"/>
          <w:numId w:val="9"/>
        </w:numPr>
        <w:tabs>
          <w:tab w:val="left" w:pos="709"/>
        </w:tabs>
        <w:spacing w:line="360" w:lineRule="auto"/>
        <w:ind w:firstLine="567"/>
        <w:jc w:val="both"/>
      </w:pPr>
      <w:r>
        <w:t>будівництво і придбання житла окремим категоріям громадян;</w:t>
      </w:r>
    </w:p>
    <w:p w14:paraId="79FF1F4A" w14:textId="77777777" w:rsidR="00180F4A" w:rsidRDefault="00180F4A" w:rsidP="00553064">
      <w:pPr>
        <w:pStyle w:val="1"/>
        <w:numPr>
          <w:ilvl w:val="0"/>
          <w:numId w:val="9"/>
        </w:numPr>
        <w:tabs>
          <w:tab w:val="left" w:pos="709"/>
        </w:tabs>
        <w:spacing w:line="360" w:lineRule="auto"/>
        <w:ind w:firstLine="567"/>
        <w:jc w:val="both"/>
      </w:pPr>
      <w:r>
        <w:t>збереження та розвиток історико-культурних місць;</w:t>
      </w:r>
    </w:p>
    <w:p w14:paraId="4B605524" w14:textId="77777777" w:rsidR="00180F4A" w:rsidRDefault="00180F4A" w:rsidP="00553064">
      <w:pPr>
        <w:pStyle w:val="1"/>
        <w:numPr>
          <w:ilvl w:val="0"/>
          <w:numId w:val="9"/>
        </w:numPr>
        <w:tabs>
          <w:tab w:val="left" w:pos="709"/>
        </w:tabs>
        <w:spacing w:line="360" w:lineRule="auto"/>
        <w:ind w:firstLine="567"/>
        <w:jc w:val="both"/>
      </w:pPr>
      <w:r>
        <w:t>розвиток дорожнього господарства;</w:t>
      </w:r>
    </w:p>
    <w:p w14:paraId="49AF1846" w14:textId="77777777" w:rsidR="00180F4A" w:rsidRDefault="00180F4A" w:rsidP="00553064">
      <w:pPr>
        <w:pStyle w:val="1"/>
        <w:numPr>
          <w:ilvl w:val="0"/>
          <w:numId w:val="9"/>
        </w:numPr>
        <w:tabs>
          <w:tab w:val="left" w:pos="709"/>
        </w:tabs>
        <w:spacing w:line="360" w:lineRule="auto"/>
        <w:ind w:firstLine="567"/>
        <w:jc w:val="both"/>
      </w:pPr>
      <w:r>
        <w:t>придбання шкільних автобусів та автомобілів швидкої медичної допомоги;</w:t>
      </w:r>
    </w:p>
    <w:p w14:paraId="5D43193C" w14:textId="77777777" w:rsidR="00180F4A" w:rsidRDefault="00180F4A" w:rsidP="00553064">
      <w:pPr>
        <w:pStyle w:val="1"/>
        <w:numPr>
          <w:ilvl w:val="0"/>
          <w:numId w:val="9"/>
        </w:numPr>
        <w:tabs>
          <w:tab w:val="left" w:pos="709"/>
        </w:tabs>
        <w:spacing w:line="360" w:lineRule="auto"/>
        <w:ind w:firstLine="567"/>
        <w:jc w:val="both"/>
      </w:pPr>
      <w:r>
        <w:t>комп’ютеризація та інформатизація загальноосвітніх навчальних</w:t>
      </w:r>
    </w:p>
    <w:p w14:paraId="722BEA89" w14:textId="77777777" w:rsidR="00180F4A" w:rsidRDefault="00180F4A" w:rsidP="00553064">
      <w:pPr>
        <w:pStyle w:val="1"/>
        <w:tabs>
          <w:tab w:val="left" w:pos="709"/>
        </w:tabs>
        <w:spacing w:line="360" w:lineRule="auto"/>
        <w:ind w:firstLine="567"/>
        <w:jc w:val="both"/>
      </w:pPr>
      <w:r>
        <w:t>закладів;</w:t>
      </w:r>
    </w:p>
    <w:p w14:paraId="19D17E83" w14:textId="77777777" w:rsidR="002A1067" w:rsidRPr="00553064" w:rsidRDefault="00180F4A" w:rsidP="00553064">
      <w:pPr>
        <w:pStyle w:val="1"/>
        <w:numPr>
          <w:ilvl w:val="0"/>
          <w:numId w:val="9"/>
        </w:numPr>
        <w:tabs>
          <w:tab w:val="left" w:pos="709"/>
        </w:tabs>
        <w:spacing w:line="360" w:lineRule="auto"/>
        <w:ind w:firstLine="567"/>
        <w:jc w:val="both"/>
      </w:pPr>
      <w:r>
        <w:t>природоохоронні заходи тощо.</w:t>
      </w:r>
    </w:p>
    <w:p w14:paraId="14EF1B12" w14:textId="77777777" w:rsidR="00A920C1" w:rsidRDefault="00A920C1" w:rsidP="00553064">
      <w:pPr>
        <w:pStyle w:val="1"/>
        <w:spacing w:line="360" w:lineRule="auto"/>
        <w:ind w:firstLine="567"/>
      </w:pPr>
      <w:r>
        <w:t>Не зважаючи на комплекс вагомих завдань, які покликаний вирішувати бюджет розвитку, сьогодні його здебільшого використовують для спрощення окремих бюджетних процедур, зокрема:</w:t>
      </w:r>
    </w:p>
    <w:p w14:paraId="33EE2CD9" w14:textId="77777777" w:rsidR="00A920C1" w:rsidRDefault="00A920C1" w:rsidP="00553064">
      <w:pPr>
        <w:pStyle w:val="1"/>
        <w:numPr>
          <w:ilvl w:val="0"/>
          <w:numId w:val="10"/>
        </w:numPr>
        <w:tabs>
          <w:tab w:val="left" w:pos="783"/>
        </w:tabs>
        <w:spacing w:line="360" w:lineRule="auto"/>
        <w:ind w:firstLine="567"/>
        <w:jc w:val="both"/>
      </w:pPr>
      <w:r>
        <w:t xml:space="preserve">оскільки, відповідно </w:t>
      </w:r>
      <w:r>
        <w:rPr>
          <w:lang w:eastAsia="ru-RU" w:bidi="ru-RU"/>
        </w:rPr>
        <w:t xml:space="preserve">до законодавчо визначених норм, </w:t>
      </w:r>
      <w:r>
        <w:t xml:space="preserve">всі залучені </w:t>
      </w:r>
      <w:r>
        <w:rPr>
          <w:lang w:eastAsia="ru-RU" w:bidi="ru-RU"/>
        </w:rPr>
        <w:t xml:space="preserve">кошти спрямовуються лише до бюджету розвитку, його використовують для покриття </w:t>
      </w:r>
      <w:r>
        <w:t xml:space="preserve">дефіциту </w:t>
      </w:r>
      <w:r>
        <w:rPr>
          <w:lang w:eastAsia="ru-RU" w:bidi="ru-RU"/>
        </w:rPr>
        <w:t xml:space="preserve">бюджету через </w:t>
      </w:r>
      <w:r>
        <w:t xml:space="preserve">здійснення </w:t>
      </w:r>
      <w:r>
        <w:rPr>
          <w:lang w:eastAsia="ru-RU" w:bidi="ru-RU"/>
        </w:rPr>
        <w:t>запозичень;</w:t>
      </w:r>
    </w:p>
    <w:p w14:paraId="533B5A38" w14:textId="77777777" w:rsidR="00A920C1" w:rsidRDefault="00A920C1" w:rsidP="00553064">
      <w:pPr>
        <w:pStyle w:val="1"/>
        <w:numPr>
          <w:ilvl w:val="0"/>
          <w:numId w:val="10"/>
        </w:numPr>
        <w:tabs>
          <w:tab w:val="left" w:pos="788"/>
        </w:tabs>
        <w:spacing w:line="360" w:lineRule="auto"/>
        <w:ind w:firstLine="567"/>
        <w:jc w:val="both"/>
      </w:pPr>
      <w:r>
        <w:t xml:space="preserve">внаслідок профіциту місцевого </w:t>
      </w:r>
      <w:r>
        <w:rPr>
          <w:lang w:eastAsia="ru-RU" w:bidi="ru-RU"/>
        </w:rPr>
        <w:t xml:space="preserve">бюджету </w:t>
      </w:r>
      <w:r>
        <w:t xml:space="preserve">фінансові </w:t>
      </w:r>
      <w:r>
        <w:rPr>
          <w:lang w:eastAsia="ru-RU" w:bidi="ru-RU"/>
        </w:rPr>
        <w:t xml:space="preserve">ресурси спрямовуються </w:t>
      </w:r>
      <w:r>
        <w:t xml:space="preserve">із </w:t>
      </w:r>
      <w:r>
        <w:rPr>
          <w:lang w:eastAsia="ru-RU" w:bidi="ru-RU"/>
        </w:rPr>
        <w:t xml:space="preserve">загального фонду бюджету до бюджету розвитку, що </w:t>
      </w:r>
      <w:r>
        <w:t xml:space="preserve">дозволяє </w:t>
      </w:r>
      <w:r>
        <w:rPr>
          <w:lang w:eastAsia="ru-RU" w:bidi="ru-RU"/>
        </w:rPr>
        <w:t xml:space="preserve">використовувати </w:t>
      </w:r>
      <w:r>
        <w:t xml:space="preserve">надлишкові </w:t>
      </w:r>
      <w:r>
        <w:rPr>
          <w:lang w:eastAsia="ru-RU" w:bidi="ru-RU"/>
        </w:rPr>
        <w:t>кошти;</w:t>
      </w:r>
    </w:p>
    <w:p w14:paraId="27010AEF" w14:textId="77777777" w:rsidR="00A920C1" w:rsidRDefault="00A920C1" w:rsidP="00553064">
      <w:pPr>
        <w:pStyle w:val="1"/>
        <w:numPr>
          <w:ilvl w:val="0"/>
          <w:numId w:val="10"/>
        </w:numPr>
        <w:tabs>
          <w:tab w:val="left" w:pos="778"/>
        </w:tabs>
        <w:spacing w:line="360" w:lineRule="auto"/>
        <w:ind w:firstLine="567"/>
        <w:jc w:val="both"/>
      </w:pPr>
      <w:r>
        <w:rPr>
          <w:lang w:eastAsia="ru-RU" w:bidi="ru-RU"/>
        </w:rPr>
        <w:t xml:space="preserve">спрощення процедури надання </w:t>
      </w:r>
      <w:r>
        <w:t xml:space="preserve">субвенцій </w:t>
      </w:r>
      <w:r>
        <w:rPr>
          <w:lang w:eastAsia="ru-RU" w:bidi="ru-RU"/>
        </w:rPr>
        <w:t xml:space="preserve">бюджетам </w:t>
      </w:r>
      <w:r>
        <w:t xml:space="preserve">міста </w:t>
      </w:r>
      <w:r>
        <w:rPr>
          <w:lang w:eastAsia="ru-RU" w:bidi="ru-RU"/>
        </w:rPr>
        <w:t xml:space="preserve">та районним </w:t>
      </w:r>
      <w:r>
        <w:rPr>
          <w:lang w:eastAsia="ru-RU" w:bidi="ru-RU"/>
        </w:rPr>
        <w:lastRenderedPageBreak/>
        <w:t>бюджетам з обласного бюджету.</w:t>
      </w:r>
    </w:p>
    <w:p w14:paraId="6E0D3E93" w14:textId="77777777" w:rsidR="00A920C1" w:rsidRDefault="00A920C1" w:rsidP="00553064">
      <w:pPr>
        <w:pStyle w:val="1"/>
        <w:spacing w:line="360" w:lineRule="auto"/>
        <w:ind w:firstLine="567"/>
        <w:jc w:val="both"/>
      </w:pPr>
      <w:r>
        <w:rPr>
          <w:lang w:eastAsia="ru-RU" w:bidi="ru-RU"/>
        </w:rPr>
        <w:t xml:space="preserve">Надходження до бюджету розвитку </w:t>
      </w:r>
      <w:r>
        <w:t xml:space="preserve">місцевих бюджетів </w:t>
      </w:r>
      <w:r>
        <w:rPr>
          <w:lang w:eastAsia="ru-RU" w:bidi="ru-RU"/>
        </w:rPr>
        <w:t xml:space="preserve">за </w:t>
      </w:r>
      <w:r>
        <w:t xml:space="preserve">період </w:t>
      </w:r>
      <w:r w:rsidR="00553064">
        <w:rPr>
          <w:lang w:eastAsia="ru-RU" w:bidi="ru-RU"/>
        </w:rPr>
        <w:t>201</w:t>
      </w:r>
      <w:r w:rsidR="00553064">
        <w:rPr>
          <w:lang w:val="uk-UA" w:eastAsia="ru-RU" w:bidi="ru-RU"/>
        </w:rPr>
        <w:t>8</w:t>
      </w:r>
      <w:r w:rsidR="00553064">
        <w:rPr>
          <w:lang w:eastAsia="ru-RU" w:bidi="ru-RU"/>
        </w:rPr>
        <w:softHyphen/>
        <w:t>20</w:t>
      </w:r>
      <w:r w:rsidR="00553064">
        <w:rPr>
          <w:lang w:val="uk-UA" w:eastAsia="ru-RU" w:bidi="ru-RU"/>
        </w:rPr>
        <w:t>21</w:t>
      </w:r>
      <w:r>
        <w:t xml:space="preserve"> рр. суттєво зросли - з 14,1 млрд. грн. до 48,1 млрд. грн., тобто на 332,6%. При цьому, зросла і частка доходів бюджету розвитку в структурі доходів місцевих бюджетів </w:t>
      </w:r>
      <w:r w:rsidR="00553064">
        <w:t>України. Якщо впродовж 201</w:t>
      </w:r>
      <w:r w:rsidR="00553064">
        <w:rPr>
          <w:lang w:val="uk-UA"/>
        </w:rPr>
        <w:t>9</w:t>
      </w:r>
      <w:r w:rsidR="00553064">
        <w:t>-20</w:t>
      </w:r>
      <w:r w:rsidR="00553064">
        <w:rPr>
          <w:lang w:val="uk-UA"/>
        </w:rPr>
        <w:t>21</w:t>
      </w:r>
      <w:r>
        <w:t xml:space="preserve"> рр. частка доходів бюджету розвитку в складі доходів місцевих бюджетів зменшувалася, то після реформи місцевого самоврядування вона зросла - з 1</w:t>
      </w:r>
      <w:r w:rsidR="00553064">
        <w:t>1,0% у 2014 році до 27,5% у 201</w:t>
      </w:r>
      <w:r w:rsidR="00553064">
        <w:rPr>
          <w:lang w:val="uk-UA"/>
        </w:rPr>
        <w:t>8</w:t>
      </w:r>
      <w:r>
        <w:t xml:space="preserve"> році, тобто більше ніж удвічі.</w:t>
      </w:r>
    </w:p>
    <w:p w14:paraId="0D267FBF" w14:textId="77777777" w:rsidR="00A33B18" w:rsidRDefault="00A33B18" w:rsidP="00A33B18">
      <w:pPr>
        <w:pStyle w:val="1"/>
        <w:spacing w:line="360" w:lineRule="auto"/>
        <w:ind w:firstLine="567"/>
        <w:jc w:val="both"/>
      </w:pPr>
      <w:r>
        <w:t>Внаслідок децентралізації змінилася і структура доходів бюджету розвитку. Серед іншого, скасовано єдиний податок, який становить значну частину доходів бюджету розвитку і який тепер включено до місцевих податків. 94,5% доходів бюджету розвитку у 2019 році становлять кошти бюджету розвитку, отримані із загального фонду бюджету.</w:t>
      </w:r>
    </w:p>
    <w:p w14:paraId="18FF7D0F" w14:textId="77777777" w:rsidR="00A33B18" w:rsidRDefault="00A33B18" w:rsidP="00A33B18">
      <w:pPr>
        <w:pStyle w:val="1"/>
        <w:spacing w:line="360" w:lineRule="auto"/>
        <w:ind w:firstLine="567"/>
        <w:jc w:val="both"/>
      </w:pPr>
      <w:r>
        <w:t>Фінансові ресурси бюджету розвитку в основному використовуються на капітальні видатки і меншою мірою на охорону навколишнього природного середовища та запобігання наслідкам природних явищ. Приблизно 1% витрат на розвиток інвестується в соціально-економічний розвиток громад Території.</w:t>
      </w:r>
    </w:p>
    <w:p w14:paraId="1C6D648B" w14:textId="77777777" w:rsidR="00A33B18" w:rsidRDefault="00A33B18" w:rsidP="00A33B18">
      <w:pPr>
        <w:pStyle w:val="1"/>
        <w:spacing w:line="360" w:lineRule="auto"/>
        <w:ind w:firstLine="567"/>
        <w:jc w:val="both"/>
      </w:pPr>
      <w:r>
        <w:t>Аналізуючи регіональні бюджети розвитку, важливо зазначити, що між дохідною базою обласного бюджету та обсягом видатків бюджету розвитку немає залежності — збільшення доходів місцевого бюджету не означає збільшення видатків розвитку місцевого бюджету. бюджет.</w:t>
      </w:r>
    </w:p>
    <w:p w14:paraId="2BB6F5E6" w14:textId="77777777" w:rsidR="00A33B18" w:rsidRDefault="00A33B18" w:rsidP="00A33B18">
      <w:pPr>
        <w:pStyle w:val="1"/>
        <w:spacing w:line="360" w:lineRule="auto"/>
        <w:ind w:firstLine="567"/>
        <w:jc w:val="both"/>
      </w:pPr>
      <w:r>
        <w:t>Тому основним (і єдиним) джерелом надходжень бюджету розвитку України є кошти, що перераховуються із загального фонду. Капітальні видатки сплачують обов'язкові платники податків. Тому важко говорити про можливості та перспективи інвестування додаткових надходжень до місцевого бюджету – органи місцевого самоврядування в цьому не зацікавлені, громада скоріше підтримає капітальний ремонт доріг чи шкіл, бо, наприклад, є шанс стати перспективним співвласником бізнесу.</w:t>
      </w:r>
    </w:p>
    <w:p w14:paraId="25044462" w14:textId="77777777" w:rsidR="00A33B18" w:rsidRDefault="00A33B18" w:rsidP="00A33B18">
      <w:pPr>
        <w:pStyle w:val="1"/>
        <w:spacing w:line="360" w:lineRule="auto"/>
        <w:ind w:firstLine="567"/>
        <w:jc w:val="both"/>
      </w:pPr>
      <w:r>
        <w:t>Аналізуючи капітальні видатки як основний напрям розвитку бюджетних ресурсів, доцільно звернути увагу на виконання планових показників.</w:t>
      </w:r>
    </w:p>
    <w:p w14:paraId="2FC0368C" w14:textId="77777777" w:rsidR="00A33B18" w:rsidRDefault="00A33B18" w:rsidP="00A33B18">
      <w:pPr>
        <w:pStyle w:val="1"/>
        <w:spacing w:line="360" w:lineRule="auto"/>
        <w:ind w:firstLine="567"/>
        <w:jc w:val="both"/>
      </w:pPr>
      <w:r>
        <w:lastRenderedPageBreak/>
        <w:t>За аналізований період запланований місцевим бюджетом обсяг капітальних видатків не виконано. Але якщо у 2018-2021 роках відсоток виконання щороку зменшувався (з 69,6% у 2018 році до 51,0% у 2019 році), то у 2020-2021 роках він становив у середньому 81,2%, що свідчить про підвищення ефективності місцевих бюджетів.</w:t>
      </w:r>
    </w:p>
    <w:p w14:paraId="7BF9759E" w14:textId="77777777" w:rsidR="00A920C1" w:rsidRDefault="00A920C1" w:rsidP="00A33B18">
      <w:pPr>
        <w:pStyle w:val="1"/>
        <w:spacing w:line="360" w:lineRule="auto"/>
        <w:ind w:firstLine="567"/>
        <w:jc w:val="both"/>
      </w:pPr>
      <w:r>
        <w:t>Аналогічна ситуація спостерігається і по оцінці обсягів проведених видатків. У пе</w:t>
      </w:r>
      <w:r w:rsidR="00DD5148">
        <w:t>ріод 201</w:t>
      </w:r>
      <w:r w:rsidR="00DD5148">
        <w:rPr>
          <w:lang w:val="uk-UA"/>
        </w:rPr>
        <w:t>9</w:t>
      </w:r>
      <w:r w:rsidR="00DD5148">
        <w:t>-20</w:t>
      </w:r>
      <w:r w:rsidR="00DD5148">
        <w:rPr>
          <w:lang w:val="uk-UA"/>
        </w:rPr>
        <w:t>21</w:t>
      </w:r>
      <w:r>
        <w:t xml:space="preserve"> рр. спостерігалося зниження обсягів проведених капітальних ви</w:t>
      </w:r>
      <w:r w:rsidR="00DD5148">
        <w:t>датків з 16,22 млрд. грн. у 201</w:t>
      </w:r>
      <w:r w:rsidR="00DD5148">
        <w:rPr>
          <w:lang w:val="uk-UA"/>
        </w:rPr>
        <w:t>9</w:t>
      </w:r>
      <w:r w:rsidR="00DD5148">
        <w:t xml:space="preserve"> році до 13,95 млрд. грн. у 201</w:t>
      </w:r>
      <w:r w:rsidR="00DD5148">
        <w:rPr>
          <w:lang w:val="uk-UA"/>
        </w:rPr>
        <w:t>8</w:t>
      </w:r>
      <w:r>
        <w:t xml:space="preserve"> році, тобто на 14,0%. При цьому, відбувалося також</w:t>
      </w:r>
    </w:p>
    <w:p w14:paraId="2C2229A8" w14:textId="77777777" w:rsidR="00A920C1" w:rsidRDefault="00A920C1" w:rsidP="00DD5148">
      <w:pPr>
        <w:pStyle w:val="1"/>
        <w:spacing w:line="360" w:lineRule="auto"/>
        <w:ind w:firstLine="0"/>
        <w:jc w:val="both"/>
      </w:pPr>
      <w:r>
        <w:rPr>
          <w:lang w:eastAsia="ru-RU" w:bidi="ru-RU"/>
        </w:rPr>
        <w:t xml:space="preserve">зменшення </w:t>
      </w:r>
      <w:r>
        <w:t xml:space="preserve">питомої </w:t>
      </w:r>
      <w:r>
        <w:rPr>
          <w:lang w:eastAsia="ru-RU" w:bidi="ru-RU"/>
        </w:rPr>
        <w:t xml:space="preserve">ваги </w:t>
      </w:r>
      <w:r>
        <w:t xml:space="preserve">капітальних видатків </w:t>
      </w:r>
      <w:r>
        <w:rPr>
          <w:lang w:eastAsia="ru-RU" w:bidi="ru-RU"/>
        </w:rPr>
        <w:t xml:space="preserve">в </w:t>
      </w:r>
      <w:r>
        <w:t>складі видатків місцевих бюджетів - з 7,3% до 6,2%, тобто на 1,1 в.п.</w:t>
      </w:r>
    </w:p>
    <w:p w14:paraId="35A4E43B" w14:textId="77777777" w:rsidR="00A920C1" w:rsidRDefault="00A920C1" w:rsidP="00553064">
      <w:pPr>
        <w:pStyle w:val="1"/>
        <w:spacing w:line="360" w:lineRule="auto"/>
        <w:ind w:firstLine="567"/>
        <w:jc w:val="both"/>
      </w:pPr>
      <w:r>
        <w:t>Натомість з початком реформи місцевого самоврядування та бюджетно- податкової децентралізації відбулося стрімке зростання обсягів капітальних видатків, провед</w:t>
      </w:r>
      <w:r w:rsidR="00DD5148">
        <w:t>ених з місцевих бюджетів. У 201</w:t>
      </w:r>
      <w:r w:rsidR="00DD5148">
        <w:rPr>
          <w:lang w:val="uk-UA"/>
        </w:rPr>
        <w:t>9</w:t>
      </w:r>
      <w:r>
        <w:t xml:space="preserve"> році в порівнянні з попереднім темп приросту капітальних видатків становив 23</w:t>
      </w:r>
      <w:r w:rsidR="00DD5148">
        <w:t>0,6%, у 201</w:t>
      </w:r>
      <w:r w:rsidR="00DD5148">
        <w:rPr>
          <w:lang w:val="uk-UA"/>
        </w:rPr>
        <w:t>8</w:t>
      </w:r>
      <w:r w:rsidR="00DD5148">
        <w:t xml:space="preserve"> році при порівнянні з 201</w:t>
      </w:r>
      <w:r w:rsidR="00DD5148">
        <w:rPr>
          <w:lang w:val="uk-UA"/>
        </w:rPr>
        <w:t>9</w:t>
      </w:r>
      <w:r>
        <w:t xml:space="preserve"> роком - 163,6%. Відбулося і збільшення частки капітальних видатків в складі ви</w:t>
      </w:r>
      <w:r w:rsidR="00DD5148">
        <w:t>датків місцевих бюджетів: у 201</w:t>
      </w:r>
      <w:r w:rsidR="00DD5148">
        <w:rPr>
          <w:lang w:val="uk-UA"/>
        </w:rPr>
        <w:t>9</w:t>
      </w:r>
      <w:r>
        <w:t xml:space="preserve"> році вона становила 11,5%, тобто майже вдвічі більш</w:t>
      </w:r>
      <w:r w:rsidR="00DD5148">
        <w:t>е, ніж попереднього року, у 201</w:t>
      </w:r>
      <w:r w:rsidR="00DD5148">
        <w:rPr>
          <w:lang w:val="uk-UA"/>
        </w:rPr>
        <w:t>8</w:t>
      </w:r>
      <w:r>
        <w:t xml:space="preserve"> році - 15,0%. Проте, </w:t>
      </w:r>
      <w:r w:rsidR="00DD5148">
        <w:t>у 20</w:t>
      </w:r>
      <w:r w:rsidR="00DD5148">
        <w:rPr>
          <w:lang w:val="uk-UA"/>
        </w:rPr>
        <w:t>21</w:t>
      </w:r>
      <w:r>
        <w:t xml:space="preserve"> році даний показник знизився до 4,9%, а обсяг капітальних видатків до 40 855,3 млн. грн.</w:t>
      </w:r>
    </w:p>
    <w:p w14:paraId="11D468E1" w14:textId="77777777" w:rsidR="00A920C1" w:rsidRDefault="00A920C1" w:rsidP="00553064">
      <w:pPr>
        <w:pStyle w:val="1"/>
        <w:spacing w:line="360" w:lineRule="auto"/>
        <w:ind w:firstLine="567"/>
        <w:jc w:val="both"/>
      </w:pPr>
      <w:r>
        <w:t>Окремої уваги заслуговує питання структури капітальних видатків місцевих бюджетів та її зміни впродовж аналізованого періоду, зокрема, в</w:t>
      </w:r>
    </w:p>
    <w:p w14:paraId="1CC8311E" w14:textId="77777777" w:rsidR="00A920C1" w:rsidRPr="00255BC9" w:rsidRDefault="00A920C1" w:rsidP="00553064">
      <w:pPr>
        <w:pStyle w:val="1"/>
        <w:spacing w:line="360" w:lineRule="auto"/>
        <w:ind w:firstLine="0"/>
        <w:rPr>
          <w:lang w:val="uk-UA" w:eastAsia="ru-RU" w:bidi="ru-RU"/>
        </w:rPr>
      </w:pPr>
      <w:r>
        <w:t xml:space="preserve">результаті </w:t>
      </w:r>
      <w:r>
        <w:rPr>
          <w:lang w:eastAsia="ru-RU" w:bidi="ru-RU"/>
        </w:rPr>
        <w:t xml:space="preserve">введення в </w:t>
      </w:r>
      <w:r>
        <w:t xml:space="preserve">дію </w:t>
      </w:r>
      <w:r>
        <w:rPr>
          <w:lang w:eastAsia="ru-RU" w:bidi="ru-RU"/>
        </w:rPr>
        <w:t xml:space="preserve">реформи </w:t>
      </w:r>
      <w:r>
        <w:t xml:space="preserve">місцевого </w:t>
      </w:r>
      <w:r>
        <w:rPr>
          <w:lang w:eastAsia="ru-RU" w:bidi="ru-RU"/>
        </w:rPr>
        <w:t>самов</w:t>
      </w:r>
      <w:r w:rsidR="00255BC9">
        <w:rPr>
          <w:lang w:eastAsia="ru-RU" w:bidi="ru-RU"/>
        </w:rPr>
        <w:t>рядування</w:t>
      </w:r>
      <w:r w:rsidR="00255BC9">
        <w:rPr>
          <w:lang w:val="uk-UA" w:eastAsia="ru-RU" w:bidi="ru-RU"/>
        </w:rPr>
        <w:t>.</w:t>
      </w:r>
    </w:p>
    <w:p w14:paraId="47111A46" w14:textId="77777777" w:rsidR="00255BC9" w:rsidRDefault="00255BC9" w:rsidP="00553064">
      <w:pPr>
        <w:pStyle w:val="1"/>
        <w:spacing w:line="360" w:lineRule="auto"/>
        <w:ind w:firstLine="0"/>
        <w:rPr>
          <w:lang w:val="uk-UA" w:eastAsia="ru-RU" w:bidi="ru-RU"/>
        </w:rPr>
      </w:pPr>
    </w:p>
    <w:p w14:paraId="7629C91E" w14:textId="77777777" w:rsidR="00255BC9" w:rsidRDefault="00255BC9" w:rsidP="00553064">
      <w:pPr>
        <w:pStyle w:val="1"/>
        <w:spacing w:line="360" w:lineRule="auto"/>
        <w:ind w:firstLine="0"/>
        <w:rPr>
          <w:lang w:val="uk-UA" w:eastAsia="ru-RU" w:bidi="ru-RU"/>
        </w:rPr>
      </w:pPr>
    </w:p>
    <w:p w14:paraId="3C156DFF" w14:textId="77777777" w:rsidR="00255BC9" w:rsidRPr="00255BC9" w:rsidRDefault="00255BC9" w:rsidP="00553064">
      <w:pPr>
        <w:pStyle w:val="1"/>
        <w:spacing w:line="360" w:lineRule="auto"/>
        <w:ind w:firstLine="0"/>
        <w:rPr>
          <w:lang w:val="uk-UA"/>
        </w:rPr>
      </w:pPr>
    </w:p>
    <w:p w14:paraId="1D29B145" w14:textId="77777777" w:rsidR="007722FF" w:rsidRDefault="00DD5148" w:rsidP="007722FF">
      <w:pPr>
        <w:pStyle w:val="1"/>
        <w:ind w:firstLine="0"/>
        <w:jc w:val="right"/>
      </w:pPr>
      <w:r>
        <w:rPr>
          <w:lang w:eastAsia="ru-RU" w:bidi="ru-RU"/>
        </w:rPr>
        <w:t xml:space="preserve">Таблиця </w:t>
      </w:r>
      <w:r>
        <w:rPr>
          <w:lang w:val="uk-UA" w:eastAsia="ru-RU" w:bidi="ru-RU"/>
        </w:rPr>
        <w:t>2</w:t>
      </w:r>
      <w:r w:rsidR="007722FF">
        <w:rPr>
          <w:lang w:eastAsia="ru-RU" w:bidi="ru-RU"/>
        </w:rPr>
        <w:t>.3</w:t>
      </w:r>
    </w:p>
    <w:p w14:paraId="6382718A" w14:textId="77777777" w:rsidR="007722FF" w:rsidRDefault="007722FF" w:rsidP="007722FF">
      <w:pPr>
        <w:pStyle w:val="1"/>
        <w:ind w:firstLine="567"/>
      </w:pPr>
      <w:r>
        <w:t xml:space="preserve">Динаміка капітальних видатків місцевих бюджетів </w:t>
      </w:r>
      <w:r w:rsidR="00DD5148">
        <w:rPr>
          <w:lang w:eastAsia="ru-RU" w:bidi="ru-RU"/>
        </w:rPr>
        <w:t>у 201</w:t>
      </w:r>
      <w:r w:rsidR="00DD5148">
        <w:rPr>
          <w:lang w:val="uk-UA" w:eastAsia="ru-RU" w:bidi="ru-RU"/>
        </w:rPr>
        <w:t>6</w:t>
      </w:r>
      <w:r w:rsidR="00DD5148">
        <w:rPr>
          <w:lang w:eastAsia="ru-RU" w:bidi="ru-RU"/>
        </w:rPr>
        <w:t>-20</w:t>
      </w:r>
      <w:r w:rsidR="00DD5148">
        <w:rPr>
          <w:lang w:val="uk-UA" w:eastAsia="ru-RU" w:bidi="ru-RU"/>
        </w:rPr>
        <w:t>21</w:t>
      </w:r>
      <w:r>
        <w:rPr>
          <w:lang w:eastAsia="ru-RU" w:bidi="ru-RU"/>
        </w:rPr>
        <w:t xml:space="preserve"> рр.</w:t>
      </w:r>
      <w:r w:rsidRPr="007722FF">
        <w:rPr>
          <w:lang w:eastAsia="ru-RU" w:bidi="ru-RU"/>
        </w:rPr>
        <w:t xml:space="preserve"> </w:t>
      </w:r>
      <w:r>
        <w:rPr>
          <w:lang w:eastAsia="ru-RU" w:bidi="ru-RU"/>
        </w:rPr>
        <w:t>(млн. грн.)</w:t>
      </w:r>
    </w:p>
    <w:tbl>
      <w:tblPr>
        <w:tblW w:w="9508" w:type="dxa"/>
        <w:tblLayout w:type="fixed"/>
        <w:tblCellMar>
          <w:left w:w="10" w:type="dxa"/>
          <w:right w:w="10" w:type="dxa"/>
        </w:tblCellMar>
        <w:tblLook w:val="04A0" w:firstRow="1" w:lastRow="0" w:firstColumn="1" w:lastColumn="0" w:noHBand="0" w:noVBand="1"/>
      </w:tblPr>
      <w:tblGrid>
        <w:gridCol w:w="1003"/>
        <w:gridCol w:w="1008"/>
        <w:gridCol w:w="1003"/>
        <w:gridCol w:w="1003"/>
        <w:gridCol w:w="1008"/>
        <w:gridCol w:w="1003"/>
        <w:gridCol w:w="3480"/>
      </w:tblGrid>
      <w:tr w:rsidR="007722FF" w14:paraId="471F96B0" w14:textId="77777777" w:rsidTr="007722FF">
        <w:trPr>
          <w:trHeight w:hRule="exact" w:val="840"/>
        </w:trPr>
        <w:tc>
          <w:tcPr>
            <w:tcW w:w="1003" w:type="dxa"/>
            <w:tcBorders>
              <w:top w:val="single" w:sz="4" w:space="0" w:color="auto"/>
              <w:left w:val="single" w:sz="4" w:space="0" w:color="auto"/>
            </w:tcBorders>
            <w:shd w:val="clear" w:color="auto" w:fill="948B54"/>
            <w:vAlign w:val="bottom"/>
          </w:tcPr>
          <w:p w14:paraId="1E4AB44B" w14:textId="77777777" w:rsidR="007722FF" w:rsidRPr="00DD5148" w:rsidRDefault="007722FF" w:rsidP="007722FF">
            <w:pPr>
              <w:pStyle w:val="ad"/>
              <w:spacing w:line="240" w:lineRule="auto"/>
              <w:ind w:firstLine="260"/>
              <w:rPr>
                <w:sz w:val="18"/>
                <w:szCs w:val="18"/>
                <w:lang w:val="uk-UA"/>
              </w:rPr>
            </w:pPr>
            <w:r>
              <w:rPr>
                <w:b/>
                <w:bCs/>
                <w:sz w:val="18"/>
                <w:szCs w:val="18"/>
              </w:rPr>
              <w:t>201</w:t>
            </w:r>
            <w:r w:rsidR="00DD5148">
              <w:rPr>
                <w:b/>
                <w:bCs/>
                <w:sz w:val="18"/>
                <w:szCs w:val="18"/>
                <w:lang w:val="uk-UA"/>
              </w:rPr>
              <w:t>6</w:t>
            </w:r>
          </w:p>
        </w:tc>
        <w:tc>
          <w:tcPr>
            <w:tcW w:w="1008" w:type="dxa"/>
            <w:tcBorders>
              <w:top w:val="single" w:sz="4" w:space="0" w:color="auto"/>
              <w:left w:val="single" w:sz="4" w:space="0" w:color="auto"/>
            </w:tcBorders>
            <w:shd w:val="clear" w:color="auto" w:fill="948B54"/>
            <w:vAlign w:val="bottom"/>
          </w:tcPr>
          <w:p w14:paraId="32F37012" w14:textId="77777777" w:rsidR="007722FF" w:rsidRPr="00DD5148" w:rsidRDefault="007722FF" w:rsidP="007722FF">
            <w:pPr>
              <w:pStyle w:val="ad"/>
              <w:spacing w:line="240" w:lineRule="auto"/>
              <w:ind w:firstLine="260"/>
              <w:rPr>
                <w:sz w:val="18"/>
                <w:szCs w:val="18"/>
                <w:lang w:val="uk-UA"/>
              </w:rPr>
            </w:pPr>
            <w:r>
              <w:rPr>
                <w:b/>
                <w:bCs/>
                <w:sz w:val="18"/>
                <w:szCs w:val="18"/>
              </w:rPr>
              <w:t>201</w:t>
            </w:r>
            <w:r w:rsidR="00DD5148">
              <w:rPr>
                <w:b/>
                <w:bCs/>
                <w:sz w:val="18"/>
                <w:szCs w:val="18"/>
                <w:lang w:val="uk-UA"/>
              </w:rPr>
              <w:t>7</w:t>
            </w:r>
          </w:p>
        </w:tc>
        <w:tc>
          <w:tcPr>
            <w:tcW w:w="1003" w:type="dxa"/>
            <w:tcBorders>
              <w:top w:val="single" w:sz="4" w:space="0" w:color="auto"/>
              <w:left w:val="single" w:sz="4" w:space="0" w:color="auto"/>
            </w:tcBorders>
            <w:shd w:val="clear" w:color="auto" w:fill="948B54"/>
            <w:vAlign w:val="bottom"/>
          </w:tcPr>
          <w:p w14:paraId="401F3FAD" w14:textId="77777777" w:rsidR="007722FF" w:rsidRPr="00DD5148" w:rsidRDefault="007722FF" w:rsidP="007722FF">
            <w:pPr>
              <w:pStyle w:val="ad"/>
              <w:spacing w:line="240" w:lineRule="auto"/>
              <w:ind w:firstLine="0"/>
              <w:jc w:val="center"/>
              <w:rPr>
                <w:sz w:val="18"/>
                <w:szCs w:val="18"/>
                <w:lang w:val="uk-UA"/>
              </w:rPr>
            </w:pPr>
            <w:r>
              <w:rPr>
                <w:b/>
                <w:bCs/>
                <w:sz w:val="18"/>
                <w:szCs w:val="18"/>
              </w:rPr>
              <w:t>201</w:t>
            </w:r>
            <w:r w:rsidR="00DD5148">
              <w:rPr>
                <w:b/>
                <w:bCs/>
                <w:sz w:val="18"/>
                <w:szCs w:val="18"/>
                <w:lang w:val="uk-UA"/>
              </w:rPr>
              <w:t>8</w:t>
            </w:r>
          </w:p>
        </w:tc>
        <w:tc>
          <w:tcPr>
            <w:tcW w:w="1003" w:type="dxa"/>
            <w:tcBorders>
              <w:top w:val="single" w:sz="4" w:space="0" w:color="auto"/>
              <w:left w:val="single" w:sz="4" w:space="0" w:color="auto"/>
            </w:tcBorders>
            <w:shd w:val="clear" w:color="auto" w:fill="948B54"/>
            <w:vAlign w:val="bottom"/>
          </w:tcPr>
          <w:p w14:paraId="09DAA139" w14:textId="77777777" w:rsidR="007722FF" w:rsidRPr="00DD5148" w:rsidRDefault="007722FF" w:rsidP="007722FF">
            <w:pPr>
              <w:pStyle w:val="ad"/>
              <w:spacing w:line="240" w:lineRule="auto"/>
              <w:ind w:firstLine="260"/>
              <w:rPr>
                <w:sz w:val="18"/>
                <w:szCs w:val="18"/>
                <w:lang w:val="uk-UA"/>
              </w:rPr>
            </w:pPr>
            <w:r>
              <w:rPr>
                <w:b/>
                <w:bCs/>
                <w:sz w:val="18"/>
                <w:szCs w:val="18"/>
              </w:rPr>
              <w:t>201</w:t>
            </w:r>
            <w:r w:rsidR="00DD5148">
              <w:rPr>
                <w:b/>
                <w:bCs/>
                <w:sz w:val="18"/>
                <w:szCs w:val="18"/>
                <w:lang w:val="uk-UA"/>
              </w:rPr>
              <w:t>9</w:t>
            </w:r>
          </w:p>
        </w:tc>
        <w:tc>
          <w:tcPr>
            <w:tcW w:w="1008" w:type="dxa"/>
            <w:tcBorders>
              <w:top w:val="single" w:sz="4" w:space="0" w:color="auto"/>
              <w:left w:val="single" w:sz="4" w:space="0" w:color="auto"/>
            </w:tcBorders>
            <w:shd w:val="clear" w:color="auto" w:fill="948B54"/>
            <w:vAlign w:val="bottom"/>
          </w:tcPr>
          <w:p w14:paraId="2367C53A" w14:textId="77777777" w:rsidR="007722FF" w:rsidRPr="00DD5148" w:rsidRDefault="007722FF" w:rsidP="007722FF">
            <w:pPr>
              <w:pStyle w:val="ad"/>
              <w:spacing w:line="240" w:lineRule="auto"/>
              <w:ind w:firstLine="0"/>
              <w:jc w:val="center"/>
              <w:rPr>
                <w:sz w:val="18"/>
                <w:szCs w:val="18"/>
                <w:lang w:val="uk-UA"/>
              </w:rPr>
            </w:pPr>
            <w:r>
              <w:rPr>
                <w:b/>
                <w:bCs/>
                <w:sz w:val="18"/>
                <w:szCs w:val="18"/>
              </w:rPr>
              <w:t>20</w:t>
            </w:r>
            <w:r w:rsidR="00DD5148">
              <w:rPr>
                <w:b/>
                <w:bCs/>
                <w:sz w:val="18"/>
                <w:szCs w:val="18"/>
                <w:lang w:val="uk-UA"/>
              </w:rPr>
              <w:t>20</w:t>
            </w:r>
          </w:p>
        </w:tc>
        <w:tc>
          <w:tcPr>
            <w:tcW w:w="1003" w:type="dxa"/>
            <w:tcBorders>
              <w:top w:val="single" w:sz="4" w:space="0" w:color="auto"/>
              <w:left w:val="single" w:sz="4" w:space="0" w:color="auto"/>
            </w:tcBorders>
            <w:shd w:val="clear" w:color="auto" w:fill="948B54"/>
            <w:vAlign w:val="bottom"/>
          </w:tcPr>
          <w:p w14:paraId="5F05FA6A" w14:textId="77777777" w:rsidR="007722FF" w:rsidRPr="00DD5148" w:rsidRDefault="007722FF" w:rsidP="007722FF">
            <w:pPr>
              <w:pStyle w:val="ad"/>
              <w:spacing w:line="240" w:lineRule="auto"/>
              <w:ind w:firstLine="0"/>
              <w:jc w:val="center"/>
              <w:rPr>
                <w:sz w:val="18"/>
                <w:szCs w:val="18"/>
                <w:lang w:val="uk-UA"/>
              </w:rPr>
            </w:pPr>
            <w:r>
              <w:rPr>
                <w:b/>
                <w:bCs/>
                <w:sz w:val="18"/>
                <w:szCs w:val="18"/>
              </w:rPr>
              <w:t>20</w:t>
            </w:r>
            <w:r w:rsidR="00DD5148">
              <w:rPr>
                <w:b/>
                <w:bCs/>
                <w:sz w:val="18"/>
                <w:szCs w:val="18"/>
                <w:lang w:val="uk-UA"/>
              </w:rPr>
              <w:t>21</w:t>
            </w:r>
          </w:p>
        </w:tc>
        <w:tc>
          <w:tcPr>
            <w:tcW w:w="3480" w:type="dxa"/>
            <w:tcBorders>
              <w:top w:val="single" w:sz="4" w:space="0" w:color="auto"/>
              <w:left w:val="single" w:sz="4" w:space="0" w:color="auto"/>
              <w:right w:val="single" w:sz="4" w:space="0" w:color="auto"/>
            </w:tcBorders>
            <w:shd w:val="clear" w:color="auto" w:fill="948B54"/>
            <w:vAlign w:val="bottom"/>
          </w:tcPr>
          <w:p w14:paraId="0364A521" w14:textId="77777777" w:rsidR="007722FF" w:rsidRDefault="007722FF" w:rsidP="007722FF">
            <w:pPr>
              <w:pStyle w:val="ad"/>
              <w:spacing w:line="240" w:lineRule="auto"/>
              <w:ind w:firstLine="0"/>
              <w:jc w:val="center"/>
              <w:rPr>
                <w:sz w:val="18"/>
                <w:szCs w:val="18"/>
              </w:rPr>
            </w:pPr>
            <w:r>
              <w:rPr>
                <w:b/>
                <w:bCs/>
                <w:i/>
                <w:iCs/>
                <w:sz w:val="18"/>
                <w:szCs w:val="18"/>
              </w:rPr>
              <w:t>Темп приросту 2017р. до 2012р., %</w:t>
            </w:r>
          </w:p>
        </w:tc>
      </w:tr>
      <w:tr w:rsidR="007722FF" w14:paraId="51527EA8" w14:textId="77777777" w:rsidTr="007722FF">
        <w:trPr>
          <w:trHeight w:hRule="exact" w:val="408"/>
        </w:trPr>
        <w:tc>
          <w:tcPr>
            <w:tcW w:w="1003" w:type="dxa"/>
            <w:tcBorders>
              <w:top w:val="single" w:sz="4" w:space="0" w:color="auto"/>
              <w:left w:val="single" w:sz="4" w:space="0" w:color="auto"/>
            </w:tcBorders>
            <w:shd w:val="clear" w:color="auto" w:fill="C4BC97"/>
            <w:vAlign w:val="bottom"/>
          </w:tcPr>
          <w:p w14:paraId="21E4C484" w14:textId="77777777" w:rsidR="007722FF" w:rsidRDefault="007722FF" w:rsidP="007722FF">
            <w:pPr>
              <w:pStyle w:val="ad"/>
              <w:spacing w:line="240" w:lineRule="auto"/>
              <w:ind w:firstLine="440"/>
              <w:rPr>
                <w:sz w:val="18"/>
                <w:szCs w:val="18"/>
              </w:rPr>
            </w:pPr>
            <w:r>
              <w:rPr>
                <w:sz w:val="18"/>
                <w:szCs w:val="18"/>
              </w:rPr>
              <w:lastRenderedPageBreak/>
              <w:t>2</w:t>
            </w:r>
          </w:p>
        </w:tc>
        <w:tc>
          <w:tcPr>
            <w:tcW w:w="1008" w:type="dxa"/>
            <w:tcBorders>
              <w:top w:val="single" w:sz="4" w:space="0" w:color="auto"/>
              <w:left w:val="single" w:sz="4" w:space="0" w:color="auto"/>
            </w:tcBorders>
            <w:shd w:val="clear" w:color="auto" w:fill="C4BC97"/>
            <w:vAlign w:val="bottom"/>
          </w:tcPr>
          <w:p w14:paraId="6053C8FA" w14:textId="77777777" w:rsidR="007722FF" w:rsidRDefault="007722FF" w:rsidP="007722FF">
            <w:pPr>
              <w:pStyle w:val="ad"/>
              <w:spacing w:line="240" w:lineRule="auto"/>
              <w:ind w:firstLine="460"/>
              <w:rPr>
                <w:sz w:val="18"/>
                <w:szCs w:val="18"/>
              </w:rPr>
            </w:pPr>
            <w:r>
              <w:rPr>
                <w:sz w:val="18"/>
                <w:szCs w:val="18"/>
              </w:rPr>
              <w:t>3</w:t>
            </w:r>
          </w:p>
        </w:tc>
        <w:tc>
          <w:tcPr>
            <w:tcW w:w="1003" w:type="dxa"/>
            <w:tcBorders>
              <w:top w:val="single" w:sz="4" w:space="0" w:color="auto"/>
              <w:left w:val="single" w:sz="4" w:space="0" w:color="auto"/>
            </w:tcBorders>
            <w:shd w:val="clear" w:color="auto" w:fill="C4BC97"/>
            <w:vAlign w:val="bottom"/>
          </w:tcPr>
          <w:p w14:paraId="09521489" w14:textId="77777777" w:rsidR="007722FF" w:rsidRDefault="007722FF" w:rsidP="007722FF">
            <w:pPr>
              <w:pStyle w:val="ad"/>
              <w:spacing w:line="240" w:lineRule="auto"/>
              <w:ind w:firstLine="440"/>
              <w:rPr>
                <w:sz w:val="18"/>
                <w:szCs w:val="18"/>
              </w:rPr>
            </w:pPr>
            <w:r>
              <w:rPr>
                <w:sz w:val="18"/>
                <w:szCs w:val="18"/>
              </w:rPr>
              <w:t>4</w:t>
            </w:r>
          </w:p>
        </w:tc>
        <w:tc>
          <w:tcPr>
            <w:tcW w:w="1003" w:type="dxa"/>
            <w:tcBorders>
              <w:top w:val="single" w:sz="4" w:space="0" w:color="auto"/>
              <w:left w:val="single" w:sz="4" w:space="0" w:color="auto"/>
            </w:tcBorders>
            <w:shd w:val="clear" w:color="auto" w:fill="C4BC97"/>
            <w:vAlign w:val="bottom"/>
          </w:tcPr>
          <w:p w14:paraId="2CEA8CF5" w14:textId="77777777" w:rsidR="007722FF" w:rsidRDefault="007722FF" w:rsidP="007722FF">
            <w:pPr>
              <w:pStyle w:val="ad"/>
              <w:spacing w:line="240" w:lineRule="auto"/>
              <w:ind w:firstLine="460"/>
              <w:rPr>
                <w:sz w:val="18"/>
                <w:szCs w:val="18"/>
              </w:rPr>
            </w:pPr>
            <w:r>
              <w:rPr>
                <w:sz w:val="18"/>
                <w:szCs w:val="18"/>
              </w:rPr>
              <w:t>5</w:t>
            </w:r>
          </w:p>
        </w:tc>
        <w:tc>
          <w:tcPr>
            <w:tcW w:w="1008" w:type="dxa"/>
            <w:tcBorders>
              <w:top w:val="single" w:sz="4" w:space="0" w:color="auto"/>
              <w:left w:val="single" w:sz="4" w:space="0" w:color="auto"/>
            </w:tcBorders>
            <w:shd w:val="clear" w:color="auto" w:fill="C4BC97"/>
            <w:vAlign w:val="bottom"/>
          </w:tcPr>
          <w:p w14:paraId="3D2E6DE4" w14:textId="77777777" w:rsidR="007722FF" w:rsidRDefault="007722FF" w:rsidP="007722FF">
            <w:pPr>
              <w:pStyle w:val="ad"/>
              <w:spacing w:line="240" w:lineRule="auto"/>
              <w:ind w:firstLine="460"/>
              <w:rPr>
                <w:sz w:val="18"/>
                <w:szCs w:val="18"/>
              </w:rPr>
            </w:pPr>
            <w:r>
              <w:rPr>
                <w:sz w:val="18"/>
                <w:szCs w:val="18"/>
              </w:rPr>
              <w:t>6</w:t>
            </w:r>
          </w:p>
        </w:tc>
        <w:tc>
          <w:tcPr>
            <w:tcW w:w="1003" w:type="dxa"/>
            <w:tcBorders>
              <w:top w:val="single" w:sz="4" w:space="0" w:color="auto"/>
              <w:left w:val="single" w:sz="4" w:space="0" w:color="auto"/>
            </w:tcBorders>
            <w:shd w:val="clear" w:color="auto" w:fill="C4BC97"/>
            <w:vAlign w:val="bottom"/>
          </w:tcPr>
          <w:p w14:paraId="393AAA55" w14:textId="77777777" w:rsidR="007722FF" w:rsidRDefault="007722FF" w:rsidP="007722FF">
            <w:pPr>
              <w:pStyle w:val="ad"/>
              <w:spacing w:line="240" w:lineRule="auto"/>
              <w:ind w:firstLine="0"/>
              <w:jc w:val="center"/>
              <w:rPr>
                <w:sz w:val="18"/>
                <w:szCs w:val="18"/>
              </w:rPr>
            </w:pPr>
            <w:r>
              <w:rPr>
                <w:sz w:val="18"/>
                <w:szCs w:val="18"/>
              </w:rPr>
              <w:t>7</w:t>
            </w:r>
          </w:p>
        </w:tc>
        <w:tc>
          <w:tcPr>
            <w:tcW w:w="3480" w:type="dxa"/>
            <w:tcBorders>
              <w:top w:val="single" w:sz="4" w:space="0" w:color="auto"/>
              <w:left w:val="single" w:sz="4" w:space="0" w:color="auto"/>
              <w:right w:val="single" w:sz="4" w:space="0" w:color="auto"/>
            </w:tcBorders>
            <w:shd w:val="clear" w:color="auto" w:fill="948B54"/>
            <w:vAlign w:val="bottom"/>
          </w:tcPr>
          <w:p w14:paraId="1AA544F1" w14:textId="77777777" w:rsidR="007722FF" w:rsidRDefault="007722FF" w:rsidP="007722FF">
            <w:pPr>
              <w:pStyle w:val="ad"/>
              <w:spacing w:line="240" w:lineRule="auto"/>
              <w:ind w:firstLine="440"/>
              <w:jc w:val="both"/>
              <w:rPr>
                <w:sz w:val="18"/>
                <w:szCs w:val="18"/>
              </w:rPr>
            </w:pPr>
            <w:r>
              <w:rPr>
                <w:i/>
                <w:iCs/>
                <w:sz w:val="18"/>
                <w:szCs w:val="18"/>
              </w:rPr>
              <w:t>7</w:t>
            </w:r>
          </w:p>
        </w:tc>
      </w:tr>
      <w:tr w:rsidR="007722FF" w14:paraId="34C50916" w14:textId="77777777" w:rsidTr="007722FF">
        <w:trPr>
          <w:trHeight w:hRule="exact" w:val="427"/>
        </w:trPr>
        <w:tc>
          <w:tcPr>
            <w:tcW w:w="1003" w:type="dxa"/>
            <w:tcBorders>
              <w:top w:val="single" w:sz="4" w:space="0" w:color="auto"/>
              <w:left w:val="single" w:sz="4" w:space="0" w:color="auto"/>
            </w:tcBorders>
            <w:shd w:val="clear" w:color="auto" w:fill="C4BC97"/>
            <w:vAlign w:val="bottom"/>
          </w:tcPr>
          <w:p w14:paraId="64D1DA35" w14:textId="77777777" w:rsidR="007722FF" w:rsidRDefault="007722FF" w:rsidP="007722FF">
            <w:pPr>
              <w:pStyle w:val="ad"/>
              <w:spacing w:line="240" w:lineRule="auto"/>
              <w:ind w:firstLine="160"/>
              <w:rPr>
                <w:sz w:val="18"/>
                <w:szCs w:val="18"/>
              </w:rPr>
            </w:pPr>
            <w:r>
              <w:rPr>
                <w:b/>
                <w:bCs/>
                <w:sz w:val="18"/>
                <w:szCs w:val="18"/>
              </w:rPr>
              <w:t>16 218,80</w:t>
            </w:r>
          </w:p>
        </w:tc>
        <w:tc>
          <w:tcPr>
            <w:tcW w:w="1008" w:type="dxa"/>
            <w:tcBorders>
              <w:top w:val="single" w:sz="4" w:space="0" w:color="auto"/>
              <w:left w:val="single" w:sz="4" w:space="0" w:color="auto"/>
            </w:tcBorders>
            <w:shd w:val="clear" w:color="auto" w:fill="C4BC97"/>
            <w:vAlign w:val="bottom"/>
          </w:tcPr>
          <w:p w14:paraId="61AD01A9" w14:textId="77777777" w:rsidR="007722FF" w:rsidRDefault="007722FF" w:rsidP="007722FF">
            <w:pPr>
              <w:pStyle w:val="ad"/>
              <w:spacing w:line="240" w:lineRule="auto"/>
              <w:ind w:firstLine="160"/>
              <w:jc w:val="both"/>
              <w:rPr>
                <w:sz w:val="18"/>
                <w:szCs w:val="18"/>
              </w:rPr>
            </w:pPr>
            <w:r>
              <w:rPr>
                <w:b/>
                <w:bCs/>
                <w:sz w:val="18"/>
                <w:szCs w:val="18"/>
              </w:rPr>
              <w:t>14 256,50</w:t>
            </w:r>
          </w:p>
        </w:tc>
        <w:tc>
          <w:tcPr>
            <w:tcW w:w="1003" w:type="dxa"/>
            <w:tcBorders>
              <w:top w:val="single" w:sz="4" w:space="0" w:color="auto"/>
              <w:left w:val="single" w:sz="4" w:space="0" w:color="auto"/>
            </w:tcBorders>
            <w:shd w:val="clear" w:color="auto" w:fill="C4BC97"/>
            <w:vAlign w:val="bottom"/>
          </w:tcPr>
          <w:p w14:paraId="4525AB80" w14:textId="77777777" w:rsidR="007722FF" w:rsidRDefault="007722FF" w:rsidP="007722FF">
            <w:pPr>
              <w:pStyle w:val="ad"/>
              <w:spacing w:line="240" w:lineRule="auto"/>
              <w:ind w:firstLine="160"/>
              <w:rPr>
                <w:sz w:val="18"/>
                <w:szCs w:val="18"/>
              </w:rPr>
            </w:pPr>
            <w:r>
              <w:rPr>
                <w:b/>
                <w:bCs/>
                <w:sz w:val="18"/>
                <w:szCs w:val="18"/>
              </w:rPr>
              <w:t>14 173,80</w:t>
            </w:r>
          </w:p>
        </w:tc>
        <w:tc>
          <w:tcPr>
            <w:tcW w:w="1003" w:type="dxa"/>
            <w:tcBorders>
              <w:top w:val="single" w:sz="4" w:space="0" w:color="auto"/>
              <w:left w:val="single" w:sz="4" w:space="0" w:color="auto"/>
            </w:tcBorders>
            <w:shd w:val="clear" w:color="auto" w:fill="C4BC97"/>
            <w:vAlign w:val="bottom"/>
          </w:tcPr>
          <w:p w14:paraId="5131380C" w14:textId="77777777" w:rsidR="007722FF" w:rsidRDefault="007722FF" w:rsidP="007722FF">
            <w:pPr>
              <w:pStyle w:val="ad"/>
              <w:spacing w:line="240" w:lineRule="auto"/>
              <w:ind w:firstLine="0"/>
              <w:jc w:val="right"/>
              <w:rPr>
                <w:sz w:val="18"/>
                <w:szCs w:val="18"/>
              </w:rPr>
            </w:pPr>
            <w:r>
              <w:rPr>
                <w:b/>
                <w:bCs/>
                <w:sz w:val="18"/>
                <w:szCs w:val="18"/>
              </w:rPr>
              <w:t>32 810,60</w:t>
            </w:r>
          </w:p>
        </w:tc>
        <w:tc>
          <w:tcPr>
            <w:tcW w:w="1008" w:type="dxa"/>
            <w:tcBorders>
              <w:top w:val="single" w:sz="4" w:space="0" w:color="auto"/>
              <w:left w:val="single" w:sz="4" w:space="0" w:color="auto"/>
            </w:tcBorders>
            <w:shd w:val="clear" w:color="auto" w:fill="C4BC97"/>
            <w:vAlign w:val="bottom"/>
          </w:tcPr>
          <w:p w14:paraId="6840096F" w14:textId="77777777" w:rsidR="007722FF" w:rsidRDefault="007722FF" w:rsidP="007722FF">
            <w:pPr>
              <w:pStyle w:val="ad"/>
              <w:spacing w:line="240" w:lineRule="auto"/>
              <w:ind w:firstLine="160"/>
              <w:jc w:val="both"/>
              <w:rPr>
                <w:sz w:val="18"/>
                <w:szCs w:val="18"/>
              </w:rPr>
            </w:pPr>
            <w:r>
              <w:rPr>
                <w:b/>
                <w:bCs/>
                <w:sz w:val="18"/>
                <w:szCs w:val="18"/>
              </w:rPr>
              <w:t>53 843,90</w:t>
            </w:r>
          </w:p>
        </w:tc>
        <w:tc>
          <w:tcPr>
            <w:tcW w:w="1003" w:type="dxa"/>
            <w:tcBorders>
              <w:top w:val="single" w:sz="4" w:space="0" w:color="auto"/>
              <w:left w:val="single" w:sz="4" w:space="0" w:color="auto"/>
            </w:tcBorders>
            <w:shd w:val="clear" w:color="auto" w:fill="C4BC97"/>
            <w:vAlign w:val="bottom"/>
          </w:tcPr>
          <w:p w14:paraId="7BB6E8CC" w14:textId="77777777" w:rsidR="007722FF" w:rsidRDefault="007722FF" w:rsidP="007722FF">
            <w:pPr>
              <w:pStyle w:val="ad"/>
              <w:spacing w:line="240" w:lineRule="auto"/>
              <w:ind w:firstLine="160"/>
              <w:rPr>
                <w:sz w:val="18"/>
                <w:szCs w:val="18"/>
              </w:rPr>
            </w:pPr>
            <w:r>
              <w:rPr>
                <w:b/>
                <w:bCs/>
                <w:sz w:val="18"/>
                <w:szCs w:val="18"/>
              </w:rPr>
              <w:t>74 341,60</w:t>
            </w:r>
          </w:p>
        </w:tc>
        <w:tc>
          <w:tcPr>
            <w:tcW w:w="3480" w:type="dxa"/>
            <w:tcBorders>
              <w:top w:val="single" w:sz="4" w:space="0" w:color="auto"/>
              <w:left w:val="single" w:sz="4" w:space="0" w:color="auto"/>
              <w:right w:val="single" w:sz="4" w:space="0" w:color="auto"/>
            </w:tcBorders>
            <w:shd w:val="clear" w:color="auto" w:fill="948B54"/>
            <w:vAlign w:val="bottom"/>
          </w:tcPr>
          <w:p w14:paraId="330DD584" w14:textId="77777777" w:rsidR="007722FF" w:rsidRDefault="007722FF" w:rsidP="007722FF">
            <w:pPr>
              <w:pStyle w:val="ad"/>
              <w:spacing w:line="240" w:lineRule="auto"/>
              <w:ind w:firstLine="440"/>
              <w:jc w:val="both"/>
              <w:rPr>
                <w:sz w:val="18"/>
                <w:szCs w:val="18"/>
              </w:rPr>
            </w:pPr>
            <w:r>
              <w:rPr>
                <w:b/>
                <w:bCs/>
                <w:i/>
                <w:iCs/>
                <w:sz w:val="18"/>
                <w:szCs w:val="18"/>
              </w:rPr>
              <w:t>458,4</w:t>
            </w:r>
          </w:p>
        </w:tc>
      </w:tr>
      <w:tr w:rsidR="007722FF" w14:paraId="40E8090B" w14:textId="77777777" w:rsidTr="007722FF">
        <w:trPr>
          <w:trHeight w:hRule="exact" w:val="422"/>
        </w:trPr>
        <w:tc>
          <w:tcPr>
            <w:tcW w:w="1003" w:type="dxa"/>
            <w:tcBorders>
              <w:top w:val="single" w:sz="4" w:space="0" w:color="auto"/>
              <w:left w:val="single" w:sz="4" w:space="0" w:color="auto"/>
            </w:tcBorders>
            <w:shd w:val="clear" w:color="auto" w:fill="E6EED6"/>
            <w:vAlign w:val="bottom"/>
          </w:tcPr>
          <w:p w14:paraId="05FA6C8F" w14:textId="77777777" w:rsidR="007722FF" w:rsidRDefault="007722FF" w:rsidP="007722FF">
            <w:pPr>
              <w:pStyle w:val="ad"/>
              <w:spacing w:line="240" w:lineRule="auto"/>
              <w:ind w:firstLine="160"/>
              <w:rPr>
                <w:sz w:val="18"/>
                <w:szCs w:val="18"/>
              </w:rPr>
            </w:pPr>
            <w:r>
              <w:rPr>
                <w:b/>
                <w:bCs/>
                <w:sz w:val="18"/>
                <w:szCs w:val="18"/>
              </w:rPr>
              <w:t>12 206,40</w:t>
            </w:r>
          </w:p>
        </w:tc>
        <w:tc>
          <w:tcPr>
            <w:tcW w:w="1008" w:type="dxa"/>
            <w:tcBorders>
              <w:top w:val="single" w:sz="4" w:space="0" w:color="auto"/>
              <w:left w:val="single" w:sz="4" w:space="0" w:color="auto"/>
            </w:tcBorders>
            <w:shd w:val="clear" w:color="auto" w:fill="E6EED6"/>
            <w:vAlign w:val="bottom"/>
          </w:tcPr>
          <w:p w14:paraId="73235C13" w14:textId="77777777" w:rsidR="007722FF" w:rsidRDefault="007722FF" w:rsidP="007722FF">
            <w:pPr>
              <w:pStyle w:val="ad"/>
              <w:spacing w:line="240" w:lineRule="auto"/>
              <w:ind w:firstLine="260"/>
              <w:jc w:val="both"/>
              <w:rPr>
                <w:sz w:val="18"/>
                <w:szCs w:val="18"/>
              </w:rPr>
            </w:pPr>
            <w:r>
              <w:rPr>
                <w:b/>
                <w:bCs/>
                <w:sz w:val="18"/>
                <w:szCs w:val="18"/>
              </w:rPr>
              <w:t>9 937,30</w:t>
            </w:r>
          </w:p>
        </w:tc>
        <w:tc>
          <w:tcPr>
            <w:tcW w:w="1003" w:type="dxa"/>
            <w:tcBorders>
              <w:top w:val="single" w:sz="4" w:space="0" w:color="auto"/>
              <w:left w:val="single" w:sz="4" w:space="0" w:color="auto"/>
            </w:tcBorders>
            <w:shd w:val="clear" w:color="auto" w:fill="E6EED6"/>
            <w:vAlign w:val="bottom"/>
          </w:tcPr>
          <w:p w14:paraId="2E903299" w14:textId="77777777" w:rsidR="007722FF" w:rsidRDefault="007722FF" w:rsidP="007722FF">
            <w:pPr>
              <w:pStyle w:val="ad"/>
              <w:spacing w:line="240" w:lineRule="auto"/>
              <w:ind w:firstLine="160"/>
              <w:rPr>
                <w:sz w:val="18"/>
                <w:szCs w:val="18"/>
              </w:rPr>
            </w:pPr>
            <w:r>
              <w:rPr>
                <w:b/>
                <w:bCs/>
                <w:sz w:val="18"/>
                <w:szCs w:val="18"/>
              </w:rPr>
              <w:t>10 046,40</w:t>
            </w:r>
          </w:p>
        </w:tc>
        <w:tc>
          <w:tcPr>
            <w:tcW w:w="1003" w:type="dxa"/>
            <w:tcBorders>
              <w:top w:val="single" w:sz="4" w:space="0" w:color="auto"/>
              <w:left w:val="single" w:sz="4" w:space="0" w:color="auto"/>
            </w:tcBorders>
            <w:shd w:val="clear" w:color="auto" w:fill="E6EED6"/>
            <w:vAlign w:val="bottom"/>
          </w:tcPr>
          <w:p w14:paraId="6CF1EE6C" w14:textId="77777777" w:rsidR="007722FF" w:rsidRDefault="007722FF" w:rsidP="007722FF">
            <w:pPr>
              <w:pStyle w:val="ad"/>
              <w:spacing w:line="240" w:lineRule="auto"/>
              <w:ind w:firstLine="0"/>
              <w:jc w:val="right"/>
              <w:rPr>
                <w:sz w:val="18"/>
                <w:szCs w:val="18"/>
              </w:rPr>
            </w:pPr>
            <w:r>
              <w:rPr>
                <w:b/>
                <w:bCs/>
                <w:sz w:val="18"/>
                <w:szCs w:val="18"/>
              </w:rPr>
              <w:t>24 138,30</w:t>
            </w:r>
          </w:p>
        </w:tc>
        <w:tc>
          <w:tcPr>
            <w:tcW w:w="1008" w:type="dxa"/>
            <w:tcBorders>
              <w:top w:val="single" w:sz="4" w:space="0" w:color="auto"/>
              <w:left w:val="single" w:sz="4" w:space="0" w:color="auto"/>
            </w:tcBorders>
            <w:shd w:val="clear" w:color="auto" w:fill="E6EED6"/>
            <w:vAlign w:val="bottom"/>
          </w:tcPr>
          <w:p w14:paraId="18549315" w14:textId="77777777" w:rsidR="007722FF" w:rsidRDefault="007722FF" w:rsidP="007722FF">
            <w:pPr>
              <w:pStyle w:val="ad"/>
              <w:spacing w:line="240" w:lineRule="auto"/>
              <w:ind w:firstLine="160"/>
              <w:jc w:val="both"/>
              <w:rPr>
                <w:sz w:val="18"/>
                <w:szCs w:val="18"/>
              </w:rPr>
            </w:pPr>
            <w:r>
              <w:rPr>
                <w:b/>
                <w:bCs/>
                <w:sz w:val="18"/>
                <w:szCs w:val="18"/>
              </w:rPr>
              <w:t>36 913,80</w:t>
            </w:r>
          </w:p>
        </w:tc>
        <w:tc>
          <w:tcPr>
            <w:tcW w:w="1003" w:type="dxa"/>
            <w:tcBorders>
              <w:top w:val="single" w:sz="4" w:space="0" w:color="auto"/>
              <w:left w:val="single" w:sz="4" w:space="0" w:color="auto"/>
            </w:tcBorders>
            <w:shd w:val="clear" w:color="auto" w:fill="E6EED6"/>
            <w:vAlign w:val="bottom"/>
          </w:tcPr>
          <w:p w14:paraId="7F9B4B31" w14:textId="77777777" w:rsidR="007722FF" w:rsidRDefault="007722FF" w:rsidP="007722FF">
            <w:pPr>
              <w:pStyle w:val="ad"/>
              <w:spacing w:line="240" w:lineRule="auto"/>
              <w:ind w:firstLine="160"/>
              <w:rPr>
                <w:sz w:val="18"/>
                <w:szCs w:val="18"/>
              </w:rPr>
            </w:pPr>
            <w:r>
              <w:rPr>
                <w:b/>
                <w:bCs/>
                <w:sz w:val="18"/>
                <w:szCs w:val="18"/>
              </w:rPr>
              <w:t>41 772,60</w:t>
            </w:r>
          </w:p>
        </w:tc>
        <w:tc>
          <w:tcPr>
            <w:tcW w:w="3480" w:type="dxa"/>
            <w:tcBorders>
              <w:top w:val="single" w:sz="4" w:space="0" w:color="auto"/>
              <w:left w:val="single" w:sz="4" w:space="0" w:color="auto"/>
              <w:right w:val="single" w:sz="4" w:space="0" w:color="auto"/>
            </w:tcBorders>
            <w:shd w:val="clear" w:color="auto" w:fill="948B54"/>
            <w:vAlign w:val="bottom"/>
          </w:tcPr>
          <w:p w14:paraId="03A08A58" w14:textId="77777777" w:rsidR="007722FF" w:rsidRDefault="007722FF" w:rsidP="007722FF">
            <w:pPr>
              <w:pStyle w:val="ad"/>
              <w:spacing w:line="240" w:lineRule="auto"/>
              <w:ind w:firstLine="440"/>
              <w:jc w:val="both"/>
              <w:rPr>
                <w:sz w:val="18"/>
                <w:szCs w:val="18"/>
              </w:rPr>
            </w:pPr>
            <w:r>
              <w:rPr>
                <w:b/>
                <w:bCs/>
                <w:i/>
                <w:iCs/>
                <w:sz w:val="18"/>
                <w:szCs w:val="18"/>
              </w:rPr>
              <w:t>342,2</w:t>
            </w:r>
          </w:p>
        </w:tc>
      </w:tr>
      <w:tr w:rsidR="007722FF" w14:paraId="489B776A" w14:textId="77777777" w:rsidTr="007722FF">
        <w:trPr>
          <w:trHeight w:hRule="exact" w:val="629"/>
        </w:trPr>
        <w:tc>
          <w:tcPr>
            <w:tcW w:w="1003" w:type="dxa"/>
            <w:tcBorders>
              <w:top w:val="single" w:sz="4" w:space="0" w:color="auto"/>
              <w:left w:val="single" w:sz="4" w:space="0" w:color="auto"/>
            </w:tcBorders>
            <w:shd w:val="clear" w:color="auto" w:fill="auto"/>
            <w:vAlign w:val="bottom"/>
          </w:tcPr>
          <w:p w14:paraId="20AFB1E1" w14:textId="77777777" w:rsidR="007722FF" w:rsidRDefault="007722FF" w:rsidP="007722FF">
            <w:pPr>
              <w:pStyle w:val="ad"/>
              <w:spacing w:line="240" w:lineRule="auto"/>
              <w:ind w:firstLine="260"/>
              <w:jc w:val="both"/>
              <w:rPr>
                <w:sz w:val="18"/>
                <w:szCs w:val="18"/>
              </w:rPr>
            </w:pPr>
            <w:r>
              <w:rPr>
                <w:sz w:val="18"/>
                <w:szCs w:val="18"/>
              </w:rPr>
              <w:t>3 628,10</w:t>
            </w:r>
          </w:p>
        </w:tc>
        <w:tc>
          <w:tcPr>
            <w:tcW w:w="1008" w:type="dxa"/>
            <w:tcBorders>
              <w:top w:val="single" w:sz="4" w:space="0" w:color="auto"/>
              <w:left w:val="single" w:sz="4" w:space="0" w:color="auto"/>
            </w:tcBorders>
            <w:shd w:val="clear" w:color="auto" w:fill="auto"/>
            <w:vAlign w:val="bottom"/>
          </w:tcPr>
          <w:p w14:paraId="0F47D823" w14:textId="77777777" w:rsidR="007722FF" w:rsidRDefault="007722FF" w:rsidP="007722FF">
            <w:pPr>
              <w:pStyle w:val="ad"/>
              <w:spacing w:line="240" w:lineRule="auto"/>
              <w:ind w:firstLine="260"/>
              <w:jc w:val="both"/>
              <w:rPr>
                <w:sz w:val="18"/>
                <w:szCs w:val="18"/>
              </w:rPr>
            </w:pPr>
            <w:r>
              <w:rPr>
                <w:sz w:val="18"/>
                <w:szCs w:val="18"/>
              </w:rPr>
              <w:t>2 733,60</w:t>
            </w:r>
          </w:p>
        </w:tc>
        <w:tc>
          <w:tcPr>
            <w:tcW w:w="1003" w:type="dxa"/>
            <w:tcBorders>
              <w:top w:val="single" w:sz="4" w:space="0" w:color="auto"/>
              <w:left w:val="single" w:sz="4" w:space="0" w:color="auto"/>
            </w:tcBorders>
            <w:shd w:val="clear" w:color="auto" w:fill="auto"/>
            <w:vAlign w:val="bottom"/>
          </w:tcPr>
          <w:p w14:paraId="523B708F" w14:textId="77777777" w:rsidR="007722FF" w:rsidRDefault="007722FF" w:rsidP="007722FF">
            <w:pPr>
              <w:pStyle w:val="ad"/>
              <w:spacing w:line="240" w:lineRule="auto"/>
              <w:ind w:firstLine="260"/>
              <w:jc w:val="both"/>
              <w:rPr>
                <w:sz w:val="18"/>
                <w:szCs w:val="18"/>
              </w:rPr>
            </w:pPr>
            <w:r>
              <w:rPr>
                <w:sz w:val="18"/>
                <w:szCs w:val="18"/>
              </w:rPr>
              <w:t>3 089,40</w:t>
            </w:r>
          </w:p>
        </w:tc>
        <w:tc>
          <w:tcPr>
            <w:tcW w:w="1003" w:type="dxa"/>
            <w:tcBorders>
              <w:top w:val="single" w:sz="4" w:space="0" w:color="auto"/>
              <w:left w:val="single" w:sz="4" w:space="0" w:color="auto"/>
            </w:tcBorders>
            <w:shd w:val="clear" w:color="auto" w:fill="auto"/>
            <w:vAlign w:val="bottom"/>
          </w:tcPr>
          <w:p w14:paraId="4D5A007B" w14:textId="77777777" w:rsidR="007722FF" w:rsidRDefault="007722FF" w:rsidP="007722FF">
            <w:pPr>
              <w:pStyle w:val="ad"/>
              <w:spacing w:line="240" w:lineRule="auto"/>
              <w:ind w:firstLine="260"/>
              <w:jc w:val="both"/>
              <w:rPr>
                <w:sz w:val="18"/>
                <w:szCs w:val="18"/>
              </w:rPr>
            </w:pPr>
            <w:r>
              <w:rPr>
                <w:sz w:val="18"/>
                <w:szCs w:val="18"/>
              </w:rPr>
              <w:t>4 188,20</w:t>
            </w:r>
          </w:p>
        </w:tc>
        <w:tc>
          <w:tcPr>
            <w:tcW w:w="1008" w:type="dxa"/>
            <w:tcBorders>
              <w:top w:val="single" w:sz="4" w:space="0" w:color="auto"/>
              <w:left w:val="single" w:sz="4" w:space="0" w:color="auto"/>
            </w:tcBorders>
            <w:shd w:val="clear" w:color="auto" w:fill="auto"/>
            <w:vAlign w:val="bottom"/>
          </w:tcPr>
          <w:p w14:paraId="10D1430E" w14:textId="77777777" w:rsidR="007722FF" w:rsidRDefault="007722FF" w:rsidP="007722FF">
            <w:pPr>
              <w:pStyle w:val="ad"/>
              <w:spacing w:line="240" w:lineRule="auto"/>
              <w:ind w:firstLine="260"/>
              <w:jc w:val="both"/>
              <w:rPr>
                <w:sz w:val="18"/>
                <w:szCs w:val="18"/>
              </w:rPr>
            </w:pPr>
            <w:r>
              <w:rPr>
                <w:sz w:val="18"/>
                <w:szCs w:val="18"/>
              </w:rPr>
              <w:t>9 258,30</w:t>
            </w:r>
          </w:p>
        </w:tc>
        <w:tc>
          <w:tcPr>
            <w:tcW w:w="1003" w:type="dxa"/>
            <w:tcBorders>
              <w:top w:val="single" w:sz="4" w:space="0" w:color="auto"/>
              <w:left w:val="single" w:sz="4" w:space="0" w:color="auto"/>
            </w:tcBorders>
            <w:shd w:val="clear" w:color="auto" w:fill="auto"/>
            <w:vAlign w:val="bottom"/>
          </w:tcPr>
          <w:p w14:paraId="470637CB" w14:textId="77777777" w:rsidR="007722FF" w:rsidRDefault="007722FF" w:rsidP="007722FF">
            <w:pPr>
              <w:pStyle w:val="ad"/>
              <w:spacing w:line="240" w:lineRule="auto"/>
              <w:ind w:firstLine="260"/>
              <w:jc w:val="both"/>
              <w:rPr>
                <w:sz w:val="18"/>
                <w:szCs w:val="18"/>
              </w:rPr>
            </w:pPr>
            <w:r>
              <w:rPr>
                <w:sz w:val="18"/>
                <w:szCs w:val="18"/>
              </w:rPr>
              <w:t>8 185,90</w:t>
            </w:r>
          </w:p>
        </w:tc>
        <w:tc>
          <w:tcPr>
            <w:tcW w:w="3480" w:type="dxa"/>
            <w:tcBorders>
              <w:top w:val="single" w:sz="4" w:space="0" w:color="auto"/>
              <w:left w:val="single" w:sz="4" w:space="0" w:color="auto"/>
              <w:right w:val="single" w:sz="4" w:space="0" w:color="auto"/>
            </w:tcBorders>
            <w:shd w:val="clear" w:color="auto" w:fill="948B54"/>
            <w:vAlign w:val="bottom"/>
          </w:tcPr>
          <w:p w14:paraId="54973A11" w14:textId="77777777" w:rsidR="007722FF" w:rsidRDefault="007722FF" w:rsidP="007722FF">
            <w:pPr>
              <w:pStyle w:val="ad"/>
              <w:spacing w:line="240" w:lineRule="auto"/>
              <w:ind w:firstLine="440"/>
              <w:jc w:val="both"/>
              <w:rPr>
                <w:sz w:val="18"/>
                <w:szCs w:val="18"/>
              </w:rPr>
            </w:pPr>
            <w:r>
              <w:rPr>
                <w:b/>
                <w:bCs/>
                <w:i/>
                <w:iCs/>
                <w:sz w:val="18"/>
                <w:szCs w:val="18"/>
              </w:rPr>
              <w:t>225,6</w:t>
            </w:r>
          </w:p>
        </w:tc>
      </w:tr>
      <w:tr w:rsidR="007722FF" w14:paraId="3791708F" w14:textId="77777777" w:rsidTr="007722FF">
        <w:trPr>
          <w:trHeight w:hRule="exact" w:val="427"/>
        </w:trPr>
        <w:tc>
          <w:tcPr>
            <w:tcW w:w="1003" w:type="dxa"/>
            <w:tcBorders>
              <w:top w:val="single" w:sz="4" w:space="0" w:color="auto"/>
              <w:left w:val="single" w:sz="4" w:space="0" w:color="auto"/>
            </w:tcBorders>
            <w:shd w:val="clear" w:color="auto" w:fill="auto"/>
            <w:vAlign w:val="bottom"/>
          </w:tcPr>
          <w:p w14:paraId="0F41042A" w14:textId="77777777" w:rsidR="007722FF" w:rsidRDefault="007722FF" w:rsidP="007722FF">
            <w:pPr>
              <w:pStyle w:val="ad"/>
              <w:spacing w:line="240" w:lineRule="auto"/>
              <w:ind w:firstLine="260"/>
              <w:jc w:val="both"/>
              <w:rPr>
                <w:sz w:val="18"/>
                <w:szCs w:val="18"/>
              </w:rPr>
            </w:pPr>
            <w:r>
              <w:rPr>
                <w:sz w:val="18"/>
                <w:szCs w:val="18"/>
              </w:rPr>
              <w:t>2 331,40</w:t>
            </w:r>
          </w:p>
        </w:tc>
        <w:tc>
          <w:tcPr>
            <w:tcW w:w="1008" w:type="dxa"/>
            <w:tcBorders>
              <w:top w:val="single" w:sz="4" w:space="0" w:color="auto"/>
              <w:left w:val="single" w:sz="4" w:space="0" w:color="auto"/>
            </w:tcBorders>
            <w:shd w:val="clear" w:color="auto" w:fill="auto"/>
            <w:vAlign w:val="bottom"/>
          </w:tcPr>
          <w:p w14:paraId="4C496CE4" w14:textId="77777777" w:rsidR="007722FF" w:rsidRDefault="007722FF" w:rsidP="007722FF">
            <w:pPr>
              <w:pStyle w:val="ad"/>
              <w:spacing w:line="240" w:lineRule="auto"/>
              <w:ind w:firstLine="260"/>
              <w:jc w:val="both"/>
              <w:rPr>
                <w:sz w:val="18"/>
                <w:szCs w:val="18"/>
              </w:rPr>
            </w:pPr>
            <w:r>
              <w:rPr>
                <w:sz w:val="18"/>
                <w:szCs w:val="18"/>
              </w:rPr>
              <w:t>1 293,30</w:t>
            </w:r>
          </w:p>
        </w:tc>
        <w:tc>
          <w:tcPr>
            <w:tcW w:w="1003" w:type="dxa"/>
            <w:tcBorders>
              <w:top w:val="single" w:sz="4" w:space="0" w:color="auto"/>
              <w:left w:val="single" w:sz="4" w:space="0" w:color="auto"/>
            </w:tcBorders>
            <w:shd w:val="clear" w:color="auto" w:fill="auto"/>
            <w:vAlign w:val="bottom"/>
          </w:tcPr>
          <w:p w14:paraId="37E3320F" w14:textId="77777777" w:rsidR="007722FF" w:rsidRDefault="007722FF" w:rsidP="007722FF">
            <w:pPr>
              <w:pStyle w:val="ad"/>
              <w:spacing w:line="240" w:lineRule="auto"/>
              <w:ind w:firstLine="260"/>
              <w:jc w:val="both"/>
              <w:rPr>
                <w:sz w:val="18"/>
                <w:szCs w:val="18"/>
              </w:rPr>
            </w:pPr>
            <w:r>
              <w:rPr>
                <w:sz w:val="18"/>
                <w:szCs w:val="18"/>
              </w:rPr>
              <w:t>1 172,80</w:t>
            </w:r>
          </w:p>
        </w:tc>
        <w:tc>
          <w:tcPr>
            <w:tcW w:w="1003" w:type="dxa"/>
            <w:tcBorders>
              <w:top w:val="single" w:sz="4" w:space="0" w:color="auto"/>
              <w:left w:val="single" w:sz="4" w:space="0" w:color="auto"/>
            </w:tcBorders>
            <w:shd w:val="clear" w:color="auto" w:fill="auto"/>
            <w:vAlign w:val="bottom"/>
          </w:tcPr>
          <w:p w14:paraId="22042B03" w14:textId="77777777" w:rsidR="007722FF" w:rsidRDefault="007722FF" w:rsidP="007722FF">
            <w:pPr>
              <w:pStyle w:val="ad"/>
              <w:spacing w:line="240" w:lineRule="auto"/>
              <w:ind w:firstLine="260"/>
              <w:jc w:val="both"/>
              <w:rPr>
                <w:sz w:val="18"/>
                <w:szCs w:val="18"/>
              </w:rPr>
            </w:pPr>
            <w:r>
              <w:rPr>
                <w:sz w:val="18"/>
                <w:szCs w:val="18"/>
              </w:rPr>
              <w:t>5 679,70</w:t>
            </w:r>
          </w:p>
        </w:tc>
        <w:tc>
          <w:tcPr>
            <w:tcW w:w="1008" w:type="dxa"/>
            <w:tcBorders>
              <w:top w:val="single" w:sz="4" w:space="0" w:color="auto"/>
              <w:left w:val="single" w:sz="4" w:space="0" w:color="auto"/>
            </w:tcBorders>
            <w:shd w:val="clear" w:color="auto" w:fill="auto"/>
            <w:vAlign w:val="bottom"/>
          </w:tcPr>
          <w:p w14:paraId="14F2E976" w14:textId="77777777" w:rsidR="007722FF" w:rsidRDefault="007722FF" w:rsidP="007722FF">
            <w:pPr>
              <w:pStyle w:val="ad"/>
              <w:spacing w:line="240" w:lineRule="auto"/>
              <w:ind w:firstLine="260"/>
              <w:jc w:val="both"/>
              <w:rPr>
                <w:sz w:val="18"/>
                <w:szCs w:val="18"/>
              </w:rPr>
            </w:pPr>
            <w:r>
              <w:rPr>
                <w:sz w:val="18"/>
                <w:szCs w:val="18"/>
              </w:rPr>
              <w:t>4 613,00</w:t>
            </w:r>
          </w:p>
        </w:tc>
        <w:tc>
          <w:tcPr>
            <w:tcW w:w="1003" w:type="dxa"/>
            <w:tcBorders>
              <w:top w:val="single" w:sz="4" w:space="0" w:color="auto"/>
              <w:left w:val="single" w:sz="4" w:space="0" w:color="auto"/>
            </w:tcBorders>
            <w:shd w:val="clear" w:color="auto" w:fill="auto"/>
            <w:vAlign w:val="bottom"/>
          </w:tcPr>
          <w:p w14:paraId="45F2FF67" w14:textId="77777777" w:rsidR="007722FF" w:rsidRDefault="007722FF" w:rsidP="007722FF">
            <w:pPr>
              <w:pStyle w:val="ad"/>
              <w:spacing w:line="240" w:lineRule="auto"/>
              <w:ind w:firstLine="260"/>
              <w:jc w:val="both"/>
              <w:rPr>
                <w:sz w:val="18"/>
                <w:szCs w:val="18"/>
              </w:rPr>
            </w:pPr>
            <w:r>
              <w:rPr>
                <w:sz w:val="18"/>
                <w:szCs w:val="18"/>
              </w:rPr>
              <w:t>5 109,90</w:t>
            </w:r>
          </w:p>
        </w:tc>
        <w:tc>
          <w:tcPr>
            <w:tcW w:w="3480" w:type="dxa"/>
            <w:tcBorders>
              <w:top w:val="single" w:sz="4" w:space="0" w:color="auto"/>
              <w:left w:val="single" w:sz="4" w:space="0" w:color="auto"/>
              <w:right w:val="single" w:sz="4" w:space="0" w:color="auto"/>
            </w:tcBorders>
            <w:shd w:val="clear" w:color="auto" w:fill="948B54"/>
            <w:vAlign w:val="bottom"/>
          </w:tcPr>
          <w:p w14:paraId="163CDA5A" w14:textId="77777777" w:rsidR="007722FF" w:rsidRDefault="007722FF" w:rsidP="007722FF">
            <w:pPr>
              <w:pStyle w:val="ad"/>
              <w:spacing w:line="240" w:lineRule="auto"/>
              <w:ind w:firstLine="440"/>
              <w:jc w:val="both"/>
              <w:rPr>
                <w:sz w:val="18"/>
                <w:szCs w:val="18"/>
              </w:rPr>
            </w:pPr>
            <w:r>
              <w:rPr>
                <w:b/>
                <w:bCs/>
                <w:i/>
                <w:iCs/>
                <w:sz w:val="18"/>
                <w:szCs w:val="18"/>
              </w:rPr>
              <w:t>219,2</w:t>
            </w:r>
          </w:p>
        </w:tc>
      </w:tr>
      <w:tr w:rsidR="007722FF" w14:paraId="37D9B560" w14:textId="77777777" w:rsidTr="007722FF">
        <w:trPr>
          <w:trHeight w:hRule="exact" w:val="427"/>
        </w:trPr>
        <w:tc>
          <w:tcPr>
            <w:tcW w:w="1003" w:type="dxa"/>
            <w:tcBorders>
              <w:top w:val="single" w:sz="4" w:space="0" w:color="auto"/>
              <w:left w:val="single" w:sz="4" w:space="0" w:color="auto"/>
            </w:tcBorders>
            <w:shd w:val="clear" w:color="auto" w:fill="auto"/>
            <w:vAlign w:val="bottom"/>
          </w:tcPr>
          <w:p w14:paraId="6197EAD3" w14:textId="77777777" w:rsidR="007722FF" w:rsidRDefault="007722FF" w:rsidP="007722FF">
            <w:pPr>
              <w:pStyle w:val="ad"/>
              <w:spacing w:line="240" w:lineRule="auto"/>
              <w:ind w:firstLine="440"/>
              <w:jc w:val="both"/>
              <w:rPr>
                <w:sz w:val="18"/>
                <w:szCs w:val="18"/>
              </w:rPr>
            </w:pPr>
            <w:r>
              <w:rPr>
                <w:i/>
                <w:iCs/>
                <w:sz w:val="18"/>
                <w:szCs w:val="18"/>
              </w:rPr>
              <w:t>140,6</w:t>
            </w:r>
          </w:p>
        </w:tc>
        <w:tc>
          <w:tcPr>
            <w:tcW w:w="1008" w:type="dxa"/>
            <w:tcBorders>
              <w:top w:val="single" w:sz="4" w:space="0" w:color="auto"/>
              <w:left w:val="single" w:sz="4" w:space="0" w:color="auto"/>
            </w:tcBorders>
            <w:shd w:val="clear" w:color="auto" w:fill="auto"/>
            <w:vAlign w:val="bottom"/>
          </w:tcPr>
          <w:p w14:paraId="1C18886E" w14:textId="77777777" w:rsidR="007722FF" w:rsidRDefault="007722FF" w:rsidP="007722FF">
            <w:pPr>
              <w:pStyle w:val="ad"/>
              <w:spacing w:line="240" w:lineRule="auto"/>
              <w:ind w:firstLine="460"/>
              <w:jc w:val="both"/>
              <w:rPr>
                <w:sz w:val="18"/>
                <w:szCs w:val="18"/>
              </w:rPr>
            </w:pPr>
            <w:r>
              <w:rPr>
                <w:i/>
                <w:iCs/>
                <w:sz w:val="18"/>
                <w:szCs w:val="18"/>
              </w:rPr>
              <w:t>123,7</w:t>
            </w:r>
          </w:p>
        </w:tc>
        <w:tc>
          <w:tcPr>
            <w:tcW w:w="1003" w:type="dxa"/>
            <w:tcBorders>
              <w:top w:val="single" w:sz="4" w:space="0" w:color="auto"/>
              <w:left w:val="single" w:sz="4" w:space="0" w:color="auto"/>
            </w:tcBorders>
            <w:shd w:val="clear" w:color="auto" w:fill="auto"/>
            <w:vAlign w:val="bottom"/>
          </w:tcPr>
          <w:p w14:paraId="7436AD63" w14:textId="77777777" w:rsidR="007722FF" w:rsidRDefault="007722FF" w:rsidP="007722FF">
            <w:pPr>
              <w:pStyle w:val="ad"/>
              <w:spacing w:line="240" w:lineRule="auto"/>
              <w:ind w:firstLine="580"/>
              <w:jc w:val="both"/>
              <w:rPr>
                <w:sz w:val="18"/>
                <w:szCs w:val="18"/>
              </w:rPr>
            </w:pPr>
            <w:r>
              <w:rPr>
                <w:i/>
                <w:iCs/>
                <w:sz w:val="18"/>
                <w:szCs w:val="18"/>
              </w:rPr>
              <w:t>73,9</w:t>
            </w:r>
          </w:p>
        </w:tc>
        <w:tc>
          <w:tcPr>
            <w:tcW w:w="1003" w:type="dxa"/>
            <w:tcBorders>
              <w:top w:val="single" w:sz="4" w:space="0" w:color="auto"/>
              <w:left w:val="single" w:sz="4" w:space="0" w:color="auto"/>
            </w:tcBorders>
            <w:shd w:val="clear" w:color="auto" w:fill="auto"/>
            <w:vAlign w:val="bottom"/>
          </w:tcPr>
          <w:p w14:paraId="70A6AF77" w14:textId="77777777" w:rsidR="007722FF" w:rsidRDefault="007722FF" w:rsidP="007722FF">
            <w:pPr>
              <w:pStyle w:val="ad"/>
              <w:spacing w:line="240" w:lineRule="auto"/>
              <w:ind w:firstLine="460"/>
              <w:jc w:val="both"/>
              <w:rPr>
                <w:sz w:val="18"/>
                <w:szCs w:val="18"/>
              </w:rPr>
            </w:pPr>
            <w:r>
              <w:rPr>
                <w:i/>
                <w:iCs/>
                <w:sz w:val="18"/>
                <w:szCs w:val="18"/>
              </w:rPr>
              <w:t>439,1</w:t>
            </w:r>
          </w:p>
        </w:tc>
        <w:tc>
          <w:tcPr>
            <w:tcW w:w="1008" w:type="dxa"/>
            <w:tcBorders>
              <w:top w:val="single" w:sz="4" w:space="0" w:color="auto"/>
              <w:left w:val="single" w:sz="4" w:space="0" w:color="auto"/>
            </w:tcBorders>
            <w:shd w:val="clear" w:color="auto" w:fill="auto"/>
            <w:vAlign w:val="bottom"/>
          </w:tcPr>
          <w:p w14:paraId="45A655DA" w14:textId="77777777" w:rsidR="007722FF" w:rsidRDefault="007722FF" w:rsidP="007722FF">
            <w:pPr>
              <w:pStyle w:val="ad"/>
              <w:spacing w:line="240" w:lineRule="auto"/>
              <w:ind w:firstLine="460"/>
              <w:jc w:val="both"/>
              <w:rPr>
                <w:sz w:val="18"/>
                <w:szCs w:val="18"/>
              </w:rPr>
            </w:pPr>
            <w:r>
              <w:rPr>
                <w:i/>
                <w:iCs/>
                <w:sz w:val="18"/>
                <w:szCs w:val="18"/>
              </w:rPr>
              <w:t>777,3</w:t>
            </w:r>
          </w:p>
        </w:tc>
        <w:tc>
          <w:tcPr>
            <w:tcW w:w="1003" w:type="dxa"/>
            <w:tcBorders>
              <w:top w:val="single" w:sz="4" w:space="0" w:color="auto"/>
              <w:left w:val="single" w:sz="4" w:space="0" w:color="auto"/>
            </w:tcBorders>
            <w:shd w:val="clear" w:color="auto" w:fill="auto"/>
            <w:vAlign w:val="bottom"/>
          </w:tcPr>
          <w:p w14:paraId="19385C26" w14:textId="77777777" w:rsidR="007722FF" w:rsidRDefault="007722FF" w:rsidP="007722FF">
            <w:pPr>
              <w:pStyle w:val="ad"/>
              <w:spacing w:line="240" w:lineRule="auto"/>
              <w:ind w:firstLine="0"/>
              <w:jc w:val="right"/>
              <w:rPr>
                <w:sz w:val="18"/>
                <w:szCs w:val="18"/>
              </w:rPr>
            </w:pPr>
            <w:r>
              <w:rPr>
                <w:i/>
                <w:iCs/>
                <w:sz w:val="18"/>
                <w:szCs w:val="18"/>
              </w:rPr>
              <w:t>820,9</w:t>
            </w:r>
          </w:p>
        </w:tc>
        <w:tc>
          <w:tcPr>
            <w:tcW w:w="3480" w:type="dxa"/>
            <w:tcBorders>
              <w:top w:val="single" w:sz="4" w:space="0" w:color="auto"/>
              <w:left w:val="single" w:sz="4" w:space="0" w:color="auto"/>
              <w:right w:val="single" w:sz="4" w:space="0" w:color="auto"/>
            </w:tcBorders>
            <w:shd w:val="clear" w:color="auto" w:fill="948B54"/>
            <w:vAlign w:val="bottom"/>
          </w:tcPr>
          <w:p w14:paraId="2233CA04" w14:textId="77777777" w:rsidR="007722FF" w:rsidRDefault="007722FF" w:rsidP="007722FF">
            <w:pPr>
              <w:pStyle w:val="ad"/>
              <w:spacing w:line="240" w:lineRule="auto"/>
              <w:ind w:firstLine="220"/>
              <w:jc w:val="both"/>
              <w:rPr>
                <w:sz w:val="18"/>
                <w:szCs w:val="18"/>
              </w:rPr>
            </w:pPr>
            <w:r>
              <w:rPr>
                <w:b/>
                <w:bCs/>
                <w:i/>
                <w:iCs/>
                <w:sz w:val="18"/>
                <w:szCs w:val="18"/>
              </w:rPr>
              <w:t>у 5 разів</w:t>
            </w:r>
          </w:p>
        </w:tc>
      </w:tr>
      <w:tr w:rsidR="007722FF" w14:paraId="0ECA1AEC" w14:textId="77777777" w:rsidTr="007722FF">
        <w:trPr>
          <w:trHeight w:hRule="exact" w:val="418"/>
        </w:trPr>
        <w:tc>
          <w:tcPr>
            <w:tcW w:w="1003" w:type="dxa"/>
            <w:tcBorders>
              <w:top w:val="single" w:sz="4" w:space="0" w:color="auto"/>
              <w:left w:val="single" w:sz="4" w:space="0" w:color="auto"/>
            </w:tcBorders>
            <w:shd w:val="clear" w:color="auto" w:fill="auto"/>
            <w:vAlign w:val="bottom"/>
          </w:tcPr>
          <w:p w14:paraId="360FE703" w14:textId="77777777" w:rsidR="007722FF" w:rsidRDefault="007722FF" w:rsidP="007722FF">
            <w:pPr>
              <w:pStyle w:val="ad"/>
              <w:spacing w:line="240" w:lineRule="auto"/>
              <w:ind w:firstLine="260"/>
              <w:jc w:val="both"/>
              <w:rPr>
                <w:sz w:val="18"/>
                <w:szCs w:val="18"/>
              </w:rPr>
            </w:pPr>
            <w:r>
              <w:rPr>
                <w:i/>
                <w:iCs/>
                <w:sz w:val="18"/>
                <w:szCs w:val="18"/>
              </w:rPr>
              <w:t>2 190,80</w:t>
            </w:r>
          </w:p>
        </w:tc>
        <w:tc>
          <w:tcPr>
            <w:tcW w:w="1008" w:type="dxa"/>
            <w:tcBorders>
              <w:top w:val="single" w:sz="4" w:space="0" w:color="auto"/>
              <w:left w:val="single" w:sz="4" w:space="0" w:color="auto"/>
            </w:tcBorders>
            <w:shd w:val="clear" w:color="auto" w:fill="auto"/>
            <w:vAlign w:val="bottom"/>
          </w:tcPr>
          <w:p w14:paraId="1B1E2E57" w14:textId="77777777" w:rsidR="007722FF" w:rsidRDefault="007722FF" w:rsidP="007722FF">
            <w:pPr>
              <w:pStyle w:val="ad"/>
              <w:spacing w:line="240" w:lineRule="auto"/>
              <w:ind w:firstLine="260"/>
              <w:jc w:val="both"/>
              <w:rPr>
                <w:sz w:val="18"/>
                <w:szCs w:val="18"/>
              </w:rPr>
            </w:pPr>
            <w:r>
              <w:rPr>
                <w:i/>
                <w:iCs/>
                <w:sz w:val="18"/>
                <w:szCs w:val="18"/>
              </w:rPr>
              <w:t>1 169,70</w:t>
            </w:r>
          </w:p>
        </w:tc>
        <w:tc>
          <w:tcPr>
            <w:tcW w:w="1003" w:type="dxa"/>
            <w:tcBorders>
              <w:top w:val="single" w:sz="4" w:space="0" w:color="auto"/>
              <w:left w:val="single" w:sz="4" w:space="0" w:color="auto"/>
            </w:tcBorders>
            <w:shd w:val="clear" w:color="auto" w:fill="auto"/>
            <w:vAlign w:val="bottom"/>
          </w:tcPr>
          <w:p w14:paraId="6FE487AF" w14:textId="77777777" w:rsidR="007722FF" w:rsidRDefault="007722FF" w:rsidP="007722FF">
            <w:pPr>
              <w:pStyle w:val="ad"/>
              <w:spacing w:line="240" w:lineRule="auto"/>
              <w:ind w:firstLine="260"/>
              <w:jc w:val="both"/>
              <w:rPr>
                <w:sz w:val="18"/>
                <w:szCs w:val="18"/>
              </w:rPr>
            </w:pPr>
            <w:r>
              <w:rPr>
                <w:i/>
                <w:iCs/>
                <w:sz w:val="18"/>
                <w:szCs w:val="18"/>
              </w:rPr>
              <w:t>1 098,90</w:t>
            </w:r>
          </w:p>
        </w:tc>
        <w:tc>
          <w:tcPr>
            <w:tcW w:w="1003" w:type="dxa"/>
            <w:tcBorders>
              <w:top w:val="single" w:sz="4" w:space="0" w:color="auto"/>
              <w:left w:val="single" w:sz="4" w:space="0" w:color="auto"/>
            </w:tcBorders>
            <w:shd w:val="clear" w:color="auto" w:fill="auto"/>
            <w:vAlign w:val="bottom"/>
          </w:tcPr>
          <w:p w14:paraId="2D363ABD" w14:textId="77777777" w:rsidR="007722FF" w:rsidRDefault="007722FF" w:rsidP="007722FF">
            <w:pPr>
              <w:pStyle w:val="ad"/>
              <w:spacing w:line="240" w:lineRule="auto"/>
              <w:ind w:firstLine="260"/>
              <w:jc w:val="both"/>
              <w:rPr>
                <w:sz w:val="18"/>
                <w:szCs w:val="18"/>
              </w:rPr>
            </w:pPr>
            <w:r>
              <w:rPr>
                <w:i/>
                <w:iCs/>
                <w:sz w:val="18"/>
                <w:szCs w:val="18"/>
              </w:rPr>
              <w:t>5 240,60</w:t>
            </w:r>
          </w:p>
        </w:tc>
        <w:tc>
          <w:tcPr>
            <w:tcW w:w="1008" w:type="dxa"/>
            <w:tcBorders>
              <w:top w:val="single" w:sz="4" w:space="0" w:color="auto"/>
              <w:left w:val="single" w:sz="4" w:space="0" w:color="auto"/>
            </w:tcBorders>
            <w:shd w:val="clear" w:color="auto" w:fill="auto"/>
            <w:vAlign w:val="bottom"/>
          </w:tcPr>
          <w:p w14:paraId="1478295F" w14:textId="77777777" w:rsidR="007722FF" w:rsidRDefault="007722FF" w:rsidP="007722FF">
            <w:pPr>
              <w:pStyle w:val="ad"/>
              <w:spacing w:line="240" w:lineRule="auto"/>
              <w:ind w:firstLine="260"/>
              <w:jc w:val="both"/>
              <w:rPr>
                <w:sz w:val="18"/>
                <w:szCs w:val="18"/>
              </w:rPr>
            </w:pPr>
            <w:r>
              <w:rPr>
                <w:i/>
                <w:iCs/>
                <w:sz w:val="18"/>
                <w:szCs w:val="18"/>
              </w:rPr>
              <w:t>3 835,60</w:t>
            </w:r>
          </w:p>
        </w:tc>
        <w:tc>
          <w:tcPr>
            <w:tcW w:w="1003" w:type="dxa"/>
            <w:tcBorders>
              <w:top w:val="single" w:sz="4" w:space="0" w:color="auto"/>
              <w:left w:val="single" w:sz="4" w:space="0" w:color="auto"/>
            </w:tcBorders>
            <w:shd w:val="clear" w:color="auto" w:fill="auto"/>
            <w:vAlign w:val="bottom"/>
          </w:tcPr>
          <w:p w14:paraId="60D7EAA4" w14:textId="77777777" w:rsidR="007722FF" w:rsidRDefault="007722FF" w:rsidP="007722FF">
            <w:pPr>
              <w:pStyle w:val="ad"/>
              <w:spacing w:line="240" w:lineRule="auto"/>
              <w:ind w:firstLine="260"/>
              <w:jc w:val="both"/>
              <w:rPr>
                <w:sz w:val="18"/>
                <w:szCs w:val="18"/>
              </w:rPr>
            </w:pPr>
            <w:r>
              <w:rPr>
                <w:i/>
                <w:iCs/>
                <w:sz w:val="18"/>
                <w:szCs w:val="18"/>
              </w:rPr>
              <w:t>4 289,00</w:t>
            </w:r>
          </w:p>
        </w:tc>
        <w:tc>
          <w:tcPr>
            <w:tcW w:w="3480" w:type="dxa"/>
            <w:tcBorders>
              <w:top w:val="single" w:sz="4" w:space="0" w:color="auto"/>
              <w:left w:val="single" w:sz="4" w:space="0" w:color="auto"/>
              <w:right w:val="single" w:sz="4" w:space="0" w:color="auto"/>
            </w:tcBorders>
            <w:shd w:val="clear" w:color="auto" w:fill="948B54"/>
            <w:vAlign w:val="bottom"/>
          </w:tcPr>
          <w:p w14:paraId="56517A35" w14:textId="77777777" w:rsidR="007722FF" w:rsidRDefault="007722FF" w:rsidP="007722FF">
            <w:pPr>
              <w:pStyle w:val="ad"/>
              <w:spacing w:line="240" w:lineRule="auto"/>
              <w:ind w:firstLine="440"/>
              <w:jc w:val="both"/>
              <w:rPr>
                <w:sz w:val="18"/>
                <w:szCs w:val="18"/>
              </w:rPr>
            </w:pPr>
            <w:r>
              <w:rPr>
                <w:b/>
                <w:bCs/>
                <w:i/>
                <w:iCs/>
                <w:sz w:val="18"/>
                <w:szCs w:val="18"/>
              </w:rPr>
              <w:t>195,8</w:t>
            </w:r>
          </w:p>
        </w:tc>
      </w:tr>
      <w:tr w:rsidR="007722FF" w14:paraId="06854863" w14:textId="77777777" w:rsidTr="007722FF">
        <w:trPr>
          <w:trHeight w:hRule="exact" w:val="408"/>
        </w:trPr>
        <w:tc>
          <w:tcPr>
            <w:tcW w:w="1003" w:type="dxa"/>
            <w:tcBorders>
              <w:top w:val="single" w:sz="4" w:space="0" w:color="auto"/>
              <w:left w:val="single" w:sz="4" w:space="0" w:color="auto"/>
            </w:tcBorders>
            <w:shd w:val="clear" w:color="auto" w:fill="auto"/>
            <w:vAlign w:val="bottom"/>
          </w:tcPr>
          <w:p w14:paraId="7A779723" w14:textId="77777777" w:rsidR="007722FF" w:rsidRDefault="007722FF" w:rsidP="007722FF">
            <w:pPr>
              <w:pStyle w:val="ad"/>
              <w:spacing w:line="240" w:lineRule="auto"/>
              <w:ind w:firstLine="260"/>
              <w:jc w:val="both"/>
              <w:rPr>
                <w:sz w:val="18"/>
                <w:szCs w:val="18"/>
              </w:rPr>
            </w:pPr>
            <w:r>
              <w:rPr>
                <w:sz w:val="18"/>
                <w:szCs w:val="18"/>
              </w:rPr>
              <w:t>4 180,80</w:t>
            </w:r>
          </w:p>
        </w:tc>
        <w:tc>
          <w:tcPr>
            <w:tcW w:w="1008" w:type="dxa"/>
            <w:tcBorders>
              <w:top w:val="single" w:sz="4" w:space="0" w:color="auto"/>
              <w:left w:val="single" w:sz="4" w:space="0" w:color="auto"/>
            </w:tcBorders>
            <w:shd w:val="clear" w:color="auto" w:fill="auto"/>
            <w:vAlign w:val="bottom"/>
          </w:tcPr>
          <w:p w14:paraId="58EE1DE3" w14:textId="77777777" w:rsidR="007722FF" w:rsidRDefault="007722FF" w:rsidP="007722FF">
            <w:pPr>
              <w:pStyle w:val="ad"/>
              <w:spacing w:line="240" w:lineRule="auto"/>
              <w:ind w:firstLine="260"/>
              <w:jc w:val="both"/>
              <w:rPr>
                <w:sz w:val="18"/>
                <w:szCs w:val="18"/>
              </w:rPr>
            </w:pPr>
            <w:r>
              <w:rPr>
                <w:sz w:val="18"/>
                <w:szCs w:val="18"/>
              </w:rPr>
              <w:t>4 164,90</w:t>
            </w:r>
          </w:p>
        </w:tc>
        <w:tc>
          <w:tcPr>
            <w:tcW w:w="1003" w:type="dxa"/>
            <w:tcBorders>
              <w:top w:val="single" w:sz="4" w:space="0" w:color="auto"/>
              <w:left w:val="single" w:sz="4" w:space="0" w:color="auto"/>
            </w:tcBorders>
            <w:shd w:val="clear" w:color="auto" w:fill="auto"/>
            <w:vAlign w:val="bottom"/>
          </w:tcPr>
          <w:p w14:paraId="41FD7730" w14:textId="77777777" w:rsidR="007722FF" w:rsidRDefault="007722FF" w:rsidP="007722FF">
            <w:pPr>
              <w:pStyle w:val="ad"/>
              <w:spacing w:line="240" w:lineRule="auto"/>
              <w:ind w:firstLine="260"/>
              <w:jc w:val="both"/>
              <w:rPr>
                <w:sz w:val="18"/>
                <w:szCs w:val="18"/>
              </w:rPr>
            </w:pPr>
            <w:r>
              <w:rPr>
                <w:sz w:val="18"/>
                <w:szCs w:val="18"/>
              </w:rPr>
              <w:t>4 115,80</w:t>
            </w:r>
          </w:p>
        </w:tc>
        <w:tc>
          <w:tcPr>
            <w:tcW w:w="1003" w:type="dxa"/>
            <w:tcBorders>
              <w:top w:val="single" w:sz="4" w:space="0" w:color="auto"/>
              <w:left w:val="single" w:sz="4" w:space="0" w:color="auto"/>
            </w:tcBorders>
            <w:shd w:val="clear" w:color="auto" w:fill="auto"/>
            <w:vAlign w:val="bottom"/>
          </w:tcPr>
          <w:p w14:paraId="33D25197" w14:textId="77777777" w:rsidR="007722FF" w:rsidRDefault="007722FF" w:rsidP="007722FF">
            <w:pPr>
              <w:pStyle w:val="ad"/>
              <w:spacing w:line="240" w:lineRule="auto"/>
              <w:ind w:firstLine="260"/>
              <w:jc w:val="both"/>
              <w:rPr>
                <w:sz w:val="18"/>
                <w:szCs w:val="18"/>
              </w:rPr>
            </w:pPr>
            <w:r>
              <w:rPr>
                <w:sz w:val="18"/>
                <w:szCs w:val="18"/>
              </w:rPr>
              <w:t>9 781,10</w:t>
            </w:r>
          </w:p>
        </w:tc>
        <w:tc>
          <w:tcPr>
            <w:tcW w:w="1008" w:type="dxa"/>
            <w:tcBorders>
              <w:top w:val="single" w:sz="4" w:space="0" w:color="auto"/>
              <w:left w:val="single" w:sz="4" w:space="0" w:color="auto"/>
            </w:tcBorders>
            <w:shd w:val="clear" w:color="auto" w:fill="auto"/>
            <w:vAlign w:val="bottom"/>
          </w:tcPr>
          <w:p w14:paraId="2690EFF0" w14:textId="77777777" w:rsidR="007722FF" w:rsidRDefault="007722FF" w:rsidP="007722FF">
            <w:pPr>
              <w:pStyle w:val="ad"/>
              <w:spacing w:line="240" w:lineRule="auto"/>
              <w:ind w:firstLine="160"/>
              <w:jc w:val="both"/>
              <w:rPr>
                <w:sz w:val="18"/>
                <w:szCs w:val="18"/>
              </w:rPr>
            </w:pPr>
            <w:r>
              <w:rPr>
                <w:sz w:val="18"/>
                <w:szCs w:val="18"/>
              </w:rPr>
              <w:t>16 135,10</w:t>
            </w:r>
          </w:p>
        </w:tc>
        <w:tc>
          <w:tcPr>
            <w:tcW w:w="1003" w:type="dxa"/>
            <w:tcBorders>
              <w:top w:val="single" w:sz="4" w:space="0" w:color="auto"/>
              <w:left w:val="single" w:sz="4" w:space="0" w:color="auto"/>
            </w:tcBorders>
            <w:shd w:val="clear" w:color="auto" w:fill="auto"/>
            <w:vAlign w:val="bottom"/>
          </w:tcPr>
          <w:p w14:paraId="21519B1D" w14:textId="77777777" w:rsidR="007722FF" w:rsidRDefault="007722FF" w:rsidP="007722FF">
            <w:pPr>
              <w:pStyle w:val="ad"/>
              <w:spacing w:line="240" w:lineRule="auto"/>
              <w:ind w:firstLine="160"/>
              <w:rPr>
                <w:sz w:val="18"/>
                <w:szCs w:val="18"/>
              </w:rPr>
            </w:pPr>
            <w:r>
              <w:rPr>
                <w:sz w:val="18"/>
                <w:szCs w:val="18"/>
              </w:rPr>
              <w:t>20 545,40</w:t>
            </w:r>
          </w:p>
        </w:tc>
        <w:tc>
          <w:tcPr>
            <w:tcW w:w="3480" w:type="dxa"/>
            <w:tcBorders>
              <w:top w:val="single" w:sz="4" w:space="0" w:color="auto"/>
              <w:left w:val="single" w:sz="4" w:space="0" w:color="auto"/>
              <w:right w:val="single" w:sz="4" w:space="0" w:color="auto"/>
            </w:tcBorders>
            <w:shd w:val="clear" w:color="auto" w:fill="948B54"/>
            <w:vAlign w:val="bottom"/>
          </w:tcPr>
          <w:p w14:paraId="52B8619B" w14:textId="77777777" w:rsidR="007722FF" w:rsidRDefault="007722FF" w:rsidP="007722FF">
            <w:pPr>
              <w:pStyle w:val="ad"/>
              <w:spacing w:line="240" w:lineRule="auto"/>
              <w:ind w:firstLine="440"/>
              <w:jc w:val="both"/>
              <w:rPr>
                <w:sz w:val="18"/>
                <w:szCs w:val="18"/>
              </w:rPr>
            </w:pPr>
            <w:r>
              <w:rPr>
                <w:b/>
                <w:bCs/>
                <w:i/>
                <w:iCs/>
                <w:sz w:val="18"/>
                <w:szCs w:val="18"/>
              </w:rPr>
              <w:t>491,4</w:t>
            </w:r>
          </w:p>
        </w:tc>
      </w:tr>
      <w:tr w:rsidR="007722FF" w14:paraId="321BD6FA" w14:textId="77777777" w:rsidTr="007722FF">
        <w:trPr>
          <w:trHeight w:hRule="exact" w:val="422"/>
        </w:trPr>
        <w:tc>
          <w:tcPr>
            <w:tcW w:w="1003" w:type="dxa"/>
            <w:tcBorders>
              <w:top w:val="single" w:sz="4" w:space="0" w:color="auto"/>
              <w:left w:val="single" w:sz="4" w:space="0" w:color="auto"/>
            </w:tcBorders>
            <w:shd w:val="clear" w:color="auto" w:fill="auto"/>
            <w:vAlign w:val="bottom"/>
          </w:tcPr>
          <w:p w14:paraId="42369F9C" w14:textId="77777777" w:rsidR="007722FF" w:rsidRDefault="007722FF" w:rsidP="007722FF">
            <w:pPr>
              <w:pStyle w:val="ad"/>
              <w:spacing w:line="240" w:lineRule="auto"/>
              <w:ind w:firstLine="440"/>
              <w:jc w:val="both"/>
              <w:rPr>
                <w:sz w:val="18"/>
                <w:szCs w:val="18"/>
              </w:rPr>
            </w:pPr>
            <w:r>
              <w:rPr>
                <w:i/>
                <w:iCs/>
                <w:sz w:val="18"/>
                <w:szCs w:val="18"/>
              </w:rPr>
              <w:t>588,6</w:t>
            </w:r>
          </w:p>
        </w:tc>
        <w:tc>
          <w:tcPr>
            <w:tcW w:w="1008" w:type="dxa"/>
            <w:tcBorders>
              <w:top w:val="single" w:sz="4" w:space="0" w:color="auto"/>
              <w:left w:val="single" w:sz="4" w:space="0" w:color="auto"/>
            </w:tcBorders>
            <w:shd w:val="clear" w:color="auto" w:fill="auto"/>
            <w:vAlign w:val="bottom"/>
          </w:tcPr>
          <w:p w14:paraId="4495EC81" w14:textId="77777777" w:rsidR="007722FF" w:rsidRDefault="007722FF" w:rsidP="007722FF">
            <w:pPr>
              <w:pStyle w:val="ad"/>
              <w:spacing w:line="240" w:lineRule="auto"/>
              <w:ind w:firstLine="460"/>
              <w:jc w:val="both"/>
              <w:rPr>
                <w:sz w:val="18"/>
                <w:szCs w:val="18"/>
              </w:rPr>
            </w:pPr>
            <w:r>
              <w:rPr>
                <w:i/>
                <w:iCs/>
                <w:sz w:val="18"/>
                <w:szCs w:val="18"/>
              </w:rPr>
              <w:t>577,3</w:t>
            </w:r>
          </w:p>
        </w:tc>
        <w:tc>
          <w:tcPr>
            <w:tcW w:w="1003" w:type="dxa"/>
            <w:tcBorders>
              <w:top w:val="single" w:sz="4" w:space="0" w:color="auto"/>
              <w:left w:val="single" w:sz="4" w:space="0" w:color="auto"/>
            </w:tcBorders>
            <w:shd w:val="clear" w:color="auto" w:fill="auto"/>
            <w:vAlign w:val="bottom"/>
          </w:tcPr>
          <w:p w14:paraId="469ED99E" w14:textId="77777777" w:rsidR="007722FF" w:rsidRDefault="007722FF" w:rsidP="007722FF">
            <w:pPr>
              <w:pStyle w:val="ad"/>
              <w:spacing w:line="240" w:lineRule="auto"/>
              <w:ind w:firstLine="440"/>
              <w:rPr>
                <w:sz w:val="18"/>
                <w:szCs w:val="18"/>
              </w:rPr>
            </w:pPr>
            <w:r>
              <w:rPr>
                <w:i/>
                <w:iCs/>
                <w:sz w:val="18"/>
                <w:szCs w:val="18"/>
              </w:rPr>
              <w:t>473,3</w:t>
            </w:r>
          </w:p>
        </w:tc>
        <w:tc>
          <w:tcPr>
            <w:tcW w:w="1003" w:type="dxa"/>
            <w:tcBorders>
              <w:top w:val="single" w:sz="4" w:space="0" w:color="auto"/>
              <w:left w:val="single" w:sz="4" w:space="0" w:color="auto"/>
            </w:tcBorders>
            <w:shd w:val="clear" w:color="auto" w:fill="auto"/>
            <w:vAlign w:val="bottom"/>
          </w:tcPr>
          <w:p w14:paraId="570F6A8C" w14:textId="77777777" w:rsidR="007722FF" w:rsidRDefault="007722FF" w:rsidP="007722FF">
            <w:pPr>
              <w:pStyle w:val="ad"/>
              <w:spacing w:line="240" w:lineRule="auto"/>
              <w:ind w:firstLine="260"/>
              <w:jc w:val="both"/>
              <w:rPr>
                <w:sz w:val="18"/>
                <w:szCs w:val="18"/>
              </w:rPr>
            </w:pPr>
            <w:r>
              <w:rPr>
                <w:i/>
                <w:iCs/>
                <w:sz w:val="18"/>
                <w:szCs w:val="18"/>
              </w:rPr>
              <w:t>1 225,30</w:t>
            </w:r>
          </w:p>
        </w:tc>
        <w:tc>
          <w:tcPr>
            <w:tcW w:w="1008" w:type="dxa"/>
            <w:tcBorders>
              <w:top w:val="single" w:sz="4" w:space="0" w:color="auto"/>
              <w:left w:val="single" w:sz="4" w:space="0" w:color="auto"/>
            </w:tcBorders>
            <w:shd w:val="clear" w:color="auto" w:fill="auto"/>
            <w:vAlign w:val="bottom"/>
          </w:tcPr>
          <w:p w14:paraId="05776922" w14:textId="77777777" w:rsidR="007722FF" w:rsidRDefault="007722FF" w:rsidP="007722FF">
            <w:pPr>
              <w:pStyle w:val="ad"/>
              <w:spacing w:line="240" w:lineRule="auto"/>
              <w:ind w:firstLine="260"/>
              <w:jc w:val="both"/>
              <w:rPr>
                <w:sz w:val="18"/>
                <w:szCs w:val="18"/>
              </w:rPr>
            </w:pPr>
            <w:r>
              <w:rPr>
                <w:i/>
                <w:iCs/>
                <w:sz w:val="18"/>
                <w:szCs w:val="18"/>
              </w:rPr>
              <w:t>2 014,40</w:t>
            </w:r>
          </w:p>
        </w:tc>
        <w:tc>
          <w:tcPr>
            <w:tcW w:w="1003" w:type="dxa"/>
            <w:tcBorders>
              <w:top w:val="single" w:sz="4" w:space="0" w:color="auto"/>
              <w:left w:val="single" w:sz="4" w:space="0" w:color="auto"/>
            </w:tcBorders>
            <w:shd w:val="clear" w:color="auto" w:fill="auto"/>
            <w:vAlign w:val="bottom"/>
          </w:tcPr>
          <w:p w14:paraId="510902E2" w14:textId="77777777" w:rsidR="007722FF" w:rsidRDefault="007722FF" w:rsidP="007722FF">
            <w:pPr>
              <w:pStyle w:val="ad"/>
              <w:spacing w:line="240" w:lineRule="auto"/>
              <w:ind w:firstLine="260"/>
              <w:jc w:val="both"/>
              <w:rPr>
                <w:sz w:val="18"/>
                <w:szCs w:val="18"/>
              </w:rPr>
            </w:pPr>
            <w:r>
              <w:rPr>
                <w:sz w:val="18"/>
                <w:szCs w:val="18"/>
              </w:rPr>
              <w:t>2 670,40</w:t>
            </w:r>
          </w:p>
        </w:tc>
        <w:tc>
          <w:tcPr>
            <w:tcW w:w="3480" w:type="dxa"/>
            <w:tcBorders>
              <w:top w:val="single" w:sz="4" w:space="0" w:color="auto"/>
              <w:left w:val="single" w:sz="4" w:space="0" w:color="auto"/>
              <w:right w:val="single" w:sz="4" w:space="0" w:color="auto"/>
            </w:tcBorders>
            <w:shd w:val="clear" w:color="auto" w:fill="948B54"/>
            <w:vAlign w:val="bottom"/>
          </w:tcPr>
          <w:p w14:paraId="61C08785" w14:textId="77777777" w:rsidR="007722FF" w:rsidRDefault="007722FF" w:rsidP="007722FF">
            <w:pPr>
              <w:pStyle w:val="ad"/>
              <w:spacing w:line="240" w:lineRule="auto"/>
              <w:ind w:firstLine="440"/>
              <w:jc w:val="both"/>
              <w:rPr>
                <w:sz w:val="18"/>
                <w:szCs w:val="18"/>
              </w:rPr>
            </w:pPr>
            <w:r>
              <w:rPr>
                <w:b/>
                <w:bCs/>
                <w:i/>
                <w:iCs/>
                <w:sz w:val="18"/>
                <w:szCs w:val="18"/>
              </w:rPr>
              <w:t>453,7</w:t>
            </w:r>
          </w:p>
        </w:tc>
      </w:tr>
      <w:tr w:rsidR="007722FF" w14:paraId="071E1846" w14:textId="77777777" w:rsidTr="007722FF">
        <w:trPr>
          <w:trHeight w:hRule="exact" w:val="427"/>
        </w:trPr>
        <w:tc>
          <w:tcPr>
            <w:tcW w:w="1003" w:type="dxa"/>
            <w:tcBorders>
              <w:top w:val="single" w:sz="4" w:space="0" w:color="auto"/>
              <w:left w:val="single" w:sz="4" w:space="0" w:color="auto"/>
            </w:tcBorders>
            <w:shd w:val="clear" w:color="auto" w:fill="auto"/>
            <w:vAlign w:val="bottom"/>
          </w:tcPr>
          <w:p w14:paraId="7113109B" w14:textId="77777777" w:rsidR="007722FF" w:rsidRDefault="007722FF" w:rsidP="007722FF">
            <w:pPr>
              <w:pStyle w:val="ad"/>
              <w:spacing w:line="240" w:lineRule="auto"/>
              <w:ind w:firstLine="260"/>
              <w:jc w:val="both"/>
              <w:rPr>
                <w:sz w:val="18"/>
                <w:szCs w:val="18"/>
              </w:rPr>
            </w:pPr>
            <w:r>
              <w:rPr>
                <w:i/>
                <w:iCs/>
                <w:sz w:val="18"/>
                <w:szCs w:val="18"/>
              </w:rPr>
              <w:t>3 592,20</w:t>
            </w:r>
          </w:p>
        </w:tc>
        <w:tc>
          <w:tcPr>
            <w:tcW w:w="1008" w:type="dxa"/>
            <w:tcBorders>
              <w:top w:val="single" w:sz="4" w:space="0" w:color="auto"/>
              <w:left w:val="single" w:sz="4" w:space="0" w:color="auto"/>
            </w:tcBorders>
            <w:shd w:val="clear" w:color="auto" w:fill="auto"/>
            <w:vAlign w:val="bottom"/>
          </w:tcPr>
          <w:p w14:paraId="0370F7B5" w14:textId="77777777" w:rsidR="007722FF" w:rsidRDefault="007722FF" w:rsidP="007722FF">
            <w:pPr>
              <w:pStyle w:val="ad"/>
              <w:spacing w:line="240" w:lineRule="auto"/>
              <w:ind w:firstLine="260"/>
              <w:jc w:val="both"/>
              <w:rPr>
                <w:sz w:val="18"/>
                <w:szCs w:val="18"/>
              </w:rPr>
            </w:pPr>
            <w:r>
              <w:rPr>
                <w:i/>
                <w:iCs/>
                <w:sz w:val="18"/>
                <w:szCs w:val="18"/>
              </w:rPr>
              <w:t>3 587,70</w:t>
            </w:r>
          </w:p>
        </w:tc>
        <w:tc>
          <w:tcPr>
            <w:tcW w:w="1003" w:type="dxa"/>
            <w:tcBorders>
              <w:top w:val="single" w:sz="4" w:space="0" w:color="auto"/>
              <w:left w:val="single" w:sz="4" w:space="0" w:color="auto"/>
            </w:tcBorders>
            <w:shd w:val="clear" w:color="auto" w:fill="auto"/>
            <w:vAlign w:val="bottom"/>
          </w:tcPr>
          <w:p w14:paraId="1FDB95BA" w14:textId="77777777" w:rsidR="007722FF" w:rsidRDefault="007722FF" w:rsidP="007722FF">
            <w:pPr>
              <w:pStyle w:val="ad"/>
              <w:spacing w:line="240" w:lineRule="auto"/>
              <w:ind w:firstLine="260"/>
              <w:jc w:val="both"/>
              <w:rPr>
                <w:sz w:val="18"/>
                <w:szCs w:val="18"/>
              </w:rPr>
            </w:pPr>
            <w:r>
              <w:rPr>
                <w:i/>
                <w:iCs/>
                <w:sz w:val="18"/>
                <w:szCs w:val="18"/>
              </w:rPr>
              <w:t>3 642,50</w:t>
            </w:r>
          </w:p>
        </w:tc>
        <w:tc>
          <w:tcPr>
            <w:tcW w:w="1003" w:type="dxa"/>
            <w:tcBorders>
              <w:top w:val="single" w:sz="4" w:space="0" w:color="auto"/>
              <w:left w:val="single" w:sz="4" w:space="0" w:color="auto"/>
            </w:tcBorders>
            <w:shd w:val="clear" w:color="auto" w:fill="auto"/>
            <w:vAlign w:val="bottom"/>
          </w:tcPr>
          <w:p w14:paraId="460BB22C" w14:textId="77777777" w:rsidR="007722FF" w:rsidRDefault="007722FF" w:rsidP="007722FF">
            <w:pPr>
              <w:pStyle w:val="ad"/>
              <w:spacing w:line="240" w:lineRule="auto"/>
              <w:ind w:firstLine="260"/>
              <w:jc w:val="both"/>
              <w:rPr>
                <w:sz w:val="18"/>
                <w:szCs w:val="18"/>
              </w:rPr>
            </w:pPr>
            <w:r>
              <w:rPr>
                <w:i/>
                <w:iCs/>
                <w:sz w:val="18"/>
                <w:szCs w:val="18"/>
              </w:rPr>
              <w:t>8 555,80</w:t>
            </w:r>
          </w:p>
        </w:tc>
        <w:tc>
          <w:tcPr>
            <w:tcW w:w="1008" w:type="dxa"/>
            <w:tcBorders>
              <w:top w:val="single" w:sz="4" w:space="0" w:color="auto"/>
              <w:left w:val="single" w:sz="4" w:space="0" w:color="auto"/>
            </w:tcBorders>
            <w:shd w:val="clear" w:color="auto" w:fill="auto"/>
            <w:vAlign w:val="bottom"/>
          </w:tcPr>
          <w:p w14:paraId="49BF2544" w14:textId="77777777" w:rsidR="007722FF" w:rsidRDefault="007722FF" w:rsidP="007722FF">
            <w:pPr>
              <w:pStyle w:val="ad"/>
              <w:spacing w:line="240" w:lineRule="auto"/>
              <w:ind w:firstLine="160"/>
              <w:jc w:val="both"/>
              <w:rPr>
                <w:sz w:val="18"/>
                <w:szCs w:val="18"/>
              </w:rPr>
            </w:pPr>
            <w:r>
              <w:rPr>
                <w:i/>
                <w:iCs/>
                <w:sz w:val="18"/>
                <w:szCs w:val="18"/>
              </w:rPr>
              <w:t>14 120,70</w:t>
            </w:r>
          </w:p>
        </w:tc>
        <w:tc>
          <w:tcPr>
            <w:tcW w:w="1003" w:type="dxa"/>
            <w:tcBorders>
              <w:top w:val="single" w:sz="4" w:space="0" w:color="auto"/>
              <w:left w:val="single" w:sz="4" w:space="0" w:color="auto"/>
            </w:tcBorders>
            <w:shd w:val="clear" w:color="auto" w:fill="auto"/>
            <w:vAlign w:val="bottom"/>
          </w:tcPr>
          <w:p w14:paraId="45056F07" w14:textId="77777777" w:rsidR="007722FF" w:rsidRDefault="007722FF" w:rsidP="007722FF">
            <w:pPr>
              <w:pStyle w:val="ad"/>
              <w:spacing w:line="240" w:lineRule="auto"/>
              <w:ind w:firstLine="160"/>
              <w:rPr>
                <w:sz w:val="18"/>
                <w:szCs w:val="18"/>
              </w:rPr>
            </w:pPr>
            <w:r>
              <w:rPr>
                <w:sz w:val="18"/>
                <w:szCs w:val="18"/>
              </w:rPr>
              <w:t>17 875,00</w:t>
            </w:r>
          </w:p>
        </w:tc>
        <w:tc>
          <w:tcPr>
            <w:tcW w:w="3480" w:type="dxa"/>
            <w:tcBorders>
              <w:top w:val="single" w:sz="4" w:space="0" w:color="auto"/>
              <w:left w:val="single" w:sz="4" w:space="0" w:color="auto"/>
              <w:right w:val="single" w:sz="4" w:space="0" w:color="auto"/>
            </w:tcBorders>
            <w:shd w:val="clear" w:color="auto" w:fill="948B54"/>
            <w:vAlign w:val="bottom"/>
          </w:tcPr>
          <w:p w14:paraId="7C814AC3" w14:textId="77777777" w:rsidR="007722FF" w:rsidRDefault="007722FF" w:rsidP="007722FF">
            <w:pPr>
              <w:pStyle w:val="ad"/>
              <w:spacing w:line="240" w:lineRule="auto"/>
              <w:ind w:firstLine="440"/>
              <w:jc w:val="both"/>
              <w:rPr>
                <w:sz w:val="18"/>
                <w:szCs w:val="18"/>
              </w:rPr>
            </w:pPr>
            <w:r>
              <w:rPr>
                <w:b/>
                <w:bCs/>
                <w:i/>
                <w:iCs/>
                <w:sz w:val="18"/>
                <w:szCs w:val="18"/>
              </w:rPr>
              <w:t>497,6</w:t>
            </w:r>
          </w:p>
        </w:tc>
      </w:tr>
      <w:tr w:rsidR="007722FF" w14:paraId="1B5031BF" w14:textId="77777777" w:rsidTr="007722FF">
        <w:trPr>
          <w:trHeight w:hRule="exact" w:val="408"/>
        </w:trPr>
        <w:tc>
          <w:tcPr>
            <w:tcW w:w="1003" w:type="dxa"/>
            <w:tcBorders>
              <w:top w:val="single" w:sz="4" w:space="0" w:color="auto"/>
              <w:left w:val="single" w:sz="4" w:space="0" w:color="auto"/>
            </w:tcBorders>
            <w:shd w:val="clear" w:color="auto" w:fill="auto"/>
            <w:vAlign w:val="bottom"/>
          </w:tcPr>
          <w:p w14:paraId="2895EB9B" w14:textId="77777777" w:rsidR="007722FF" w:rsidRDefault="007722FF" w:rsidP="007722FF">
            <w:pPr>
              <w:pStyle w:val="ad"/>
              <w:spacing w:line="240" w:lineRule="auto"/>
              <w:ind w:firstLine="260"/>
              <w:jc w:val="both"/>
              <w:rPr>
                <w:sz w:val="18"/>
                <w:szCs w:val="18"/>
              </w:rPr>
            </w:pPr>
            <w:r>
              <w:rPr>
                <w:sz w:val="18"/>
                <w:szCs w:val="18"/>
              </w:rPr>
              <w:t>2 066,20</w:t>
            </w:r>
          </w:p>
        </w:tc>
        <w:tc>
          <w:tcPr>
            <w:tcW w:w="1008" w:type="dxa"/>
            <w:tcBorders>
              <w:top w:val="single" w:sz="4" w:space="0" w:color="auto"/>
              <w:left w:val="single" w:sz="4" w:space="0" w:color="auto"/>
            </w:tcBorders>
            <w:shd w:val="clear" w:color="auto" w:fill="auto"/>
            <w:vAlign w:val="bottom"/>
          </w:tcPr>
          <w:p w14:paraId="1A7C594D" w14:textId="77777777" w:rsidR="007722FF" w:rsidRDefault="007722FF" w:rsidP="007722FF">
            <w:pPr>
              <w:pStyle w:val="ad"/>
              <w:spacing w:line="240" w:lineRule="auto"/>
              <w:ind w:firstLine="260"/>
              <w:jc w:val="both"/>
              <w:rPr>
                <w:sz w:val="18"/>
                <w:szCs w:val="18"/>
              </w:rPr>
            </w:pPr>
            <w:r>
              <w:rPr>
                <w:sz w:val="18"/>
                <w:szCs w:val="18"/>
              </w:rPr>
              <w:t>1 728,80</w:t>
            </w:r>
          </w:p>
        </w:tc>
        <w:tc>
          <w:tcPr>
            <w:tcW w:w="1003" w:type="dxa"/>
            <w:tcBorders>
              <w:top w:val="single" w:sz="4" w:space="0" w:color="auto"/>
              <w:left w:val="single" w:sz="4" w:space="0" w:color="auto"/>
            </w:tcBorders>
            <w:shd w:val="clear" w:color="auto" w:fill="auto"/>
            <w:vAlign w:val="bottom"/>
          </w:tcPr>
          <w:p w14:paraId="2F7A9718" w14:textId="77777777" w:rsidR="007722FF" w:rsidRDefault="007722FF" w:rsidP="007722FF">
            <w:pPr>
              <w:pStyle w:val="ad"/>
              <w:spacing w:line="240" w:lineRule="auto"/>
              <w:ind w:firstLine="260"/>
              <w:jc w:val="both"/>
              <w:rPr>
                <w:sz w:val="18"/>
                <w:szCs w:val="18"/>
              </w:rPr>
            </w:pPr>
            <w:r>
              <w:rPr>
                <w:sz w:val="18"/>
                <w:szCs w:val="18"/>
              </w:rPr>
              <w:t>1 443,20</w:t>
            </w:r>
          </w:p>
        </w:tc>
        <w:tc>
          <w:tcPr>
            <w:tcW w:w="1003" w:type="dxa"/>
            <w:tcBorders>
              <w:top w:val="single" w:sz="4" w:space="0" w:color="auto"/>
              <w:left w:val="single" w:sz="4" w:space="0" w:color="auto"/>
            </w:tcBorders>
            <w:shd w:val="clear" w:color="auto" w:fill="auto"/>
            <w:vAlign w:val="bottom"/>
          </w:tcPr>
          <w:p w14:paraId="0D034F6F" w14:textId="77777777" w:rsidR="007722FF" w:rsidRDefault="007722FF" w:rsidP="007722FF">
            <w:pPr>
              <w:pStyle w:val="ad"/>
              <w:spacing w:line="240" w:lineRule="auto"/>
              <w:ind w:firstLine="260"/>
              <w:jc w:val="both"/>
              <w:rPr>
                <w:sz w:val="18"/>
                <w:szCs w:val="18"/>
              </w:rPr>
            </w:pPr>
            <w:r>
              <w:rPr>
                <w:sz w:val="18"/>
                <w:szCs w:val="18"/>
              </w:rPr>
              <w:t>3 851,00</w:t>
            </w:r>
          </w:p>
        </w:tc>
        <w:tc>
          <w:tcPr>
            <w:tcW w:w="1008" w:type="dxa"/>
            <w:tcBorders>
              <w:top w:val="single" w:sz="4" w:space="0" w:color="auto"/>
              <w:left w:val="single" w:sz="4" w:space="0" w:color="auto"/>
            </w:tcBorders>
            <w:shd w:val="clear" w:color="auto" w:fill="auto"/>
            <w:vAlign w:val="bottom"/>
          </w:tcPr>
          <w:p w14:paraId="530B1563" w14:textId="77777777" w:rsidR="007722FF" w:rsidRDefault="007722FF" w:rsidP="007722FF">
            <w:pPr>
              <w:pStyle w:val="ad"/>
              <w:spacing w:line="240" w:lineRule="auto"/>
              <w:ind w:firstLine="260"/>
              <w:jc w:val="both"/>
              <w:rPr>
                <w:sz w:val="18"/>
                <w:szCs w:val="18"/>
              </w:rPr>
            </w:pPr>
            <w:r>
              <w:rPr>
                <w:sz w:val="18"/>
                <w:szCs w:val="18"/>
              </w:rPr>
              <w:t>5 707,90</w:t>
            </w:r>
          </w:p>
        </w:tc>
        <w:tc>
          <w:tcPr>
            <w:tcW w:w="1003" w:type="dxa"/>
            <w:tcBorders>
              <w:top w:val="single" w:sz="4" w:space="0" w:color="auto"/>
              <w:left w:val="single" w:sz="4" w:space="0" w:color="auto"/>
            </w:tcBorders>
            <w:shd w:val="clear" w:color="auto" w:fill="auto"/>
            <w:vAlign w:val="bottom"/>
          </w:tcPr>
          <w:p w14:paraId="6B405C6A" w14:textId="77777777" w:rsidR="007722FF" w:rsidRDefault="007722FF" w:rsidP="007722FF">
            <w:pPr>
              <w:pStyle w:val="ad"/>
              <w:spacing w:line="240" w:lineRule="auto"/>
              <w:ind w:firstLine="260"/>
              <w:jc w:val="both"/>
              <w:rPr>
                <w:sz w:val="18"/>
                <w:szCs w:val="18"/>
              </w:rPr>
            </w:pPr>
            <w:r>
              <w:rPr>
                <w:sz w:val="18"/>
                <w:szCs w:val="18"/>
              </w:rPr>
              <w:t>7 597,20</w:t>
            </w:r>
          </w:p>
        </w:tc>
        <w:tc>
          <w:tcPr>
            <w:tcW w:w="3480" w:type="dxa"/>
            <w:tcBorders>
              <w:top w:val="single" w:sz="4" w:space="0" w:color="auto"/>
              <w:left w:val="single" w:sz="4" w:space="0" w:color="auto"/>
              <w:right w:val="single" w:sz="4" w:space="0" w:color="auto"/>
            </w:tcBorders>
            <w:shd w:val="clear" w:color="auto" w:fill="948B54"/>
            <w:vAlign w:val="bottom"/>
          </w:tcPr>
          <w:p w14:paraId="1F264C77" w14:textId="77777777" w:rsidR="007722FF" w:rsidRDefault="007722FF" w:rsidP="007722FF">
            <w:pPr>
              <w:pStyle w:val="ad"/>
              <w:spacing w:line="240" w:lineRule="auto"/>
              <w:ind w:firstLine="440"/>
              <w:jc w:val="both"/>
              <w:rPr>
                <w:sz w:val="18"/>
                <w:szCs w:val="18"/>
              </w:rPr>
            </w:pPr>
            <w:r>
              <w:rPr>
                <w:b/>
                <w:bCs/>
                <w:i/>
                <w:iCs/>
                <w:sz w:val="18"/>
                <w:szCs w:val="18"/>
              </w:rPr>
              <w:t>367,7</w:t>
            </w:r>
          </w:p>
        </w:tc>
      </w:tr>
      <w:tr w:rsidR="007722FF" w14:paraId="467AA677" w14:textId="77777777" w:rsidTr="007722FF">
        <w:trPr>
          <w:trHeight w:hRule="exact" w:val="422"/>
        </w:trPr>
        <w:tc>
          <w:tcPr>
            <w:tcW w:w="1003" w:type="dxa"/>
            <w:tcBorders>
              <w:top w:val="single" w:sz="4" w:space="0" w:color="auto"/>
              <w:left w:val="single" w:sz="4" w:space="0" w:color="auto"/>
            </w:tcBorders>
            <w:shd w:val="clear" w:color="auto" w:fill="auto"/>
            <w:vAlign w:val="bottom"/>
          </w:tcPr>
          <w:p w14:paraId="6E912EEC" w14:textId="77777777" w:rsidR="007722FF" w:rsidRDefault="007722FF" w:rsidP="007722FF">
            <w:pPr>
              <w:pStyle w:val="ad"/>
              <w:spacing w:line="240" w:lineRule="auto"/>
              <w:ind w:firstLine="580"/>
              <w:jc w:val="both"/>
              <w:rPr>
                <w:sz w:val="18"/>
                <w:szCs w:val="18"/>
              </w:rPr>
            </w:pPr>
            <w:r>
              <w:rPr>
                <w:i/>
                <w:iCs/>
                <w:sz w:val="18"/>
                <w:szCs w:val="18"/>
              </w:rPr>
              <w:t>65,4</w:t>
            </w:r>
          </w:p>
        </w:tc>
        <w:tc>
          <w:tcPr>
            <w:tcW w:w="1008" w:type="dxa"/>
            <w:tcBorders>
              <w:top w:val="single" w:sz="4" w:space="0" w:color="auto"/>
              <w:left w:val="single" w:sz="4" w:space="0" w:color="auto"/>
            </w:tcBorders>
            <w:shd w:val="clear" w:color="auto" w:fill="auto"/>
            <w:vAlign w:val="bottom"/>
          </w:tcPr>
          <w:p w14:paraId="52C1F8F6" w14:textId="77777777" w:rsidR="007722FF" w:rsidRDefault="007722FF" w:rsidP="007722FF">
            <w:pPr>
              <w:pStyle w:val="ad"/>
              <w:spacing w:line="240" w:lineRule="auto"/>
              <w:ind w:firstLine="580"/>
              <w:jc w:val="both"/>
              <w:rPr>
                <w:sz w:val="18"/>
                <w:szCs w:val="18"/>
              </w:rPr>
            </w:pPr>
            <w:r>
              <w:rPr>
                <w:i/>
                <w:iCs/>
                <w:sz w:val="18"/>
                <w:szCs w:val="18"/>
              </w:rPr>
              <w:t>74,9</w:t>
            </w:r>
          </w:p>
        </w:tc>
        <w:tc>
          <w:tcPr>
            <w:tcW w:w="1003" w:type="dxa"/>
            <w:tcBorders>
              <w:top w:val="single" w:sz="4" w:space="0" w:color="auto"/>
              <w:left w:val="single" w:sz="4" w:space="0" w:color="auto"/>
            </w:tcBorders>
            <w:shd w:val="clear" w:color="auto" w:fill="auto"/>
            <w:vAlign w:val="bottom"/>
          </w:tcPr>
          <w:p w14:paraId="7678DE7D" w14:textId="77777777" w:rsidR="007722FF" w:rsidRDefault="007722FF" w:rsidP="007722FF">
            <w:pPr>
              <w:pStyle w:val="ad"/>
              <w:spacing w:line="240" w:lineRule="auto"/>
              <w:ind w:firstLine="580"/>
              <w:jc w:val="both"/>
              <w:rPr>
                <w:sz w:val="18"/>
                <w:szCs w:val="18"/>
              </w:rPr>
            </w:pPr>
            <w:r>
              <w:rPr>
                <w:i/>
                <w:iCs/>
                <w:sz w:val="18"/>
                <w:szCs w:val="18"/>
              </w:rPr>
              <w:t>60,4</w:t>
            </w:r>
          </w:p>
        </w:tc>
        <w:tc>
          <w:tcPr>
            <w:tcW w:w="1003" w:type="dxa"/>
            <w:tcBorders>
              <w:top w:val="single" w:sz="4" w:space="0" w:color="auto"/>
              <w:left w:val="single" w:sz="4" w:space="0" w:color="auto"/>
            </w:tcBorders>
            <w:shd w:val="clear" w:color="auto" w:fill="auto"/>
            <w:vAlign w:val="bottom"/>
          </w:tcPr>
          <w:p w14:paraId="15FC5B8C" w14:textId="77777777" w:rsidR="007722FF" w:rsidRDefault="007722FF" w:rsidP="007722FF">
            <w:pPr>
              <w:pStyle w:val="ad"/>
              <w:spacing w:line="240" w:lineRule="auto"/>
              <w:ind w:firstLine="460"/>
              <w:jc w:val="both"/>
              <w:rPr>
                <w:sz w:val="18"/>
                <w:szCs w:val="18"/>
              </w:rPr>
            </w:pPr>
            <w:r>
              <w:rPr>
                <w:i/>
                <w:iCs/>
                <w:sz w:val="18"/>
                <w:szCs w:val="18"/>
              </w:rPr>
              <w:t>125,8</w:t>
            </w:r>
          </w:p>
        </w:tc>
        <w:tc>
          <w:tcPr>
            <w:tcW w:w="1008" w:type="dxa"/>
            <w:tcBorders>
              <w:top w:val="single" w:sz="4" w:space="0" w:color="auto"/>
              <w:left w:val="single" w:sz="4" w:space="0" w:color="auto"/>
            </w:tcBorders>
            <w:shd w:val="clear" w:color="auto" w:fill="auto"/>
            <w:vAlign w:val="bottom"/>
          </w:tcPr>
          <w:p w14:paraId="0D50C056" w14:textId="77777777" w:rsidR="007722FF" w:rsidRDefault="007722FF" w:rsidP="007722FF">
            <w:pPr>
              <w:pStyle w:val="ad"/>
              <w:spacing w:line="240" w:lineRule="auto"/>
              <w:ind w:firstLine="460"/>
              <w:jc w:val="both"/>
              <w:rPr>
                <w:sz w:val="18"/>
                <w:szCs w:val="18"/>
              </w:rPr>
            </w:pPr>
            <w:r>
              <w:rPr>
                <w:i/>
                <w:iCs/>
                <w:sz w:val="18"/>
                <w:szCs w:val="18"/>
              </w:rPr>
              <w:t>156,9</w:t>
            </w:r>
          </w:p>
        </w:tc>
        <w:tc>
          <w:tcPr>
            <w:tcW w:w="1003" w:type="dxa"/>
            <w:tcBorders>
              <w:top w:val="single" w:sz="4" w:space="0" w:color="auto"/>
              <w:left w:val="single" w:sz="4" w:space="0" w:color="auto"/>
            </w:tcBorders>
            <w:shd w:val="clear" w:color="auto" w:fill="auto"/>
            <w:vAlign w:val="bottom"/>
          </w:tcPr>
          <w:p w14:paraId="6DEF58BD" w14:textId="77777777" w:rsidR="007722FF" w:rsidRDefault="007722FF" w:rsidP="007722FF">
            <w:pPr>
              <w:pStyle w:val="ad"/>
              <w:spacing w:line="240" w:lineRule="auto"/>
              <w:rPr>
                <w:sz w:val="18"/>
                <w:szCs w:val="18"/>
              </w:rPr>
            </w:pPr>
            <w:r>
              <w:rPr>
                <w:sz w:val="18"/>
                <w:szCs w:val="18"/>
              </w:rPr>
              <w:t>171,90</w:t>
            </w:r>
          </w:p>
        </w:tc>
        <w:tc>
          <w:tcPr>
            <w:tcW w:w="3480" w:type="dxa"/>
            <w:tcBorders>
              <w:top w:val="single" w:sz="4" w:space="0" w:color="auto"/>
              <w:left w:val="single" w:sz="4" w:space="0" w:color="auto"/>
              <w:right w:val="single" w:sz="4" w:space="0" w:color="auto"/>
            </w:tcBorders>
            <w:shd w:val="clear" w:color="auto" w:fill="948B54"/>
            <w:vAlign w:val="bottom"/>
          </w:tcPr>
          <w:p w14:paraId="122C3F07" w14:textId="77777777" w:rsidR="007722FF" w:rsidRDefault="007722FF" w:rsidP="007722FF">
            <w:pPr>
              <w:pStyle w:val="ad"/>
              <w:spacing w:line="240" w:lineRule="auto"/>
              <w:ind w:firstLine="440"/>
              <w:jc w:val="both"/>
              <w:rPr>
                <w:sz w:val="18"/>
                <w:szCs w:val="18"/>
              </w:rPr>
            </w:pPr>
            <w:r>
              <w:rPr>
                <w:b/>
                <w:bCs/>
                <w:i/>
                <w:iCs/>
                <w:sz w:val="18"/>
                <w:szCs w:val="18"/>
              </w:rPr>
              <w:t>262,8</w:t>
            </w:r>
          </w:p>
        </w:tc>
      </w:tr>
      <w:tr w:rsidR="007722FF" w14:paraId="6325CD6B" w14:textId="77777777" w:rsidTr="007722FF">
        <w:trPr>
          <w:trHeight w:hRule="exact" w:val="422"/>
        </w:trPr>
        <w:tc>
          <w:tcPr>
            <w:tcW w:w="1003" w:type="dxa"/>
            <w:tcBorders>
              <w:top w:val="single" w:sz="4" w:space="0" w:color="auto"/>
              <w:left w:val="single" w:sz="4" w:space="0" w:color="auto"/>
            </w:tcBorders>
            <w:shd w:val="clear" w:color="auto" w:fill="auto"/>
            <w:vAlign w:val="bottom"/>
          </w:tcPr>
          <w:p w14:paraId="6A510289" w14:textId="77777777" w:rsidR="007722FF" w:rsidRDefault="007722FF" w:rsidP="007722FF">
            <w:pPr>
              <w:pStyle w:val="ad"/>
              <w:spacing w:line="240" w:lineRule="auto"/>
              <w:ind w:firstLine="260"/>
              <w:jc w:val="both"/>
              <w:rPr>
                <w:sz w:val="18"/>
                <w:szCs w:val="18"/>
              </w:rPr>
            </w:pPr>
            <w:r>
              <w:rPr>
                <w:i/>
                <w:iCs/>
                <w:sz w:val="18"/>
                <w:szCs w:val="18"/>
              </w:rPr>
              <w:t>1 921,60</w:t>
            </w:r>
          </w:p>
        </w:tc>
        <w:tc>
          <w:tcPr>
            <w:tcW w:w="1008" w:type="dxa"/>
            <w:tcBorders>
              <w:top w:val="single" w:sz="4" w:space="0" w:color="auto"/>
              <w:left w:val="single" w:sz="4" w:space="0" w:color="auto"/>
            </w:tcBorders>
            <w:shd w:val="clear" w:color="auto" w:fill="auto"/>
            <w:vAlign w:val="bottom"/>
          </w:tcPr>
          <w:p w14:paraId="40DB43C5" w14:textId="77777777" w:rsidR="007722FF" w:rsidRDefault="007722FF" w:rsidP="007722FF">
            <w:pPr>
              <w:pStyle w:val="ad"/>
              <w:spacing w:line="240" w:lineRule="auto"/>
              <w:ind w:firstLine="260"/>
              <w:jc w:val="both"/>
              <w:rPr>
                <w:sz w:val="18"/>
                <w:szCs w:val="18"/>
              </w:rPr>
            </w:pPr>
            <w:r>
              <w:rPr>
                <w:i/>
                <w:iCs/>
                <w:sz w:val="18"/>
                <w:szCs w:val="18"/>
              </w:rPr>
              <w:t>1 620,30</w:t>
            </w:r>
          </w:p>
        </w:tc>
        <w:tc>
          <w:tcPr>
            <w:tcW w:w="1003" w:type="dxa"/>
            <w:tcBorders>
              <w:top w:val="single" w:sz="4" w:space="0" w:color="auto"/>
              <w:left w:val="single" w:sz="4" w:space="0" w:color="auto"/>
            </w:tcBorders>
            <w:shd w:val="clear" w:color="auto" w:fill="auto"/>
            <w:vAlign w:val="bottom"/>
          </w:tcPr>
          <w:p w14:paraId="36C3BC07" w14:textId="77777777" w:rsidR="007722FF" w:rsidRDefault="007722FF" w:rsidP="007722FF">
            <w:pPr>
              <w:pStyle w:val="ad"/>
              <w:spacing w:line="240" w:lineRule="auto"/>
              <w:ind w:firstLine="260"/>
              <w:jc w:val="both"/>
              <w:rPr>
                <w:sz w:val="18"/>
                <w:szCs w:val="18"/>
              </w:rPr>
            </w:pPr>
            <w:r>
              <w:rPr>
                <w:i/>
                <w:iCs/>
                <w:sz w:val="18"/>
                <w:szCs w:val="18"/>
              </w:rPr>
              <w:t>1 343,00</w:t>
            </w:r>
          </w:p>
        </w:tc>
        <w:tc>
          <w:tcPr>
            <w:tcW w:w="1003" w:type="dxa"/>
            <w:tcBorders>
              <w:top w:val="single" w:sz="4" w:space="0" w:color="auto"/>
              <w:left w:val="single" w:sz="4" w:space="0" w:color="auto"/>
            </w:tcBorders>
            <w:shd w:val="clear" w:color="auto" w:fill="auto"/>
            <w:vAlign w:val="bottom"/>
          </w:tcPr>
          <w:p w14:paraId="0E111BC2" w14:textId="77777777" w:rsidR="007722FF" w:rsidRDefault="007722FF" w:rsidP="007722FF">
            <w:pPr>
              <w:pStyle w:val="ad"/>
              <w:spacing w:line="240" w:lineRule="auto"/>
              <w:ind w:firstLine="260"/>
              <w:jc w:val="both"/>
              <w:rPr>
                <w:sz w:val="18"/>
                <w:szCs w:val="18"/>
              </w:rPr>
            </w:pPr>
            <w:r>
              <w:rPr>
                <w:i/>
                <w:iCs/>
                <w:sz w:val="18"/>
                <w:szCs w:val="18"/>
              </w:rPr>
              <w:t>3 633,90</w:t>
            </w:r>
          </w:p>
        </w:tc>
        <w:tc>
          <w:tcPr>
            <w:tcW w:w="1008" w:type="dxa"/>
            <w:tcBorders>
              <w:top w:val="single" w:sz="4" w:space="0" w:color="auto"/>
              <w:left w:val="single" w:sz="4" w:space="0" w:color="auto"/>
            </w:tcBorders>
            <w:shd w:val="clear" w:color="auto" w:fill="auto"/>
            <w:vAlign w:val="bottom"/>
          </w:tcPr>
          <w:p w14:paraId="41629254" w14:textId="77777777" w:rsidR="007722FF" w:rsidRDefault="007722FF" w:rsidP="007722FF">
            <w:pPr>
              <w:pStyle w:val="ad"/>
              <w:spacing w:line="240" w:lineRule="auto"/>
              <w:ind w:firstLine="260"/>
              <w:jc w:val="both"/>
              <w:rPr>
                <w:sz w:val="18"/>
                <w:szCs w:val="18"/>
              </w:rPr>
            </w:pPr>
            <w:r>
              <w:rPr>
                <w:i/>
                <w:iCs/>
                <w:sz w:val="18"/>
                <w:szCs w:val="18"/>
              </w:rPr>
              <w:t>5 421,20</w:t>
            </w:r>
          </w:p>
        </w:tc>
        <w:tc>
          <w:tcPr>
            <w:tcW w:w="1003" w:type="dxa"/>
            <w:tcBorders>
              <w:top w:val="single" w:sz="4" w:space="0" w:color="auto"/>
              <w:left w:val="single" w:sz="4" w:space="0" w:color="auto"/>
            </w:tcBorders>
            <w:shd w:val="clear" w:color="auto" w:fill="auto"/>
            <w:vAlign w:val="bottom"/>
          </w:tcPr>
          <w:p w14:paraId="7D948AD6" w14:textId="77777777" w:rsidR="007722FF" w:rsidRDefault="007722FF" w:rsidP="007722FF">
            <w:pPr>
              <w:pStyle w:val="ad"/>
              <w:spacing w:line="240" w:lineRule="auto"/>
              <w:ind w:firstLine="260"/>
              <w:jc w:val="both"/>
              <w:rPr>
                <w:sz w:val="18"/>
                <w:szCs w:val="18"/>
              </w:rPr>
            </w:pPr>
            <w:r>
              <w:rPr>
                <w:sz w:val="18"/>
                <w:szCs w:val="18"/>
              </w:rPr>
              <w:t>7 138,30</w:t>
            </w:r>
          </w:p>
        </w:tc>
        <w:tc>
          <w:tcPr>
            <w:tcW w:w="3480" w:type="dxa"/>
            <w:tcBorders>
              <w:top w:val="single" w:sz="4" w:space="0" w:color="auto"/>
              <w:left w:val="single" w:sz="4" w:space="0" w:color="auto"/>
              <w:right w:val="single" w:sz="4" w:space="0" w:color="auto"/>
            </w:tcBorders>
            <w:shd w:val="clear" w:color="auto" w:fill="948B54"/>
            <w:vAlign w:val="bottom"/>
          </w:tcPr>
          <w:p w14:paraId="469F2A47" w14:textId="77777777" w:rsidR="007722FF" w:rsidRDefault="007722FF" w:rsidP="007722FF">
            <w:pPr>
              <w:pStyle w:val="ad"/>
              <w:spacing w:line="240" w:lineRule="auto"/>
              <w:ind w:firstLine="440"/>
              <w:jc w:val="both"/>
              <w:rPr>
                <w:sz w:val="18"/>
                <w:szCs w:val="18"/>
              </w:rPr>
            </w:pPr>
            <w:r>
              <w:rPr>
                <w:b/>
                <w:bCs/>
                <w:i/>
                <w:iCs/>
                <w:sz w:val="18"/>
                <w:szCs w:val="18"/>
              </w:rPr>
              <w:t>371,5</w:t>
            </w:r>
          </w:p>
        </w:tc>
      </w:tr>
      <w:tr w:rsidR="007722FF" w14:paraId="3F1CF7E4" w14:textId="77777777" w:rsidTr="007722FF">
        <w:trPr>
          <w:trHeight w:hRule="exact" w:val="634"/>
        </w:trPr>
        <w:tc>
          <w:tcPr>
            <w:tcW w:w="1003" w:type="dxa"/>
            <w:tcBorders>
              <w:top w:val="single" w:sz="4" w:space="0" w:color="auto"/>
              <w:left w:val="single" w:sz="4" w:space="0" w:color="auto"/>
            </w:tcBorders>
            <w:shd w:val="clear" w:color="auto" w:fill="auto"/>
            <w:vAlign w:val="bottom"/>
          </w:tcPr>
          <w:p w14:paraId="3C4663BA" w14:textId="77777777" w:rsidR="007722FF" w:rsidRDefault="007722FF" w:rsidP="007722FF">
            <w:pPr>
              <w:pStyle w:val="ad"/>
              <w:spacing w:line="240" w:lineRule="auto"/>
              <w:ind w:firstLine="580"/>
              <w:jc w:val="both"/>
              <w:rPr>
                <w:sz w:val="18"/>
                <w:szCs w:val="18"/>
              </w:rPr>
            </w:pPr>
            <w:r>
              <w:rPr>
                <w:i/>
                <w:iCs/>
                <w:sz w:val="18"/>
                <w:szCs w:val="18"/>
              </w:rPr>
              <w:t>79,2</w:t>
            </w:r>
          </w:p>
        </w:tc>
        <w:tc>
          <w:tcPr>
            <w:tcW w:w="1008" w:type="dxa"/>
            <w:tcBorders>
              <w:top w:val="single" w:sz="4" w:space="0" w:color="auto"/>
              <w:left w:val="single" w:sz="4" w:space="0" w:color="auto"/>
            </w:tcBorders>
            <w:shd w:val="clear" w:color="auto" w:fill="auto"/>
            <w:vAlign w:val="bottom"/>
          </w:tcPr>
          <w:p w14:paraId="736CB8F3" w14:textId="77777777" w:rsidR="007722FF" w:rsidRDefault="007722FF" w:rsidP="007722FF">
            <w:pPr>
              <w:pStyle w:val="ad"/>
              <w:spacing w:line="240" w:lineRule="auto"/>
              <w:ind w:firstLine="580"/>
              <w:jc w:val="both"/>
              <w:rPr>
                <w:sz w:val="18"/>
                <w:szCs w:val="18"/>
              </w:rPr>
            </w:pPr>
            <w:r>
              <w:rPr>
                <w:i/>
                <w:iCs/>
                <w:sz w:val="18"/>
                <w:szCs w:val="18"/>
              </w:rPr>
              <w:t>33,5</w:t>
            </w:r>
          </w:p>
        </w:tc>
        <w:tc>
          <w:tcPr>
            <w:tcW w:w="1003" w:type="dxa"/>
            <w:tcBorders>
              <w:top w:val="single" w:sz="4" w:space="0" w:color="auto"/>
              <w:left w:val="single" w:sz="4" w:space="0" w:color="auto"/>
            </w:tcBorders>
            <w:shd w:val="clear" w:color="auto" w:fill="auto"/>
            <w:vAlign w:val="bottom"/>
          </w:tcPr>
          <w:p w14:paraId="2D002F13" w14:textId="77777777" w:rsidR="007722FF" w:rsidRDefault="007722FF" w:rsidP="007722FF">
            <w:pPr>
              <w:pStyle w:val="ad"/>
              <w:spacing w:line="240" w:lineRule="auto"/>
              <w:ind w:firstLine="580"/>
              <w:jc w:val="both"/>
              <w:rPr>
                <w:sz w:val="18"/>
                <w:szCs w:val="18"/>
              </w:rPr>
            </w:pPr>
            <w:r>
              <w:rPr>
                <w:i/>
                <w:iCs/>
                <w:sz w:val="18"/>
                <w:szCs w:val="18"/>
              </w:rPr>
              <w:t>39,7</w:t>
            </w:r>
          </w:p>
        </w:tc>
        <w:tc>
          <w:tcPr>
            <w:tcW w:w="1003" w:type="dxa"/>
            <w:tcBorders>
              <w:top w:val="single" w:sz="4" w:space="0" w:color="auto"/>
              <w:left w:val="single" w:sz="4" w:space="0" w:color="auto"/>
            </w:tcBorders>
            <w:shd w:val="clear" w:color="auto" w:fill="auto"/>
            <w:vAlign w:val="bottom"/>
          </w:tcPr>
          <w:p w14:paraId="7B1ABBD9" w14:textId="77777777" w:rsidR="007722FF" w:rsidRDefault="007722FF" w:rsidP="007722FF">
            <w:pPr>
              <w:pStyle w:val="ad"/>
              <w:spacing w:line="240" w:lineRule="auto"/>
              <w:ind w:firstLine="0"/>
              <w:jc w:val="right"/>
              <w:rPr>
                <w:sz w:val="18"/>
                <w:szCs w:val="18"/>
              </w:rPr>
            </w:pPr>
            <w:r>
              <w:rPr>
                <w:i/>
                <w:iCs/>
                <w:sz w:val="18"/>
                <w:szCs w:val="18"/>
              </w:rPr>
              <w:t>91,3</w:t>
            </w:r>
          </w:p>
        </w:tc>
        <w:tc>
          <w:tcPr>
            <w:tcW w:w="1008" w:type="dxa"/>
            <w:tcBorders>
              <w:top w:val="single" w:sz="4" w:space="0" w:color="auto"/>
              <w:left w:val="single" w:sz="4" w:space="0" w:color="auto"/>
            </w:tcBorders>
            <w:shd w:val="clear" w:color="auto" w:fill="auto"/>
            <w:vAlign w:val="bottom"/>
          </w:tcPr>
          <w:p w14:paraId="4BA56CC4" w14:textId="77777777" w:rsidR="007722FF" w:rsidRDefault="007722FF" w:rsidP="007722FF">
            <w:pPr>
              <w:pStyle w:val="ad"/>
              <w:spacing w:line="240" w:lineRule="auto"/>
              <w:ind w:firstLine="0"/>
              <w:jc w:val="right"/>
              <w:rPr>
                <w:sz w:val="18"/>
                <w:szCs w:val="18"/>
              </w:rPr>
            </w:pPr>
            <w:r>
              <w:rPr>
                <w:i/>
                <w:iCs/>
                <w:sz w:val="18"/>
                <w:szCs w:val="18"/>
              </w:rPr>
              <w:t>129,7</w:t>
            </w:r>
          </w:p>
        </w:tc>
        <w:tc>
          <w:tcPr>
            <w:tcW w:w="1003" w:type="dxa"/>
            <w:tcBorders>
              <w:top w:val="single" w:sz="4" w:space="0" w:color="auto"/>
              <w:left w:val="single" w:sz="4" w:space="0" w:color="auto"/>
            </w:tcBorders>
            <w:shd w:val="clear" w:color="auto" w:fill="auto"/>
            <w:vAlign w:val="bottom"/>
          </w:tcPr>
          <w:p w14:paraId="244A7BA3" w14:textId="77777777" w:rsidR="007722FF" w:rsidRDefault="007722FF" w:rsidP="007722FF">
            <w:pPr>
              <w:pStyle w:val="ad"/>
              <w:spacing w:line="240" w:lineRule="auto"/>
              <w:rPr>
                <w:sz w:val="18"/>
                <w:szCs w:val="18"/>
              </w:rPr>
            </w:pPr>
            <w:r>
              <w:rPr>
                <w:sz w:val="18"/>
                <w:szCs w:val="18"/>
              </w:rPr>
              <w:t>286,90</w:t>
            </w:r>
          </w:p>
        </w:tc>
        <w:tc>
          <w:tcPr>
            <w:tcW w:w="3480" w:type="dxa"/>
            <w:tcBorders>
              <w:top w:val="single" w:sz="4" w:space="0" w:color="auto"/>
              <w:left w:val="single" w:sz="4" w:space="0" w:color="auto"/>
              <w:right w:val="single" w:sz="4" w:space="0" w:color="auto"/>
            </w:tcBorders>
            <w:shd w:val="clear" w:color="auto" w:fill="948B54"/>
            <w:vAlign w:val="bottom"/>
          </w:tcPr>
          <w:p w14:paraId="5875ED49" w14:textId="77777777" w:rsidR="007722FF" w:rsidRDefault="007722FF" w:rsidP="007722FF">
            <w:pPr>
              <w:pStyle w:val="ad"/>
              <w:spacing w:line="240" w:lineRule="auto"/>
              <w:ind w:firstLine="440"/>
              <w:jc w:val="both"/>
              <w:rPr>
                <w:sz w:val="18"/>
                <w:szCs w:val="18"/>
              </w:rPr>
            </w:pPr>
            <w:r>
              <w:rPr>
                <w:b/>
                <w:bCs/>
                <w:i/>
                <w:iCs/>
                <w:sz w:val="18"/>
                <w:szCs w:val="18"/>
              </w:rPr>
              <w:t>362,2</w:t>
            </w:r>
          </w:p>
        </w:tc>
      </w:tr>
      <w:tr w:rsidR="007722FF" w14:paraId="4175560A" w14:textId="77777777" w:rsidTr="007722FF">
        <w:trPr>
          <w:trHeight w:hRule="exact" w:val="422"/>
        </w:trPr>
        <w:tc>
          <w:tcPr>
            <w:tcW w:w="1003" w:type="dxa"/>
            <w:tcBorders>
              <w:top w:val="single" w:sz="4" w:space="0" w:color="auto"/>
              <w:left w:val="single" w:sz="4" w:space="0" w:color="auto"/>
            </w:tcBorders>
            <w:shd w:val="clear" w:color="auto" w:fill="E6EED6"/>
            <w:vAlign w:val="bottom"/>
          </w:tcPr>
          <w:p w14:paraId="555EAEA8" w14:textId="77777777" w:rsidR="007722FF" w:rsidRDefault="007722FF" w:rsidP="007722FF">
            <w:pPr>
              <w:pStyle w:val="ad"/>
              <w:spacing w:line="240" w:lineRule="auto"/>
              <w:ind w:firstLine="800"/>
              <w:rPr>
                <w:sz w:val="18"/>
                <w:szCs w:val="18"/>
              </w:rPr>
            </w:pPr>
            <w:r>
              <w:rPr>
                <w:b/>
                <w:bCs/>
                <w:sz w:val="18"/>
                <w:szCs w:val="18"/>
              </w:rPr>
              <w:t>0</w:t>
            </w:r>
          </w:p>
        </w:tc>
        <w:tc>
          <w:tcPr>
            <w:tcW w:w="1008" w:type="dxa"/>
            <w:tcBorders>
              <w:top w:val="single" w:sz="4" w:space="0" w:color="auto"/>
              <w:left w:val="single" w:sz="4" w:space="0" w:color="auto"/>
            </w:tcBorders>
            <w:shd w:val="clear" w:color="auto" w:fill="E6EED6"/>
            <w:vAlign w:val="bottom"/>
          </w:tcPr>
          <w:p w14:paraId="2C5F5227" w14:textId="77777777" w:rsidR="007722FF" w:rsidRDefault="007722FF" w:rsidP="007722FF">
            <w:pPr>
              <w:pStyle w:val="ad"/>
              <w:spacing w:line="240" w:lineRule="auto"/>
              <w:ind w:firstLine="800"/>
              <w:rPr>
                <w:sz w:val="18"/>
                <w:szCs w:val="18"/>
              </w:rPr>
            </w:pPr>
            <w:r>
              <w:rPr>
                <w:b/>
                <w:bCs/>
                <w:sz w:val="18"/>
                <w:szCs w:val="18"/>
              </w:rPr>
              <w:t>0</w:t>
            </w:r>
          </w:p>
        </w:tc>
        <w:tc>
          <w:tcPr>
            <w:tcW w:w="1003" w:type="dxa"/>
            <w:tcBorders>
              <w:top w:val="single" w:sz="4" w:space="0" w:color="auto"/>
              <w:left w:val="single" w:sz="4" w:space="0" w:color="auto"/>
            </w:tcBorders>
            <w:shd w:val="clear" w:color="auto" w:fill="E6EED6"/>
            <w:vAlign w:val="bottom"/>
          </w:tcPr>
          <w:p w14:paraId="5FDF63F4" w14:textId="77777777" w:rsidR="007722FF" w:rsidRDefault="007722FF" w:rsidP="007722FF">
            <w:pPr>
              <w:pStyle w:val="ad"/>
              <w:spacing w:line="240" w:lineRule="auto"/>
              <w:ind w:firstLine="0"/>
              <w:jc w:val="right"/>
              <w:rPr>
                <w:sz w:val="18"/>
                <w:szCs w:val="18"/>
              </w:rPr>
            </w:pPr>
            <w:r>
              <w:rPr>
                <w:b/>
                <w:bCs/>
                <w:sz w:val="18"/>
                <w:szCs w:val="18"/>
              </w:rPr>
              <w:t>0</w:t>
            </w:r>
          </w:p>
        </w:tc>
        <w:tc>
          <w:tcPr>
            <w:tcW w:w="1003" w:type="dxa"/>
            <w:tcBorders>
              <w:top w:val="single" w:sz="4" w:space="0" w:color="auto"/>
              <w:left w:val="single" w:sz="4" w:space="0" w:color="auto"/>
            </w:tcBorders>
            <w:shd w:val="clear" w:color="auto" w:fill="E6EED6"/>
            <w:vAlign w:val="bottom"/>
          </w:tcPr>
          <w:p w14:paraId="180A73EA" w14:textId="77777777" w:rsidR="007722FF" w:rsidRDefault="007722FF" w:rsidP="007722FF">
            <w:pPr>
              <w:pStyle w:val="ad"/>
              <w:spacing w:line="240" w:lineRule="auto"/>
              <w:ind w:firstLine="0"/>
              <w:jc w:val="right"/>
              <w:rPr>
                <w:sz w:val="18"/>
                <w:szCs w:val="18"/>
              </w:rPr>
            </w:pPr>
            <w:r>
              <w:rPr>
                <w:b/>
                <w:bCs/>
                <w:sz w:val="18"/>
                <w:szCs w:val="18"/>
              </w:rPr>
              <w:t>0</w:t>
            </w:r>
          </w:p>
        </w:tc>
        <w:tc>
          <w:tcPr>
            <w:tcW w:w="1008" w:type="dxa"/>
            <w:tcBorders>
              <w:top w:val="single" w:sz="4" w:space="0" w:color="auto"/>
              <w:left w:val="single" w:sz="4" w:space="0" w:color="auto"/>
            </w:tcBorders>
            <w:shd w:val="clear" w:color="auto" w:fill="E6EED6"/>
            <w:vAlign w:val="bottom"/>
          </w:tcPr>
          <w:p w14:paraId="640D9D8A" w14:textId="77777777" w:rsidR="007722FF" w:rsidRDefault="007722FF" w:rsidP="007722FF">
            <w:pPr>
              <w:pStyle w:val="ad"/>
              <w:spacing w:line="240" w:lineRule="auto"/>
              <w:ind w:firstLine="0"/>
              <w:jc w:val="right"/>
              <w:rPr>
                <w:sz w:val="18"/>
                <w:szCs w:val="18"/>
              </w:rPr>
            </w:pPr>
            <w:r>
              <w:rPr>
                <w:b/>
                <w:bCs/>
                <w:sz w:val="18"/>
                <w:szCs w:val="18"/>
              </w:rPr>
              <w:t>0</w:t>
            </w:r>
          </w:p>
        </w:tc>
        <w:tc>
          <w:tcPr>
            <w:tcW w:w="1003" w:type="dxa"/>
            <w:tcBorders>
              <w:top w:val="single" w:sz="4" w:space="0" w:color="auto"/>
              <w:left w:val="single" w:sz="4" w:space="0" w:color="auto"/>
            </w:tcBorders>
            <w:shd w:val="clear" w:color="auto" w:fill="E6EED6"/>
            <w:vAlign w:val="bottom"/>
          </w:tcPr>
          <w:p w14:paraId="7961A68C" w14:textId="77777777" w:rsidR="007722FF" w:rsidRDefault="007722FF" w:rsidP="007722FF">
            <w:pPr>
              <w:pStyle w:val="ad"/>
              <w:spacing w:line="240" w:lineRule="auto"/>
              <w:ind w:firstLine="0"/>
              <w:jc w:val="right"/>
              <w:rPr>
                <w:sz w:val="18"/>
                <w:szCs w:val="18"/>
              </w:rPr>
            </w:pPr>
            <w:r>
              <w:rPr>
                <w:sz w:val="18"/>
                <w:szCs w:val="18"/>
              </w:rPr>
              <w:t>0</w:t>
            </w:r>
          </w:p>
        </w:tc>
        <w:tc>
          <w:tcPr>
            <w:tcW w:w="3480" w:type="dxa"/>
            <w:tcBorders>
              <w:top w:val="single" w:sz="4" w:space="0" w:color="auto"/>
              <w:left w:val="single" w:sz="4" w:space="0" w:color="auto"/>
              <w:right w:val="single" w:sz="4" w:space="0" w:color="auto"/>
            </w:tcBorders>
            <w:shd w:val="clear" w:color="auto" w:fill="948B54"/>
            <w:vAlign w:val="bottom"/>
          </w:tcPr>
          <w:p w14:paraId="323F4CE2" w14:textId="77777777" w:rsidR="007722FF" w:rsidRDefault="007722FF" w:rsidP="007722FF">
            <w:pPr>
              <w:pStyle w:val="ad"/>
              <w:spacing w:line="240" w:lineRule="auto"/>
              <w:ind w:firstLine="0"/>
              <w:jc w:val="right"/>
              <w:rPr>
                <w:sz w:val="18"/>
                <w:szCs w:val="18"/>
              </w:rPr>
            </w:pPr>
            <w:r>
              <w:rPr>
                <w:b/>
                <w:bCs/>
                <w:i/>
                <w:iCs/>
                <w:sz w:val="18"/>
                <w:szCs w:val="18"/>
              </w:rPr>
              <w:t>-</w:t>
            </w:r>
          </w:p>
        </w:tc>
      </w:tr>
      <w:tr w:rsidR="007722FF" w14:paraId="1F9A0956" w14:textId="77777777" w:rsidTr="007722FF">
        <w:trPr>
          <w:trHeight w:hRule="exact" w:val="422"/>
        </w:trPr>
        <w:tc>
          <w:tcPr>
            <w:tcW w:w="1003" w:type="dxa"/>
            <w:tcBorders>
              <w:top w:val="single" w:sz="4" w:space="0" w:color="auto"/>
              <w:left w:val="single" w:sz="4" w:space="0" w:color="auto"/>
            </w:tcBorders>
            <w:shd w:val="clear" w:color="auto" w:fill="E6EED6"/>
            <w:vAlign w:val="bottom"/>
          </w:tcPr>
          <w:p w14:paraId="4D72929A" w14:textId="77777777" w:rsidR="007722FF" w:rsidRDefault="007722FF" w:rsidP="007722FF">
            <w:pPr>
              <w:pStyle w:val="ad"/>
              <w:spacing w:line="240" w:lineRule="auto"/>
              <w:ind w:firstLine="580"/>
              <w:jc w:val="both"/>
              <w:rPr>
                <w:sz w:val="18"/>
                <w:szCs w:val="18"/>
              </w:rPr>
            </w:pPr>
            <w:r>
              <w:rPr>
                <w:b/>
                <w:bCs/>
                <w:sz w:val="18"/>
                <w:szCs w:val="18"/>
              </w:rPr>
              <w:t>36,1</w:t>
            </w:r>
          </w:p>
        </w:tc>
        <w:tc>
          <w:tcPr>
            <w:tcW w:w="1008" w:type="dxa"/>
            <w:tcBorders>
              <w:top w:val="single" w:sz="4" w:space="0" w:color="auto"/>
              <w:left w:val="single" w:sz="4" w:space="0" w:color="auto"/>
            </w:tcBorders>
            <w:shd w:val="clear" w:color="auto" w:fill="E6EED6"/>
            <w:vAlign w:val="bottom"/>
          </w:tcPr>
          <w:p w14:paraId="3F6EF709" w14:textId="77777777" w:rsidR="007722FF" w:rsidRDefault="007722FF" w:rsidP="007722FF">
            <w:pPr>
              <w:pStyle w:val="ad"/>
              <w:spacing w:line="240" w:lineRule="auto"/>
              <w:ind w:firstLine="580"/>
              <w:jc w:val="both"/>
              <w:rPr>
                <w:sz w:val="18"/>
                <w:szCs w:val="18"/>
              </w:rPr>
            </w:pPr>
            <w:r>
              <w:rPr>
                <w:b/>
                <w:bCs/>
                <w:sz w:val="18"/>
                <w:szCs w:val="18"/>
              </w:rPr>
              <w:t>16,7</w:t>
            </w:r>
          </w:p>
        </w:tc>
        <w:tc>
          <w:tcPr>
            <w:tcW w:w="1003" w:type="dxa"/>
            <w:tcBorders>
              <w:top w:val="single" w:sz="4" w:space="0" w:color="auto"/>
              <w:left w:val="single" w:sz="4" w:space="0" w:color="auto"/>
            </w:tcBorders>
            <w:shd w:val="clear" w:color="auto" w:fill="E6EED6"/>
            <w:vAlign w:val="bottom"/>
          </w:tcPr>
          <w:p w14:paraId="1F07ECFD" w14:textId="77777777" w:rsidR="007722FF" w:rsidRDefault="007722FF" w:rsidP="007722FF">
            <w:pPr>
              <w:pStyle w:val="ad"/>
              <w:spacing w:line="240" w:lineRule="auto"/>
              <w:ind w:firstLine="440"/>
              <w:rPr>
                <w:sz w:val="18"/>
                <w:szCs w:val="18"/>
              </w:rPr>
            </w:pPr>
            <w:r>
              <w:rPr>
                <w:b/>
                <w:bCs/>
                <w:sz w:val="18"/>
                <w:szCs w:val="18"/>
              </w:rPr>
              <w:t>225,2</w:t>
            </w:r>
          </w:p>
        </w:tc>
        <w:tc>
          <w:tcPr>
            <w:tcW w:w="1003" w:type="dxa"/>
            <w:tcBorders>
              <w:top w:val="single" w:sz="4" w:space="0" w:color="auto"/>
              <w:left w:val="single" w:sz="4" w:space="0" w:color="auto"/>
            </w:tcBorders>
            <w:shd w:val="clear" w:color="auto" w:fill="E6EED6"/>
            <w:vAlign w:val="bottom"/>
          </w:tcPr>
          <w:p w14:paraId="0E1B5BC9" w14:textId="77777777" w:rsidR="007722FF" w:rsidRDefault="007722FF" w:rsidP="007722FF">
            <w:pPr>
              <w:pStyle w:val="ad"/>
              <w:spacing w:line="240" w:lineRule="auto"/>
              <w:ind w:firstLine="460"/>
              <w:jc w:val="both"/>
              <w:rPr>
                <w:sz w:val="18"/>
                <w:szCs w:val="18"/>
              </w:rPr>
            </w:pPr>
            <w:r>
              <w:rPr>
                <w:b/>
                <w:bCs/>
                <w:sz w:val="18"/>
                <w:szCs w:val="18"/>
              </w:rPr>
              <w:t>638,3</w:t>
            </w:r>
          </w:p>
        </w:tc>
        <w:tc>
          <w:tcPr>
            <w:tcW w:w="1008" w:type="dxa"/>
            <w:tcBorders>
              <w:top w:val="single" w:sz="4" w:space="0" w:color="auto"/>
              <w:left w:val="single" w:sz="4" w:space="0" w:color="auto"/>
            </w:tcBorders>
            <w:shd w:val="clear" w:color="auto" w:fill="E6EED6"/>
            <w:vAlign w:val="bottom"/>
          </w:tcPr>
          <w:p w14:paraId="4A9CF87F" w14:textId="77777777" w:rsidR="007722FF" w:rsidRDefault="007722FF" w:rsidP="007722FF">
            <w:pPr>
              <w:pStyle w:val="ad"/>
              <w:spacing w:line="240" w:lineRule="auto"/>
              <w:ind w:firstLine="260"/>
              <w:jc w:val="both"/>
              <w:rPr>
                <w:sz w:val="18"/>
                <w:szCs w:val="18"/>
              </w:rPr>
            </w:pPr>
            <w:r>
              <w:rPr>
                <w:b/>
                <w:bCs/>
                <w:sz w:val="18"/>
                <w:szCs w:val="18"/>
              </w:rPr>
              <w:t>1 199,50</w:t>
            </w:r>
          </w:p>
        </w:tc>
        <w:tc>
          <w:tcPr>
            <w:tcW w:w="1003" w:type="dxa"/>
            <w:tcBorders>
              <w:top w:val="single" w:sz="4" w:space="0" w:color="auto"/>
              <w:left w:val="single" w:sz="4" w:space="0" w:color="auto"/>
            </w:tcBorders>
            <w:shd w:val="clear" w:color="auto" w:fill="E6EED6"/>
            <w:vAlign w:val="bottom"/>
          </w:tcPr>
          <w:p w14:paraId="02F60F1C" w14:textId="77777777" w:rsidR="007722FF" w:rsidRDefault="007722FF" w:rsidP="007722FF">
            <w:pPr>
              <w:pStyle w:val="ad"/>
              <w:spacing w:line="240" w:lineRule="auto"/>
              <w:rPr>
                <w:sz w:val="18"/>
                <w:szCs w:val="18"/>
              </w:rPr>
            </w:pPr>
            <w:r>
              <w:rPr>
                <w:sz w:val="18"/>
                <w:szCs w:val="18"/>
              </w:rPr>
              <w:t>334,20</w:t>
            </w:r>
          </w:p>
        </w:tc>
        <w:tc>
          <w:tcPr>
            <w:tcW w:w="3480" w:type="dxa"/>
            <w:tcBorders>
              <w:top w:val="single" w:sz="4" w:space="0" w:color="auto"/>
              <w:left w:val="single" w:sz="4" w:space="0" w:color="auto"/>
              <w:right w:val="single" w:sz="4" w:space="0" w:color="auto"/>
            </w:tcBorders>
            <w:shd w:val="clear" w:color="auto" w:fill="948B54"/>
            <w:vAlign w:val="bottom"/>
          </w:tcPr>
          <w:p w14:paraId="34AE5906" w14:textId="77777777" w:rsidR="007722FF" w:rsidRDefault="007722FF" w:rsidP="007722FF">
            <w:pPr>
              <w:pStyle w:val="ad"/>
              <w:spacing w:line="240" w:lineRule="auto"/>
              <w:ind w:firstLine="220"/>
              <w:jc w:val="both"/>
              <w:rPr>
                <w:sz w:val="18"/>
                <w:szCs w:val="18"/>
              </w:rPr>
            </w:pPr>
            <w:r>
              <w:rPr>
                <w:b/>
                <w:bCs/>
                <w:i/>
                <w:iCs/>
                <w:sz w:val="18"/>
                <w:szCs w:val="18"/>
              </w:rPr>
              <w:t>у 9 разів</w:t>
            </w:r>
          </w:p>
        </w:tc>
      </w:tr>
      <w:tr w:rsidR="007722FF" w14:paraId="47C936A7" w14:textId="77777777" w:rsidTr="007722FF">
        <w:trPr>
          <w:trHeight w:hRule="exact" w:val="408"/>
        </w:trPr>
        <w:tc>
          <w:tcPr>
            <w:tcW w:w="1003" w:type="dxa"/>
            <w:tcBorders>
              <w:top w:val="single" w:sz="4" w:space="0" w:color="auto"/>
              <w:left w:val="single" w:sz="4" w:space="0" w:color="auto"/>
            </w:tcBorders>
            <w:shd w:val="clear" w:color="auto" w:fill="E6EED6"/>
            <w:vAlign w:val="bottom"/>
          </w:tcPr>
          <w:p w14:paraId="7364DDAA" w14:textId="77777777" w:rsidR="007722FF" w:rsidRDefault="007722FF" w:rsidP="007722FF">
            <w:pPr>
              <w:pStyle w:val="ad"/>
              <w:spacing w:line="240" w:lineRule="auto"/>
              <w:ind w:firstLine="260"/>
              <w:jc w:val="both"/>
              <w:rPr>
                <w:sz w:val="18"/>
                <w:szCs w:val="18"/>
              </w:rPr>
            </w:pPr>
            <w:r>
              <w:rPr>
                <w:b/>
                <w:bCs/>
                <w:sz w:val="18"/>
                <w:szCs w:val="18"/>
              </w:rPr>
              <w:t>3 976,30</w:t>
            </w:r>
          </w:p>
        </w:tc>
        <w:tc>
          <w:tcPr>
            <w:tcW w:w="1008" w:type="dxa"/>
            <w:tcBorders>
              <w:top w:val="single" w:sz="4" w:space="0" w:color="auto"/>
              <w:left w:val="single" w:sz="4" w:space="0" w:color="auto"/>
            </w:tcBorders>
            <w:shd w:val="clear" w:color="auto" w:fill="E6EED6"/>
            <w:vAlign w:val="bottom"/>
          </w:tcPr>
          <w:p w14:paraId="7F98B026" w14:textId="77777777" w:rsidR="007722FF" w:rsidRDefault="007722FF" w:rsidP="007722FF">
            <w:pPr>
              <w:pStyle w:val="ad"/>
              <w:spacing w:line="240" w:lineRule="auto"/>
              <w:ind w:firstLine="260"/>
              <w:jc w:val="both"/>
              <w:rPr>
                <w:sz w:val="18"/>
                <w:szCs w:val="18"/>
              </w:rPr>
            </w:pPr>
            <w:r>
              <w:rPr>
                <w:b/>
                <w:bCs/>
                <w:sz w:val="18"/>
                <w:szCs w:val="18"/>
              </w:rPr>
              <w:t>4 302,50</w:t>
            </w:r>
          </w:p>
        </w:tc>
        <w:tc>
          <w:tcPr>
            <w:tcW w:w="1003" w:type="dxa"/>
            <w:tcBorders>
              <w:top w:val="single" w:sz="4" w:space="0" w:color="auto"/>
              <w:left w:val="single" w:sz="4" w:space="0" w:color="auto"/>
            </w:tcBorders>
            <w:shd w:val="clear" w:color="auto" w:fill="E6EED6"/>
            <w:vAlign w:val="bottom"/>
          </w:tcPr>
          <w:p w14:paraId="1FAAA981" w14:textId="77777777" w:rsidR="007722FF" w:rsidRDefault="007722FF" w:rsidP="007722FF">
            <w:pPr>
              <w:pStyle w:val="ad"/>
              <w:spacing w:line="240" w:lineRule="auto"/>
              <w:ind w:firstLine="260"/>
              <w:jc w:val="both"/>
              <w:rPr>
                <w:sz w:val="18"/>
                <w:szCs w:val="18"/>
              </w:rPr>
            </w:pPr>
            <w:r>
              <w:rPr>
                <w:b/>
                <w:bCs/>
                <w:sz w:val="18"/>
                <w:szCs w:val="18"/>
              </w:rPr>
              <w:t>3 902,10</w:t>
            </w:r>
          </w:p>
        </w:tc>
        <w:tc>
          <w:tcPr>
            <w:tcW w:w="1003" w:type="dxa"/>
            <w:tcBorders>
              <w:top w:val="single" w:sz="4" w:space="0" w:color="auto"/>
              <w:left w:val="single" w:sz="4" w:space="0" w:color="auto"/>
            </w:tcBorders>
            <w:shd w:val="clear" w:color="auto" w:fill="E6EED6"/>
            <w:vAlign w:val="bottom"/>
          </w:tcPr>
          <w:p w14:paraId="71356B8A" w14:textId="77777777" w:rsidR="007722FF" w:rsidRDefault="007722FF" w:rsidP="007722FF">
            <w:pPr>
              <w:pStyle w:val="ad"/>
              <w:spacing w:line="240" w:lineRule="auto"/>
              <w:ind w:firstLine="260"/>
              <w:jc w:val="both"/>
              <w:rPr>
                <w:sz w:val="18"/>
                <w:szCs w:val="18"/>
              </w:rPr>
            </w:pPr>
            <w:r>
              <w:rPr>
                <w:b/>
                <w:bCs/>
                <w:sz w:val="18"/>
                <w:szCs w:val="18"/>
              </w:rPr>
              <w:t>8 033,90</w:t>
            </w:r>
          </w:p>
        </w:tc>
        <w:tc>
          <w:tcPr>
            <w:tcW w:w="1008" w:type="dxa"/>
            <w:tcBorders>
              <w:top w:val="single" w:sz="4" w:space="0" w:color="auto"/>
              <w:left w:val="single" w:sz="4" w:space="0" w:color="auto"/>
            </w:tcBorders>
            <w:shd w:val="clear" w:color="auto" w:fill="E6EED6"/>
            <w:vAlign w:val="bottom"/>
          </w:tcPr>
          <w:p w14:paraId="296B7762" w14:textId="77777777" w:rsidR="007722FF" w:rsidRDefault="007722FF" w:rsidP="007722FF">
            <w:pPr>
              <w:pStyle w:val="ad"/>
              <w:spacing w:line="240" w:lineRule="auto"/>
              <w:ind w:firstLine="160"/>
              <w:jc w:val="both"/>
              <w:rPr>
                <w:sz w:val="18"/>
                <w:szCs w:val="18"/>
              </w:rPr>
            </w:pPr>
            <w:r>
              <w:rPr>
                <w:b/>
                <w:bCs/>
                <w:sz w:val="18"/>
                <w:szCs w:val="18"/>
              </w:rPr>
              <w:t>15 730,60</w:t>
            </w:r>
          </w:p>
        </w:tc>
        <w:tc>
          <w:tcPr>
            <w:tcW w:w="1003" w:type="dxa"/>
            <w:tcBorders>
              <w:top w:val="single" w:sz="4" w:space="0" w:color="auto"/>
              <w:left w:val="single" w:sz="4" w:space="0" w:color="auto"/>
            </w:tcBorders>
            <w:shd w:val="clear" w:color="auto" w:fill="E6EED6"/>
            <w:vAlign w:val="bottom"/>
          </w:tcPr>
          <w:p w14:paraId="1ACFB3F5" w14:textId="77777777" w:rsidR="007722FF" w:rsidRDefault="007722FF" w:rsidP="007722FF">
            <w:pPr>
              <w:pStyle w:val="ad"/>
              <w:spacing w:line="240" w:lineRule="auto"/>
              <w:ind w:firstLine="160"/>
              <w:rPr>
                <w:sz w:val="18"/>
                <w:szCs w:val="18"/>
              </w:rPr>
            </w:pPr>
            <w:r>
              <w:rPr>
                <w:sz w:val="18"/>
                <w:szCs w:val="18"/>
              </w:rPr>
              <w:t>32 569,00</w:t>
            </w:r>
          </w:p>
        </w:tc>
        <w:tc>
          <w:tcPr>
            <w:tcW w:w="3480" w:type="dxa"/>
            <w:tcBorders>
              <w:top w:val="single" w:sz="4" w:space="0" w:color="auto"/>
              <w:left w:val="single" w:sz="4" w:space="0" w:color="auto"/>
              <w:right w:val="single" w:sz="4" w:space="0" w:color="auto"/>
            </w:tcBorders>
            <w:shd w:val="clear" w:color="auto" w:fill="948B54"/>
            <w:vAlign w:val="bottom"/>
          </w:tcPr>
          <w:p w14:paraId="2D37912D" w14:textId="77777777" w:rsidR="007722FF" w:rsidRDefault="007722FF" w:rsidP="007722FF">
            <w:pPr>
              <w:pStyle w:val="ad"/>
              <w:spacing w:line="240" w:lineRule="auto"/>
              <w:ind w:firstLine="220"/>
              <w:jc w:val="both"/>
              <w:rPr>
                <w:sz w:val="18"/>
                <w:szCs w:val="18"/>
              </w:rPr>
            </w:pPr>
            <w:r>
              <w:rPr>
                <w:b/>
                <w:bCs/>
                <w:i/>
                <w:iCs/>
                <w:sz w:val="18"/>
                <w:szCs w:val="18"/>
              </w:rPr>
              <w:t>у 8 разів</w:t>
            </w:r>
          </w:p>
        </w:tc>
      </w:tr>
      <w:tr w:rsidR="007722FF" w14:paraId="4D4C82B4" w14:textId="77777777" w:rsidTr="007722FF">
        <w:trPr>
          <w:trHeight w:hRule="exact" w:val="629"/>
        </w:trPr>
        <w:tc>
          <w:tcPr>
            <w:tcW w:w="1003" w:type="dxa"/>
            <w:tcBorders>
              <w:top w:val="single" w:sz="4" w:space="0" w:color="auto"/>
              <w:left w:val="single" w:sz="4" w:space="0" w:color="auto"/>
            </w:tcBorders>
            <w:shd w:val="clear" w:color="auto" w:fill="auto"/>
            <w:vAlign w:val="bottom"/>
          </w:tcPr>
          <w:p w14:paraId="0D426D34" w14:textId="77777777" w:rsidR="007722FF" w:rsidRDefault="007722FF" w:rsidP="007722FF">
            <w:pPr>
              <w:pStyle w:val="ad"/>
              <w:spacing w:line="240" w:lineRule="auto"/>
              <w:ind w:firstLine="260"/>
              <w:jc w:val="both"/>
              <w:rPr>
                <w:sz w:val="18"/>
                <w:szCs w:val="18"/>
              </w:rPr>
            </w:pPr>
            <w:r>
              <w:rPr>
                <w:sz w:val="18"/>
                <w:szCs w:val="18"/>
              </w:rPr>
              <w:t>3 821,20</w:t>
            </w:r>
          </w:p>
        </w:tc>
        <w:tc>
          <w:tcPr>
            <w:tcW w:w="1008" w:type="dxa"/>
            <w:tcBorders>
              <w:top w:val="single" w:sz="4" w:space="0" w:color="auto"/>
              <w:left w:val="single" w:sz="4" w:space="0" w:color="auto"/>
            </w:tcBorders>
            <w:shd w:val="clear" w:color="auto" w:fill="auto"/>
            <w:vAlign w:val="bottom"/>
          </w:tcPr>
          <w:p w14:paraId="486410C6" w14:textId="77777777" w:rsidR="007722FF" w:rsidRDefault="007722FF" w:rsidP="007722FF">
            <w:pPr>
              <w:pStyle w:val="ad"/>
              <w:spacing w:line="240" w:lineRule="auto"/>
              <w:ind w:firstLine="260"/>
              <w:jc w:val="both"/>
              <w:rPr>
                <w:sz w:val="18"/>
                <w:szCs w:val="18"/>
              </w:rPr>
            </w:pPr>
            <w:r>
              <w:rPr>
                <w:sz w:val="18"/>
                <w:szCs w:val="18"/>
              </w:rPr>
              <w:t>4 186,50</w:t>
            </w:r>
          </w:p>
        </w:tc>
        <w:tc>
          <w:tcPr>
            <w:tcW w:w="1003" w:type="dxa"/>
            <w:tcBorders>
              <w:top w:val="single" w:sz="4" w:space="0" w:color="auto"/>
              <w:left w:val="single" w:sz="4" w:space="0" w:color="auto"/>
            </w:tcBorders>
            <w:shd w:val="clear" w:color="auto" w:fill="auto"/>
            <w:vAlign w:val="bottom"/>
          </w:tcPr>
          <w:p w14:paraId="41E44E33" w14:textId="77777777" w:rsidR="007722FF" w:rsidRDefault="007722FF" w:rsidP="007722FF">
            <w:pPr>
              <w:pStyle w:val="ad"/>
              <w:spacing w:line="240" w:lineRule="auto"/>
              <w:ind w:firstLine="260"/>
              <w:jc w:val="both"/>
              <w:rPr>
                <w:sz w:val="18"/>
                <w:szCs w:val="18"/>
              </w:rPr>
            </w:pPr>
            <w:r>
              <w:rPr>
                <w:sz w:val="18"/>
                <w:szCs w:val="18"/>
              </w:rPr>
              <w:t>3 820,90</w:t>
            </w:r>
          </w:p>
        </w:tc>
        <w:tc>
          <w:tcPr>
            <w:tcW w:w="1003" w:type="dxa"/>
            <w:tcBorders>
              <w:top w:val="single" w:sz="4" w:space="0" w:color="auto"/>
              <w:left w:val="single" w:sz="4" w:space="0" w:color="auto"/>
            </w:tcBorders>
            <w:shd w:val="clear" w:color="auto" w:fill="auto"/>
            <w:vAlign w:val="bottom"/>
          </w:tcPr>
          <w:p w14:paraId="6E98E54C" w14:textId="77777777" w:rsidR="007722FF" w:rsidRDefault="007722FF" w:rsidP="007722FF">
            <w:pPr>
              <w:pStyle w:val="ad"/>
              <w:spacing w:line="240" w:lineRule="auto"/>
              <w:ind w:firstLine="260"/>
              <w:jc w:val="both"/>
              <w:rPr>
                <w:sz w:val="18"/>
                <w:szCs w:val="18"/>
              </w:rPr>
            </w:pPr>
            <w:r>
              <w:rPr>
                <w:sz w:val="18"/>
                <w:szCs w:val="18"/>
              </w:rPr>
              <w:t>7 675,10</w:t>
            </w:r>
          </w:p>
        </w:tc>
        <w:tc>
          <w:tcPr>
            <w:tcW w:w="1008" w:type="dxa"/>
            <w:tcBorders>
              <w:top w:val="single" w:sz="4" w:space="0" w:color="auto"/>
              <w:left w:val="single" w:sz="4" w:space="0" w:color="auto"/>
            </w:tcBorders>
            <w:shd w:val="clear" w:color="auto" w:fill="auto"/>
            <w:vAlign w:val="bottom"/>
          </w:tcPr>
          <w:p w14:paraId="7AA18E97" w14:textId="77777777" w:rsidR="007722FF" w:rsidRDefault="007722FF" w:rsidP="007722FF">
            <w:pPr>
              <w:pStyle w:val="ad"/>
              <w:spacing w:line="240" w:lineRule="auto"/>
              <w:ind w:firstLine="160"/>
              <w:jc w:val="both"/>
              <w:rPr>
                <w:sz w:val="18"/>
                <w:szCs w:val="18"/>
              </w:rPr>
            </w:pPr>
            <w:r>
              <w:rPr>
                <w:sz w:val="18"/>
                <w:szCs w:val="18"/>
              </w:rPr>
              <w:t>14 894,30</w:t>
            </w:r>
          </w:p>
        </w:tc>
        <w:tc>
          <w:tcPr>
            <w:tcW w:w="1003" w:type="dxa"/>
            <w:tcBorders>
              <w:top w:val="single" w:sz="4" w:space="0" w:color="auto"/>
              <w:left w:val="single" w:sz="4" w:space="0" w:color="auto"/>
            </w:tcBorders>
            <w:shd w:val="clear" w:color="auto" w:fill="auto"/>
            <w:vAlign w:val="bottom"/>
          </w:tcPr>
          <w:p w14:paraId="22E82BF8" w14:textId="77777777" w:rsidR="007722FF" w:rsidRDefault="007722FF" w:rsidP="007722FF">
            <w:pPr>
              <w:pStyle w:val="ad"/>
              <w:spacing w:line="240" w:lineRule="auto"/>
              <w:ind w:firstLine="160"/>
              <w:rPr>
                <w:sz w:val="18"/>
                <w:szCs w:val="18"/>
              </w:rPr>
            </w:pPr>
            <w:r>
              <w:rPr>
                <w:sz w:val="18"/>
                <w:szCs w:val="18"/>
              </w:rPr>
              <w:t>31 037,40</w:t>
            </w:r>
          </w:p>
        </w:tc>
        <w:tc>
          <w:tcPr>
            <w:tcW w:w="3480" w:type="dxa"/>
            <w:tcBorders>
              <w:top w:val="single" w:sz="4" w:space="0" w:color="auto"/>
              <w:left w:val="single" w:sz="4" w:space="0" w:color="auto"/>
              <w:right w:val="single" w:sz="4" w:space="0" w:color="auto"/>
            </w:tcBorders>
            <w:shd w:val="clear" w:color="auto" w:fill="948B54"/>
            <w:vAlign w:val="bottom"/>
          </w:tcPr>
          <w:p w14:paraId="3FEB9F56" w14:textId="77777777" w:rsidR="007722FF" w:rsidRDefault="007722FF" w:rsidP="007722FF">
            <w:pPr>
              <w:pStyle w:val="ad"/>
              <w:spacing w:line="240" w:lineRule="auto"/>
              <w:ind w:firstLine="220"/>
              <w:jc w:val="both"/>
              <w:rPr>
                <w:sz w:val="18"/>
                <w:szCs w:val="18"/>
              </w:rPr>
            </w:pPr>
            <w:r>
              <w:rPr>
                <w:b/>
                <w:bCs/>
                <w:i/>
                <w:iCs/>
                <w:sz w:val="18"/>
                <w:szCs w:val="18"/>
              </w:rPr>
              <w:t>у 8 разів</w:t>
            </w:r>
          </w:p>
        </w:tc>
      </w:tr>
      <w:tr w:rsidR="007722FF" w14:paraId="6C7FDE72" w14:textId="77777777" w:rsidTr="007722FF">
        <w:trPr>
          <w:trHeight w:hRule="exact" w:val="634"/>
        </w:trPr>
        <w:tc>
          <w:tcPr>
            <w:tcW w:w="1003" w:type="dxa"/>
            <w:tcBorders>
              <w:top w:val="single" w:sz="4" w:space="0" w:color="auto"/>
              <w:left w:val="single" w:sz="4" w:space="0" w:color="auto"/>
            </w:tcBorders>
            <w:shd w:val="clear" w:color="auto" w:fill="auto"/>
            <w:vAlign w:val="bottom"/>
          </w:tcPr>
          <w:p w14:paraId="0B3F12C7" w14:textId="77777777" w:rsidR="007722FF" w:rsidRDefault="007722FF" w:rsidP="007722FF">
            <w:pPr>
              <w:pStyle w:val="ad"/>
              <w:spacing w:line="240" w:lineRule="auto"/>
              <w:ind w:firstLine="440"/>
              <w:rPr>
                <w:sz w:val="18"/>
                <w:szCs w:val="18"/>
              </w:rPr>
            </w:pPr>
            <w:r>
              <w:rPr>
                <w:sz w:val="18"/>
                <w:szCs w:val="18"/>
              </w:rPr>
              <w:t>125,5</w:t>
            </w:r>
          </w:p>
        </w:tc>
        <w:tc>
          <w:tcPr>
            <w:tcW w:w="1008" w:type="dxa"/>
            <w:tcBorders>
              <w:top w:val="single" w:sz="4" w:space="0" w:color="auto"/>
              <w:left w:val="single" w:sz="4" w:space="0" w:color="auto"/>
            </w:tcBorders>
            <w:shd w:val="clear" w:color="auto" w:fill="auto"/>
            <w:vAlign w:val="bottom"/>
          </w:tcPr>
          <w:p w14:paraId="0DC0188A" w14:textId="77777777" w:rsidR="007722FF" w:rsidRDefault="007722FF" w:rsidP="007722FF">
            <w:pPr>
              <w:pStyle w:val="ad"/>
              <w:spacing w:line="240" w:lineRule="auto"/>
              <w:ind w:firstLine="580"/>
              <w:jc w:val="both"/>
              <w:rPr>
                <w:sz w:val="18"/>
                <w:szCs w:val="18"/>
              </w:rPr>
            </w:pPr>
            <w:r>
              <w:rPr>
                <w:sz w:val="18"/>
                <w:szCs w:val="18"/>
              </w:rPr>
              <w:t>83,2</w:t>
            </w:r>
          </w:p>
        </w:tc>
        <w:tc>
          <w:tcPr>
            <w:tcW w:w="1003" w:type="dxa"/>
            <w:tcBorders>
              <w:top w:val="single" w:sz="4" w:space="0" w:color="auto"/>
              <w:left w:val="single" w:sz="4" w:space="0" w:color="auto"/>
            </w:tcBorders>
            <w:shd w:val="clear" w:color="auto" w:fill="auto"/>
            <w:vAlign w:val="bottom"/>
          </w:tcPr>
          <w:p w14:paraId="1D7A1B1C" w14:textId="77777777" w:rsidR="007722FF" w:rsidRDefault="007722FF" w:rsidP="007722FF">
            <w:pPr>
              <w:pStyle w:val="ad"/>
              <w:spacing w:line="240" w:lineRule="auto"/>
              <w:ind w:firstLine="580"/>
              <w:jc w:val="both"/>
              <w:rPr>
                <w:sz w:val="18"/>
                <w:szCs w:val="18"/>
              </w:rPr>
            </w:pPr>
            <w:r>
              <w:rPr>
                <w:sz w:val="18"/>
                <w:szCs w:val="18"/>
              </w:rPr>
              <w:t>62,4</w:t>
            </w:r>
          </w:p>
        </w:tc>
        <w:tc>
          <w:tcPr>
            <w:tcW w:w="1003" w:type="dxa"/>
            <w:tcBorders>
              <w:top w:val="single" w:sz="4" w:space="0" w:color="auto"/>
              <w:left w:val="single" w:sz="4" w:space="0" w:color="auto"/>
            </w:tcBorders>
            <w:shd w:val="clear" w:color="auto" w:fill="auto"/>
            <w:vAlign w:val="bottom"/>
          </w:tcPr>
          <w:p w14:paraId="706EC4C1" w14:textId="77777777" w:rsidR="007722FF" w:rsidRDefault="007722FF" w:rsidP="007722FF">
            <w:pPr>
              <w:pStyle w:val="ad"/>
              <w:spacing w:line="240" w:lineRule="auto"/>
              <w:ind w:firstLine="460"/>
              <w:jc w:val="both"/>
              <w:rPr>
                <w:sz w:val="18"/>
                <w:szCs w:val="18"/>
              </w:rPr>
            </w:pPr>
            <w:r>
              <w:rPr>
                <w:sz w:val="18"/>
                <w:szCs w:val="18"/>
              </w:rPr>
              <w:t>269,2</w:t>
            </w:r>
          </w:p>
        </w:tc>
        <w:tc>
          <w:tcPr>
            <w:tcW w:w="1008" w:type="dxa"/>
            <w:tcBorders>
              <w:top w:val="single" w:sz="4" w:space="0" w:color="auto"/>
              <w:left w:val="single" w:sz="4" w:space="0" w:color="auto"/>
            </w:tcBorders>
            <w:shd w:val="clear" w:color="auto" w:fill="auto"/>
            <w:vAlign w:val="bottom"/>
          </w:tcPr>
          <w:p w14:paraId="647F1A2B" w14:textId="77777777" w:rsidR="007722FF" w:rsidRDefault="007722FF" w:rsidP="007722FF">
            <w:pPr>
              <w:pStyle w:val="ad"/>
              <w:spacing w:line="240" w:lineRule="auto"/>
              <w:ind w:firstLine="460"/>
              <w:jc w:val="both"/>
              <w:rPr>
                <w:sz w:val="18"/>
                <w:szCs w:val="18"/>
              </w:rPr>
            </w:pPr>
            <w:r>
              <w:rPr>
                <w:sz w:val="18"/>
                <w:szCs w:val="18"/>
              </w:rPr>
              <w:t>420,4</w:t>
            </w:r>
          </w:p>
        </w:tc>
        <w:tc>
          <w:tcPr>
            <w:tcW w:w="1003" w:type="dxa"/>
            <w:tcBorders>
              <w:top w:val="single" w:sz="4" w:space="0" w:color="auto"/>
              <w:left w:val="single" w:sz="4" w:space="0" w:color="auto"/>
            </w:tcBorders>
            <w:shd w:val="clear" w:color="auto" w:fill="auto"/>
            <w:vAlign w:val="bottom"/>
          </w:tcPr>
          <w:p w14:paraId="7B1BDFC6" w14:textId="77777777" w:rsidR="007722FF" w:rsidRDefault="007722FF" w:rsidP="007722FF">
            <w:pPr>
              <w:pStyle w:val="ad"/>
              <w:spacing w:line="240" w:lineRule="auto"/>
              <w:rPr>
                <w:sz w:val="18"/>
                <w:szCs w:val="18"/>
              </w:rPr>
            </w:pPr>
            <w:r>
              <w:rPr>
                <w:sz w:val="18"/>
                <w:szCs w:val="18"/>
              </w:rPr>
              <w:t>967,30</w:t>
            </w:r>
          </w:p>
        </w:tc>
        <w:tc>
          <w:tcPr>
            <w:tcW w:w="3480" w:type="dxa"/>
            <w:tcBorders>
              <w:top w:val="single" w:sz="4" w:space="0" w:color="auto"/>
              <w:left w:val="single" w:sz="4" w:space="0" w:color="auto"/>
              <w:right w:val="single" w:sz="4" w:space="0" w:color="auto"/>
            </w:tcBorders>
            <w:shd w:val="clear" w:color="auto" w:fill="948B54"/>
            <w:vAlign w:val="bottom"/>
          </w:tcPr>
          <w:p w14:paraId="7764AE4E" w14:textId="77777777" w:rsidR="007722FF" w:rsidRDefault="007722FF" w:rsidP="007722FF">
            <w:pPr>
              <w:pStyle w:val="ad"/>
              <w:spacing w:line="240" w:lineRule="auto"/>
              <w:ind w:firstLine="220"/>
              <w:jc w:val="both"/>
              <w:rPr>
                <w:sz w:val="18"/>
                <w:szCs w:val="18"/>
              </w:rPr>
            </w:pPr>
            <w:r>
              <w:rPr>
                <w:b/>
                <w:bCs/>
                <w:i/>
                <w:iCs/>
                <w:sz w:val="18"/>
                <w:szCs w:val="18"/>
              </w:rPr>
              <w:t>у 7 разів</w:t>
            </w:r>
          </w:p>
        </w:tc>
      </w:tr>
      <w:tr w:rsidR="007722FF" w14:paraId="2B06D751" w14:textId="77777777" w:rsidTr="007722FF">
        <w:trPr>
          <w:trHeight w:hRule="exact" w:val="432"/>
        </w:trPr>
        <w:tc>
          <w:tcPr>
            <w:tcW w:w="1003" w:type="dxa"/>
            <w:tcBorders>
              <w:top w:val="single" w:sz="4" w:space="0" w:color="auto"/>
              <w:left w:val="single" w:sz="4" w:space="0" w:color="auto"/>
              <w:bottom w:val="single" w:sz="4" w:space="0" w:color="auto"/>
            </w:tcBorders>
            <w:shd w:val="clear" w:color="auto" w:fill="auto"/>
            <w:vAlign w:val="bottom"/>
          </w:tcPr>
          <w:p w14:paraId="00859BDA" w14:textId="77777777" w:rsidR="007722FF" w:rsidRDefault="007722FF" w:rsidP="007722FF">
            <w:pPr>
              <w:pStyle w:val="ad"/>
              <w:spacing w:line="240" w:lineRule="auto"/>
              <w:ind w:firstLine="580"/>
              <w:jc w:val="both"/>
              <w:rPr>
                <w:sz w:val="18"/>
                <w:szCs w:val="18"/>
              </w:rPr>
            </w:pPr>
            <w:r>
              <w:rPr>
                <w:sz w:val="18"/>
                <w:szCs w:val="18"/>
              </w:rPr>
              <w:t>29,5</w:t>
            </w:r>
          </w:p>
        </w:tc>
        <w:tc>
          <w:tcPr>
            <w:tcW w:w="1008" w:type="dxa"/>
            <w:tcBorders>
              <w:top w:val="single" w:sz="4" w:space="0" w:color="auto"/>
              <w:left w:val="single" w:sz="4" w:space="0" w:color="auto"/>
              <w:bottom w:val="single" w:sz="4" w:space="0" w:color="auto"/>
            </w:tcBorders>
            <w:shd w:val="clear" w:color="auto" w:fill="auto"/>
            <w:vAlign w:val="bottom"/>
          </w:tcPr>
          <w:p w14:paraId="20B8A4FB" w14:textId="77777777" w:rsidR="007722FF" w:rsidRDefault="007722FF" w:rsidP="007722FF">
            <w:pPr>
              <w:pStyle w:val="ad"/>
              <w:spacing w:line="240" w:lineRule="auto"/>
              <w:ind w:firstLine="580"/>
              <w:jc w:val="both"/>
              <w:rPr>
                <w:sz w:val="18"/>
                <w:szCs w:val="18"/>
              </w:rPr>
            </w:pPr>
            <w:r>
              <w:rPr>
                <w:sz w:val="18"/>
                <w:szCs w:val="18"/>
              </w:rPr>
              <w:t>32,8</w:t>
            </w:r>
          </w:p>
        </w:tc>
        <w:tc>
          <w:tcPr>
            <w:tcW w:w="1003" w:type="dxa"/>
            <w:tcBorders>
              <w:top w:val="single" w:sz="4" w:space="0" w:color="auto"/>
              <w:left w:val="single" w:sz="4" w:space="0" w:color="auto"/>
              <w:bottom w:val="single" w:sz="4" w:space="0" w:color="auto"/>
            </w:tcBorders>
            <w:shd w:val="clear" w:color="auto" w:fill="auto"/>
            <w:vAlign w:val="bottom"/>
          </w:tcPr>
          <w:p w14:paraId="669E0028" w14:textId="77777777" w:rsidR="007722FF" w:rsidRDefault="007722FF" w:rsidP="007722FF">
            <w:pPr>
              <w:pStyle w:val="ad"/>
              <w:spacing w:line="240" w:lineRule="auto"/>
              <w:ind w:firstLine="580"/>
              <w:jc w:val="both"/>
              <w:rPr>
                <w:sz w:val="18"/>
                <w:szCs w:val="18"/>
              </w:rPr>
            </w:pPr>
            <w:r>
              <w:rPr>
                <w:sz w:val="18"/>
                <w:szCs w:val="18"/>
              </w:rPr>
              <w:t>18,9</w:t>
            </w:r>
          </w:p>
        </w:tc>
        <w:tc>
          <w:tcPr>
            <w:tcW w:w="1003" w:type="dxa"/>
            <w:tcBorders>
              <w:top w:val="single" w:sz="4" w:space="0" w:color="auto"/>
              <w:left w:val="single" w:sz="4" w:space="0" w:color="auto"/>
              <w:bottom w:val="single" w:sz="4" w:space="0" w:color="auto"/>
            </w:tcBorders>
            <w:shd w:val="clear" w:color="auto" w:fill="auto"/>
            <w:vAlign w:val="bottom"/>
          </w:tcPr>
          <w:p w14:paraId="5678F51B" w14:textId="77777777" w:rsidR="007722FF" w:rsidRDefault="007722FF" w:rsidP="007722FF">
            <w:pPr>
              <w:pStyle w:val="ad"/>
              <w:spacing w:line="240" w:lineRule="auto"/>
              <w:ind w:firstLine="0"/>
              <w:jc w:val="right"/>
              <w:rPr>
                <w:sz w:val="18"/>
                <w:szCs w:val="18"/>
              </w:rPr>
            </w:pPr>
            <w:r>
              <w:rPr>
                <w:sz w:val="18"/>
                <w:szCs w:val="18"/>
              </w:rPr>
              <w:t>89,7</w:t>
            </w:r>
          </w:p>
        </w:tc>
        <w:tc>
          <w:tcPr>
            <w:tcW w:w="1008" w:type="dxa"/>
            <w:tcBorders>
              <w:top w:val="single" w:sz="4" w:space="0" w:color="auto"/>
              <w:left w:val="single" w:sz="4" w:space="0" w:color="auto"/>
              <w:bottom w:val="single" w:sz="4" w:space="0" w:color="auto"/>
            </w:tcBorders>
            <w:shd w:val="clear" w:color="auto" w:fill="auto"/>
            <w:vAlign w:val="bottom"/>
          </w:tcPr>
          <w:p w14:paraId="795FE49F" w14:textId="77777777" w:rsidR="007722FF" w:rsidRDefault="007722FF" w:rsidP="007722FF">
            <w:pPr>
              <w:pStyle w:val="ad"/>
              <w:spacing w:line="240" w:lineRule="auto"/>
              <w:ind w:firstLine="0"/>
              <w:jc w:val="right"/>
              <w:rPr>
                <w:sz w:val="18"/>
                <w:szCs w:val="18"/>
              </w:rPr>
            </w:pPr>
            <w:r>
              <w:rPr>
                <w:sz w:val="18"/>
                <w:szCs w:val="18"/>
              </w:rPr>
              <w:t>416</w:t>
            </w:r>
          </w:p>
        </w:tc>
        <w:tc>
          <w:tcPr>
            <w:tcW w:w="1003" w:type="dxa"/>
            <w:tcBorders>
              <w:top w:val="single" w:sz="4" w:space="0" w:color="auto"/>
              <w:left w:val="single" w:sz="4" w:space="0" w:color="auto"/>
              <w:bottom w:val="single" w:sz="4" w:space="0" w:color="auto"/>
            </w:tcBorders>
            <w:shd w:val="clear" w:color="auto" w:fill="auto"/>
            <w:vAlign w:val="bottom"/>
          </w:tcPr>
          <w:p w14:paraId="6ED2A377" w14:textId="77777777" w:rsidR="007722FF" w:rsidRDefault="007722FF" w:rsidP="007722FF">
            <w:pPr>
              <w:pStyle w:val="ad"/>
              <w:spacing w:line="240" w:lineRule="auto"/>
              <w:rPr>
                <w:sz w:val="18"/>
                <w:szCs w:val="18"/>
              </w:rPr>
            </w:pPr>
            <w:r>
              <w:rPr>
                <w:sz w:val="18"/>
                <w:szCs w:val="18"/>
              </w:rPr>
              <w:t>564,30</w:t>
            </w:r>
          </w:p>
        </w:tc>
        <w:tc>
          <w:tcPr>
            <w:tcW w:w="3480" w:type="dxa"/>
            <w:tcBorders>
              <w:top w:val="single" w:sz="4" w:space="0" w:color="auto"/>
              <w:left w:val="single" w:sz="4" w:space="0" w:color="auto"/>
              <w:bottom w:val="single" w:sz="4" w:space="0" w:color="auto"/>
              <w:right w:val="single" w:sz="4" w:space="0" w:color="auto"/>
            </w:tcBorders>
            <w:shd w:val="clear" w:color="auto" w:fill="948B54"/>
            <w:vAlign w:val="bottom"/>
          </w:tcPr>
          <w:p w14:paraId="21D6083D" w14:textId="77777777" w:rsidR="007722FF" w:rsidRDefault="007722FF" w:rsidP="007722FF">
            <w:pPr>
              <w:pStyle w:val="ad"/>
              <w:spacing w:line="240" w:lineRule="auto"/>
              <w:ind w:firstLine="0"/>
              <w:jc w:val="both"/>
              <w:rPr>
                <w:sz w:val="18"/>
                <w:szCs w:val="18"/>
              </w:rPr>
            </w:pPr>
            <w:r>
              <w:rPr>
                <w:b/>
                <w:bCs/>
                <w:i/>
                <w:iCs/>
                <w:sz w:val="18"/>
                <w:szCs w:val="18"/>
              </w:rPr>
              <w:t>в 19 разів</w:t>
            </w:r>
          </w:p>
        </w:tc>
      </w:tr>
    </w:tbl>
    <w:p w14:paraId="407EF905" w14:textId="77777777" w:rsidR="007722FF" w:rsidRDefault="007722FF" w:rsidP="007722FF">
      <w:pPr>
        <w:pStyle w:val="52"/>
        <w:spacing w:after="0"/>
        <w:ind w:firstLine="680"/>
      </w:pPr>
      <w:r>
        <w:rPr>
          <w:lang w:eastAsia="ru-RU" w:bidi="ru-RU"/>
        </w:rPr>
        <w:t xml:space="preserve">Джерело: сформовано на </w:t>
      </w:r>
      <w:r>
        <w:t xml:space="preserve">основі </w:t>
      </w:r>
      <w:r>
        <w:rPr>
          <w:lang w:eastAsia="ru-RU" w:bidi="ru-RU"/>
        </w:rPr>
        <w:t xml:space="preserve">даних </w:t>
      </w:r>
      <w:r>
        <w:t xml:space="preserve">Державної казначейської </w:t>
      </w:r>
      <w:r>
        <w:rPr>
          <w:lang w:eastAsia="ru-RU" w:bidi="ru-RU"/>
        </w:rPr>
        <w:t xml:space="preserve">служби </w:t>
      </w:r>
      <w:r>
        <w:t>України</w:t>
      </w:r>
    </w:p>
    <w:p w14:paraId="6224104D" w14:textId="77777777" w:rsidR="00BA6E86" w:rsidRDefault="00BA6E86"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1C9251DC" w14:textId="77777777" w:rsidR="007722FF" w:rsidRDefault="007722FF"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345B3060" w14:textId="77777777" w:rsidR="007722FF" w:rsidRDefault="007722FF" w:rsidP="00DD5148">
      <w:pPr>
        <w:pStyle w:val="1"/>
        <w:spacing w:line="360" w:lineRule="auto"/>
        <w:ind w:firstLine="620"/>
        <w:jc w:val="both"/>
      </w:pPr>
      <w:r>
        <w:t>Значною є питома вага капітальних трансфертів в складі капітальних видатків місцевих бюджетів. За аналізований період вона коливалася в межах 24,5-30,2% капітальн</w:t>
      </w:r>
      <w:r w:rsidR="00DD5148">
        <w:t>их видатків. З 201</w:t>
      </w:r>
      <w:r w:rsidR="00DD5148">
        <w:rPr>
          <w:lang w:val="uk-UA"/>
        </w:rPr>
        <w:t>8</w:t>
      </w:r>
      <w:r w:rsidR="00DD5148">
        <w:t xml:space="preserve"> року до 20</w:t>
      </w:r>
      <w:r w:rsidR="00DD5148">
        <w:rPr>
          <w:lang w:val="uk-UA"/>
        </w:rPr>
        <w:t>21</w:t>
      </w:r>
      <w:r>
        <w:t xml:space="preserve"> року спостерігалося збільшення видатків на зазначені цілі у 8 разів - з 3 976,3 млн. грн. до 32569,0 млн. грн.</w:t>
      </w:r>
    </w:p>
    <w:p w14:paraId="295BA958" w14:textId="77777777" w:rsidR="007722FF" w:rsidRDefault="007722FF" w:rsidP="00DD5148">
      <w:pPr>
        <w:pStyle w:val="1"/>
        <w:spacing w:line="360" w:lineRule="auto"/>
        <w:ind w:firstLine="580"/>
        <w:jc w:val="both"/>
      </w:pPr>
      <w:r>
        <w:rPr>
          <w:lang w:eastAsia="ru-RU" w:bidi="ru-RU"/>
        </w:rPr>
        <w:t xml:space="preserve">Основним напрямом </w:t>
      </w:r>
      <w:r>
        <w:t xml:space="preserve">капітальних трансферів </w:t>
      </w:r>
      <w:r>
        <w:rPr>
          <w:lang w:eastAsia="ru-RU" w:bidi="ru-RU"/>
        </w:rPr>
        <w:t xml:space="preserve">виступають трансферти </w:t>
      </w:r>
      <w:r>
        <w:t>підприємствам, установам та організаціям - 94,7% всіх капітальних трансферів. Трансферти населенню складали лише 2,6%, органам державного управління - 2,7%.</w:t>
      </w:r>
    </w:p>
    <w:p w14:paraId="3C7C5FF9" w14:textId="77777777" w:rsidR="007722FF" w:rsidRDefault="00DD5148" w:rsidP="00DD5148">
      <w:pPr>
        <w:pStyle w:val="1"/>
        <w:spacing w:line="360" w:lineRule="auto"/>
        <w:ind w:firstLine="580"/>
        <w:jc w:val="both"/>
      </w:pPr>
      <w:r>
        <w:lastRenderedPageBreak/>
        <w:t>У порівнянні з 201</w:t>
      </w:r>
      <w:r>
        <w:rPr>
          <w:lang w:val="uk-UA"/>
        </w:rPr>
        <w:t>9</w:t>
      </w:r>
      <w:r>
        <w:t xml:space="preserve"> роком у 20</w:t>
      </w:r>
      <w:r>
        <w:rPr>
          <w:lang w:val="uk-UA"/>
        </w:rPr>
        <w:t>21</w:t>
      </w:r>
      <w:r w:rsidR="007722FF">
        <w:t xml:space="preserve"> році значно зросла частка капітальних видатків на придбання обладнання та предметів довгострокового користування - у 2 рази, проте цей показни</w:t>
      </w:r>
      <w:r>
        <w:t>к значно нижчий, ніж у 201</w:t>
      </w:r>
      <w:r>
        <w:rPr>
          <w:lang w:val="uk-UA"/>
        </w:rPr>
        <w:t>9</w:t>
      </w:r>
      <w:r>
        <w:t>-20</w:t>
      </w:r>
      <w:r>
        <w:rPr>
          <w:lang w:val="uk-UA"/>
        </w:rPr>
        <w:t>21</w:t>
      </w:r>
      <w:r w:rsidR="007722FF">
        <w:t xml:space="preserve"> рр. </w:t>
      </w:r>
      <w:r>
        <w:rPr>
          <w:lang w:val="uk-UA"/>
        </w:rPr>
        <w:t xml:space="preserve"> </w:t>
      </w:r>
      <w:r>
        <w:t>При цьому, у 201</w:t>
      </w:r>
      <w:r>
        <w:rPr>
          <w:lang w:val="uk-UA"/>
        </w:rPr>
        <w:t>9</w:t>
      </w:r>
      <w:r>
        <w:t xml:space="preserve"> році в порівнянні з 201</w:t>
      </w:r>
      <w:r>
        <w:rPr>
          <w:lang w:val="uk-UA"/>
        </w:rPr>
        <w:t>8</w:t>
      </w:r>
      <w:r w:rsidR="007722FF">
        <w:t xml:space="preserve"> роком зростання видатків на придбання обладнання та предметів довгостроково користування склало 225,6%.</w:t>
      </w:r>
    </w:p>
    <w:p w14:paraId="0A7AA67B" w14:textId="77777777" w:rsidR="00A33B18" w:rsidRDefault="00A33B18" w:rsidP="00A33B18">
      <w:pPr>
        <w:pStyle w:val="1"/>
        <w:spacing w:line="360" w:lineRule="auto"/>
        <w:ind w:firstLine="600"/>
        <w:jc w:val="both"/>
        <w:rPr>
          <w:lang w:eastAsia="ru-RU" w:bidi="ru-RU"/>
        </w:rPr>
      </w:pPr>
      <w:r>
        <w:rPr>
          <w:lang w:eastAsia="ru-RU" w:bidi="ru-RU"/>
        </w:rPr>
        <w:t>Найнижчими темпами зростання характеризується капітальне будівництво (219,2%), на цей напрямок у 2019 році спрямовано 5109,9 млн грн. Найвищий темп зростання – витрати на землю та нематеріальні активи – зросли у 33,2 раза. При цьому в капітальних видатках ці видатки становили незначну частку – лише 2,2%, але порівняно з 2018 роком це зростання на 2,0 в.п.</w:t>
      </w:r>
    </w:p>
    <w:p w14:paraId="1E517A0D" w14:textId="77777777" w:rsidR="00A33B18" w:rsidRDefault="00A33B18" w:rsidP="00A33B18">
      <w:pPr>
        <w:pStyle w:val="1"/>
        <w:spacing w:line="360" w:lineRule="auto"/>
        <w:ind w:firstLine="600"/>
        <w:jc w:val="both"/>
        <w:rPr>
          <w:lang w:eastAsia="ru-RU" w:bidi="ru-RU"/>
        </w:rPr>
      </w:pPr>
      <w:r>
        <w:rPr>
          <w:lang w:eastAsia="ru-RU" w:bidi="ru-RU"/>
        </w:rPr>
        <w:t>Таке значне збільшення капітальних видатків місцевих бюджетів свідчить про позитивні наслідки реформ місцевого самоврядування та змін у місцевій фіскальній та бюджетній політиці. Оскільки основною метою децентралізації є формування спроможних територіальних громад, фінансування розвитку її інфраструктури є одним із першочергових кроків у виконанні поставлених завдань. Водночас, оскільки витрати на розвиток – це витрати на фінансове забезпечення науки, інвестиційної та інноваційної діяльності, особливо капітальні інвестиції виробничого та невиробничого призначення, витрати на фінансове забезпечення структурної перебудови економіки та видатки. Що стосується розширеного відтворення [26], то говорити про відповідні витрати розвитку та фактично здійснені капітальні витрати нереально. Тим не менш, здійснення інвестиційної та інноваційної діяльності</w:t>
      </w:r>
    </w:p>
    <w:p w14:paraId="36C4157F" w14:textId="77777777" w:rsidR="00A33B18" w:rsidRDefault="00A33B18" w:rsidP="00A33B18">
      <w:pPr>
        <w:pStyle w:val="1"/>
        <w:spacing w:line="360" w:lineRule="auto"/>
        <w:ind w:firstLine="600"/>
        <w:jc w:val="both"/>
        <w:rPr>
          <w:lang w:eastAsia="ru-RU" w:bidi="ru-RU"/>
        </w:rPr>
      </w:pPr>
      <w:r>
        <w:rPr>
          <w:lang w:eastAsia="ru-RU" w:bidi="ru-RU"/>
        </w:rPr>
        <w:t>Громадські території можливі лише за належного рівня розвитку інфраструктури та надання соціальних послуг.</w:t>
      </w:r>
    </w:p>
    <w:p w14:paraId="1B797BA3" w14:textId="77777777" w:rsidR="00A33B18" w:rsidRDefault="00A33B18" w:rsidP="00A33B18">
      <w:pPr>
        <w:pStyle w:val="1"/>
        <w:spacing w:line="360" w:lineRule="auto"/>
        <w:ind w:firstLine="600"/>
        <w:jc w:val="both"/>
        <w:rPr>
          <w:lang w:eastAsia="ru-RU" w:bidi="ru-RU"/>
        </w:rPr>
      </w:pPr>
      <w:r>
        <w:rPr>
          <w:lang w:eastAsia="ru-RU" w:bidi="ru-RU"/>
        </w:rPr>
        <w:t xml:space="preserve">Зміна політики державних видатків у бік забезпечення економічного розвитку на базовому рівні адміністративно-регіональної організації з подальшим започаткуванням реформ децентралізації та формуванням </w:t>
      </w:r>
      <w:r>
        <w:rPr>
          <w:lang w:eastAsia="ru-RU" w:bidi="ru-RU"/>
        </w:rPr>
        <w:lastRenderedPageBreak/>
        <w:t>компетентних регіональних громад чітко видно на рисунку 1. 2.8. До початку реформ у 2019 році на соціально-економічний розвиток регіонів було виділено 500 мільйонів гривень. Субсидії на соціально-економічний розвиток. Після старту реформ у 2020 році обсяг фінансування цієї сфери зріс до 3,7 млрд гривень, що в 7,4 рази, ніж у 2021 році – 7,1 млрд гривень. – 2 рази у 2019 році – 16,1 млрд грн.</w:t>
      </w:r>
    </w:p>
    <w:p w14:paraId="1E88CF2B" w14:textId="77777777" w:rsidR="00A33B18" w:rsidRDefault="00A33B18" w:rsidP="00255BC9">
      <w:pPr>
        <w:pStyle w:val="1"/>
        <w:spacing w:line="360" w:lineRule="auto"/>
        <w:ind w:firstLine="600"/>
        <w:jc w:val="both"/>
        <w:rPr>
          <w:lang w:eastAsia="ru-RU" w:bidi="ru-RU"/>
        </w:rPr>
      </w:pPr>
      <w:r>
        <w:rPr>
          <w:lang w:eastAsia="ru-RU" w:bidi="ru-RU"/>
        </w:rPr>
        <w:t>Варто зазначити: у 2021 році на проекти соціально-економічного розвитку витратили 14,9 мільярда гривень, що вдвічі більше за попередній рік</w:t>
      </w:r>
      <w:r w:rsidR="00255BC9">
        <w:rPr>
          <w:lang w:val="uk-UA" w:eastAsia="ru-RU" w:bidi="ru-RU"/>
        </w:rPr>
        <w:t xml:space="preserve"> у </w:t>
      </w:r>
      <w:r>
        <w:rPr>
          <w:lang w:eastAsia="ru-RU" w:bidi="ru-RU"/>
        </w:rPr>
        <w:t>2009 році це в 30 разів перевищувало обсяги фінансування цього напрямку до реформи, але забезпечувало 16,1 млрд. грн.</w:t>
      </w:r>
    </w:p>
    <w:p w14:paraId="01806BE2" w14:textId="77777777" w:rsidR="00046DB8" w:rsidRDefault="00046DB8" w:rsidP="00A33B18">
      <w:pPr>
        <w:pStyle w:val="1"/>
        <w:spacing w:line="360" w:lineRule="auto"/>
        <w:ind w:firstLine="600"/>
        <w:jc w:val="both"/>
      </w:pPr>
      <w:r>
        <w:rPr>
          <w:lang w:eastAsia="ru-RU" w:bidi="ru-RU"/>
        </w:rPr>
        <w:t xml:space="preserve">Основним джерелом </w:t>
      </w:r>
      <w:r>
        <w:t xml:space="preserve">фінансування соціально-економічного </w:t>
      </w:r>
      <w:r>
        <w:rPr>
          <w:lang w:eastAsia="ru-RU" w:bidi="ru-RU"/>
        </w:rPr>
        <w:t xml:space="preserve">розвитку громад </w:t>
      </w:r>
      <w:r>
        <w:t xml:space="preserve">є субвенція </w:t>
      </w:r>
      <w:r>
        <w:rPr>
          <w:lang w:eastAsia="ru-RU" w:bidi="ru-RU"/>
        </w:rPr>
        <w:t xml:space="preserve">до </w:t>
      </w:r>
      <w:r>
        <w:t xml:space="preserve">місцевих бюджетів </w:t>
      </w:r>
      <w:r>
        <w:rPr>
          <w:lang w:eastAsia="ru-RU" w:bidi="ru-RU"/>
        </w:rPr>
        <w:t xml:space="preserve">на </w:t>
      </w:r>
      <w:r>
        <w:t xml:space="preserve">здійснення заходів </w:t>
      </w:r>
      <w:r>
        <w:rPr>
          <w:lang w:eastAsia="ru-RU" w:bidi="ru-RU"/>
        </w:rPr>
        <w:t xml:space="preserve">щодо </w:t>
      </w:r>
      <w:r>
        <w:t xml:space="preserve">соціально-економічного </w:t>
      </w:r>
      <w:r>
        <w:rPr>
          <w:lang w:eastAsia="ru-RU" w:bidi="ru-RU"/>
        </w:rPr>
        <w:t xml:space="preserve">розвитку окремих </w:t>
      </w:r>
      <w:r>
        <w:t xml:space="preserve">територій. Субвенція, згідно </w:t>
      </w:r>
      <w:r>
        <w:rPr>
          <w:lang w:eastAsia="ru-RU" w:bidi="ru-RU"/>
        </w:rPr>
        <w:t xml:space="preserve">з Постановою </w:t>
      </w:r>
      <w:r>
        <w:t xml:space="preserve">Кабінету міністрів України </w:t>
      </w:r>
      <w:r>
        <w:rPr>
          <w:lang w:eastAsia="ru-RU" w:bidi="ru-RU"/>
        </w:rPr>
        <w:t xml:space="preserve">«Про затвердження </w:t>
      </w:r>
      <w:r>
        <w:t xml:space="preserve">Порідку </w:t>
      </w:r>
      <w:r>
        <w:rPr>
          <w:lang w:eastAsia="ru-RU" w:bidi="ru-RU"/>
        </w:rPr>
        <w:t xml:space="preserve">та умов надання </w:t>
      </w:r>
      <w:r>
        <w:t xml:space="preserve">субвенцій </w:t>
      </w:r>
      <w:r>
        <w:rPr>
          <w:lang w:eastAsia="ru-RU" w:bidi="ru-RU"/>
        </w:rPr>
        <w:t xml:space="preserve">з державного бюджету </w:t>
      </w:r>
      <w:r>
        <w:t xml:space="preserve">місцевим </w:t>
      </w:r>
      <w:r>
        <w:rPr>
          <w:lang w:eastAsia="ru-RU" w:bidi="ru-RU"/>
        </w:rPr>
        <w:t xml:space="preserve">бюджетам на </w:t>
      </w:r>
      <w:r>
        <w:t xml:space="preserve">здійснення заходів </w:t>
      </w:r>
      <w:r>
        <w:rPr>
          <w:lang w:eastAsia="ru-RU" w:bidi="ru-RU"/>
        </w:rPr>
        <w:t xml:space="preserve">щодо </w:t>
      </w:r>
      <w:r>
        <w:t xml:space="preserve">соціально-економічного </w:t>
      </w:r>
      <w:r>
        <w:rPr>
          <w:lang w:eastAsia="ru-RU" w:bidi="ru-RU"/>
        </w:rPr>
        <w:t xml:space="preserve">розвитку окремих </w:t>
      </w:r>
      <w:r>
        <w:t xml:space="preserve">територій» </w:t>
      </w:r>
      <w:r>
        <w:rPr>
          <w:lang w:eastAsia="ru-RU" w:bidi="ru-RU"/>
        </w:rPr>
        <w:t xml:space="preserve">№ 106 </w:t>
      </w:r>
      <w:r>
        <w:t xml:space="preserve">від </w:t>
      </w:r>
      <w:r w:rsidR="00DD5148">
        <w:rPr>
          <w:lang w:eastAsia="ru-RU" w:bidi="ru-RU"/>
        </w:rPr>
        <w:t>6.02.2012 року [21</w:t>
      </w:r>
      <w:r>
        <w:rPr>
          <w:lang w:eastAsia="ru-RU" w:bidi="ru-RU"/>
        </w:rPr>
        <w:t xml:space="preserve">], </w:t>
      </w:r>
      <w:r>
        <w:t xml:space="preserve">спрямовується </w:t>
      </w:r>
      <w:r>
        <w:rPr>
          <w:lang w:eastAsia="ru-RU" w:bidi="ru-RU"/>
        </w:rPr>
        <w:t>на:</w:t>
      </w:r>
    </w:p>
    <w:p w14:paraId="36B7669D" w14:textId="77777777" w:rsidR="00046DB8" w:rsidRDefault="00046DB8" w:rsidP="00DD5148">
      <w:pPr>
        <w:pStyle w:val="1"/>
        <w:numPr>
          <w:ilvl w:val="0"/>
          <w:numId w:val="11"/>
        </w:numPr>
        <w:tabs>
          <w:tab w:val="left" w:pos="843"/>
        </w:tabs>
        <w:spacing w:line="360" w:lineRule="auto"/>
        <w:ind w:firstLine="600"/>
        <w:jc w:val="both"/>
      </w:pPr>
      <w:r>
        <w:t xml:space="preserve">будівництво, реконструкцію, капітальний </w:t>
      </w:r>
      <w:r>
        <w:rPr>
          <w:lang w:eastAsia="ru-RU" w:bidi="ru-RU"/>
        </w:rPr>
        <w:t xml:space="preserve">ремонт </w:t>
      </w:r>
      <w:r>
        <w:t xml:space="preserve">об’єктів інфраструктури комунальної власності </w:t>
      </w:r>
      <w:r>
        <w:rPr>
          <w:lang w:eastAsia="ru-RU" w:bidi="ru-RU"/>
        </w:rPr>
        <w:t xml:space="preserve">(за винятком </w:t>
      </w:r>
      <w:r>
        <w:t>адміністративних будинків);</w:t>
      </w:r>
    </w:p>
    <w:p w14:paraId="34E860A4" w14:textId="77777777" w:rsidR="00046DB8" w:rsidRDefault="00046DB8" w:rsidP="00DD5148">
      <w:pPr>
        <w:pStyle w:val="1"/>
        <w:numPr>
          <w:ilvl w:val="0"/>
          <w:numId w:val="11"/>
        </w:numPr>
        <w:tabs>
          <w:tab w:val="left" w:pos="851"/>
        </w:tabs>
        <w:spacing w:line="360" w:lineRule="auto"/>
        <w:ind w:firstLine="600"/>
        <w:jc w:val="both"/>
      </w:pPr>
      <w:r>
        <w:t xml:space="preserve">здійснення екологічних </w:t>
      </w:r>
      <w:r>
        <w:rPr>
          <w:lang w:eastAsia="ru-RU" w:bidi="ru-RU"/>
        </w:rPr>
        <w:t xml:space="preserve">та природоохоронних </w:t>
      </w:r>
      <w:r>
        <w:t>заходів;</w:t>
      </w:r>
    </w:p>
    <w:p w14:paraId="51D03D15" w14:textId="77777777" w:rsidR="00046DB8" w:rsidRDefault="00046DB8" w:rsidP="00DD5148">
      <w:pPr>
        <w:pStyle w:val="1"/>
        <w:numPr>
          <w:ilvl w:val="0"/>
          <w:numId w:val="11"/>
        </w:numPr>
        <w:tabs>
          <w:tab w:val="left" w:pos="843"/>
        </w:tabs>
        <w:spacing w:line="360" w:lineRule="auto"/>
        <w:ind w:firstLine="600"/>
        <w:jc w:val="both"/>
      </w:pPr>
      <w:r>
        <w:rPr>
          <w:lang w:eastAsia="ru-RU" w:bidi="ru-RU"/>
        </w:rPr>
        <w:t xml:space="preserve">придбання обладнання для установ </w:t>
      </w:r>
      <w:r>
        <w:t xml:space="preserve">соціально-культурної </w:t>
      </w:r>
      <w:r>
        <w:rPr>
          <w:lang w:eastAsia="ru-RU" w:bidi="ru-RU"/>
        </w:rPr>
        <w:t xml:space="preserve">сфери </w:t>
      </w:r>
      <w:r>
        <w:t xml:space="preserve">комунальної власності </w:t>
      </w:r>
      <w:r>
        <w:rPr>
          <w:lang w:eastAsia="ru-RU" w:bidi="ru-RU"/>
        </w:rPr>
        <w:t xml:space="preserve">та комунального транспорту, зокрема </w:t>
      </w:r>
      <w:r>
        <w:t xml:space="preserve">спеціального </w:t>
      </w:r>
      <w:r>
        <w:rPr>
          <w:lang w:eastAsia="ru-RU" w:bidi="ru-RU"/>
        </w:rPr>
        <w:t>призначення;</w:t>
      </w:r>
    </w:p>
    <w:p w14:paraId="3CC42FBD" w14:textId="77777777" w:rsidR="00046DB8" w:rsidRDefault="00046DB8" w:rsidP="00DD5148">
      <w:pPr>
        <w:pStyle w:val="1"/>
        <w:numPr>
          <w:ilvl w:val="0"/>
          <w:numId w:val="11"/>
        </w:numPr>
        <w:tabs>
          <w:tab w:val="left" w:pos="838"/>
        </w:tabs>
        <w:spacing w:line="360" w:lineRule="auto"/>
        <w:ind w:firstLine="600"/>
        <w:jc w:val="both"/>
      </w:pPr>
      <w:r>
        <w:t xml:space="preserve">здійснення заходів, </w:t>
      </w:r>
      <w:r>
        <w:rPr>
          <w:lang w:eastAsia="ru-RU" w:bidi="ru-RU"/>
        </w:rPr>
        <w:t xml:space="preserve">пов’язаних з </w:t>
      </w:r>
      <w:r>
        <w:t xml:space="preserve">відселенням </w:t>
      </w:r>
      <w:r>
        <w:rPr>
          <w:lang w:eastAsia="ru-RU" w:bidi="ru-RU"/>
        </w:rPr>
        <w:t xml:space="preserve">громадян </w:t>
      </w:r>
      <w:r>
        <w:t xml:space="preserve">із </w:t>
      </w:r>
      <w:r>
        <w:rPr>
          <w:lang w:eastAsia="ru-RU" w:bidi="ru-RU"/>
        </w:rPr>
        <w:t xml:space="preserve">житлових </w:t>
      </w:r>
      <w:r>
        <w:t xml:space="preserve">будинків, </w:t>
      </w:r>
      <w:r>
        <w:rPr>
          <w:lang w:eastAsia="ru-RU" w:bidi="ru-RU"/>
        </w:rPr>
        <w:t xml:space="preserve">що перебувають в </w:t>
      </w:r>
      <w:r>
        <w:t>аварійному стані;</w:t>
      </w:r>
    </w:p>
    <w:p w14:paraId="4D6828B8" w14:textId="77777777" w:rsidR="00046DB8" w:rsidRDefault="00046DB8" w:rsidP="00DD5148">
      <w:pPr>
        <w:pStyle w:val="1"/>
        <w:numPr>
          <w:ilvl w:val="0"/>
          <w:numId w:val="11"/>
        </w:numPr>
        <w:tabs>
          <w:tab w:val="left" w:pos="838"/>
        </w:tabs>
        <w:spacing w:line="360" w:lineRule="auto"/>
        <w:ind w:firstLine="600"/>
        <w:jc w:val="both"/>
      </w:pPr>
      <w:r>
        <w:rPr>
          <w:lang w:eastAsia="ru-RU" w:bidi="ru-RU"/>
        </w:rPr>
        <w:t xml:space="preserve">розв’язання проблем окремих </w:t>
      </w:r>
      <w:r>
        <w:t xml:space="preserve">адміністративно-територіальних </w:t>
      </w:r>
      <w:r>
        <w:rPr>
          <w:lang w:eastAsia="ru-RU" w:bidi="ru-RU"/>
        </w:rPr>
        <w:t xml:space="preserve">одиниць (малих </w:t>
      </w:r>
      <w:r>
        <w:t xml:space="preserve">міст, </w:t>
      </w:r>
      <w:r>
        <w:rPr>
          <w:lang w:eastAsia="ru-RU" w:bidi="ru-RU"/>
        </w:rPr>
        <w:t xml:space="preserve">шахтарських та </w:t>
      </w:r>
      <w:r>
        <w:t xml:space="preserve">гірських </w:t>
      </w:r>
      <w:r>
        <w:rPr>
          <w:lang w:eastAsia="ru-RU" w:bidi="ru-RU"/>
        </w:rPr>
        <w:t xml:space="preserve">населених </w:t>
      </w:r>
      <w:r>
        <w:t>пунктів);</w:t>
      </w:r>
    </w:p>
    <w:p w14:paraId="2FEF0A7D" w14:textId="77777777" w:rsidR="00046DB8" w:rsidRDefault="00046DB8" w:rsidP="00DD5148">
      <w:pPr>
        <w:pStyle w:val="1"/>
        <w:numPr>
          <w:ilvl w:val="0"/>
          <w:numId w:val="11"/>
        </w:numPr>
        <w:tabs>
          <w:tab w:val="left" w:pos="851"/>
        </w:tabs>
        <w:spacing w:line="360" w:lineRule="auto"/>
        <w:ind w:firstLine="600"/>
        <w:jc w:val="both"/>
      </w:pPr>
      <w:r>
        <w:rPr>
          <w:lang w:eastAsia="ru-RU" w:bidi="ru-RU"/>
        </w:rPr>
        <w:t xml:space="preserve">проведення </w:t>
      </w:r>
      <w:r>
        <w:t xml:space="preserve">робіт </w:t>
      </w:r>
      <w:r>
        <w:rPr>
          <w:lang w:eastAsia="ru-RU" w:bidi="ru-RU"/>
        </w:rPr>
        <w:t xml:space="preserve">з </w:t>
      </w:r>
      <w:r>
        <w:t xml:space="preserve">газифікації, заходів </w:t>
      </w:r>
      <w:r>
        <w:rPr>
          <w:lang w:eastAsia="ru-RU" w:bidi="ru-RU"/>
        </w:rPr>
        <w:t>з енергозбереження;</w:t>
      </w:r>
    </w:p>
    <w:p w14:paraId="0072299E" w14:textId="77777777" w:rsidR="00046DB8" w:rsidRDefault="00046DB8" w:rsidP="00DD5148">
      <w:pPr>
        <w:pStyle w:val="1"/>
        <w:numPr>
          <w:ilvl w:val="0"/>
          <w:numId w:val="11"/>
        </w:numPr>
        <w:tabs>
          <w:tab w:val="left" w:pos="851"/>
          <w:tab w:val="left" w:pos="3830"/>
          <w:tab w:val="left" w:pos="5194"/>
        </w:tabs>
        <w:spacing w:line="360" w:lineRule="auto"/>
        <w:ind w:firstLine="600"/>
        <w:jc w:val="both"/>
      </w:pPr>
      <w:r>
        <w:t>здійснення спільних</w:t>
      </w:r>
      <w:r>
        <w:tab/>
        <w:t>заходів,</w:t>
      </w:r>
      <w:r>
        <w:tab/>
      </w:r>
      <w:r>
        <w:rPr>
          <w:lang w:eastAsia="ru-RU" w:bidi="ru-RU"/>
        </w:rPr>
        <w:t>передбачених угодами щодо</w:t>
      </w:r>
    </w:p>
    <w:p w14:paraId="36B33B76" w14:textId="77777777" w:rsidR="00046DB8" w:rsidRDefault="00046DB8" w:rsidP="00DD5148">
      <w:pPr>
        <w:pStyle w:val="1"/>
        <w:spacing w:line="360" w:lineRule="auto"/>
        <w:ind w:firstLine="0"/>
        <w:jc w:val="both"/>
      </w:pPr>
      <w:r>
        <w:lastRenderedPageBreak/>
        <w:t xml:space="preserve">регіонального </w:t>
      </w:r>
      <w:r>
        <w:rPr>
          <w:lang w:eastAsia="ru-RU" w:bidi="ru-RU"/>
        </w:rPr>
        <w:t>розвитку;</w:t>
      </w:r>
    </w:p>
    <w:p w14:paraId="14FCE607" w14:textId="77777777" w:rsidR="00046DB8" w:rsidRDefault="00046DB8" w:rsidP="00DD5148">
      <w:pPr>
        <w:pStyle w:val="1"/>
        <w:numPr>
          <w:ilvl w:val="0"/>
          <w:numId w:val="11"/>
        </w:numPr>
        <w:tabs>
          <w:tab w:val="left" w:pos="851"/>
        </w:tabs>
        <w:spacing w:line="360" w:lineRule="auto"/>
        <w:ind w:firstLine="600"/>
        <w:jc w:val="both"/>
      </w:pPr>
      <w:r>
        <w:t xml:space="preserve">здійснення заходів </w:t>
      </w:r>
      <w:r>
        <w:rPr>
          <w:lang w:eastAsia="ru-RU" w:bidi="ru-RU"/>
        </w:rPr>
        <w:t xml:space="preserve">щодо </w:t>
      </w:r>
      <w:r>
        <w:t xml:space="preserve">соціально-економічного </w:t>
      </w:r>
      <w:r>
        <w:rPr>
          <w:lang w:eastAsia="ru-RU" w:bidi="ru-RU"/>
        </w:rPr>
        <w:t xml:space="preserve">розвитку </w:t>
      </w:r>
      <w:r>
        <w:t>регіонів;</w:t>
      </w:r>
    </w:p>
    <w:p w14:paraId="45115669" w14:textId="77777777" w:rsidR="00046DB8" w:rsidRDefault="00046DB8" w:rsidP="00DD5148">
      <w:pPr>
        <w:pStyle w:val="1"/>
        <w:numPr>
          <w:ilvl w:val="0"/>
          <w:numId w:val="11"/>
        </w:numPr>
        <w:tabs>
          <w:tab w:val="left" w:pos="843"/>
        </w:tabs>
        <w:spacing w:line="360" w:lineRule="auto"/>
        <w:ind w:firstLine="600"/>
        <w:jc w:val="both"/>
      </w:pPr>
      <w:r>
        <w:t xml:space="preserve">будівництво, реконструкцію об’єктів освіти </w:t>
      </w:r>
      <w:r>
        <w:rPr>
          <w:lang w:eastAsia="ru-RU" w:bidi="ru-RU"/>
        </w:rPr>
        <w:t xml:space="preserve">та охорони здоров’я </w:t>
      </w:r>
      <w:r>
        <w:t xml:space="preserve">зі </w:t>
      </w:r>
      <w:r>
        <w:rPr>
          <w:lang w:eastAsia="ru-RU" w:bidi="ru-RU"/>
        </w:rPr>
        <w:t xml:space="preserve">ступенем </w:t>
      </w:r>
      <w:r>
        <w:t xml:space="preserve">будівельної готовності </w:t>
      </w:r>
      <w:r>
        <w:rPr>
          <w:lang w:eastAsia="ru-RU" w:bidi="ru-RU"/>
        </w:rPr>
        <w:t xml:space="preserve">не менше 90 % або введення </w:t>
      </w:r>
      <w:r>
        <w:t xml:space="preserve">їх </w:t>
      </w:r>
      <w:r>
        <w:rPr>
          <w:lang w:eastAsia="ru-RU" w:bidi="ru-RU"/>
        </w:rPr>
        <w:t xml:space="preserve">в </w:t>
      </w:r>
      <w:r>
        <w:t xml:space="preserve">експлуатацію </w:t>
      </w:r>
      <w:r w:rsidR="00DD5148">
        <w:rPr>
          <w:lang w:eastAsia="ru-RU" w:bidi="ru-RU"/>
        </w:rPr>
        <w:t>у 20</w:t>
      </w:r>
      <w:r w:rsidR="00DD5148">
        <w:rPr>
          <w:lang w:val="uk-UA" w:eastAsia="ru-RU" w:bidi="ru-RU"/>
        </w:rPr>
        <w:t>19</w:t>
      </w:r>
      <w:r w:rsidR="00DD5148">
        <w:rPr>
          <w:lang w:eastAsia="ru-RU" w:bidi="ru-RU"/>
        </w:rPr>
        <w:t>-20</w:t>
      </w:r>
      <w:r w:rsidR="00DD5148">
        <w:rPr>
          <w:lang w:val="uk-UA" w:eastAsia="ru-RU" w:bidi="ru-RU"/>
        </w:rPr>
        <w:t>21</w:t>
      </w:r>
      <w:r>
        <w:rPr>
          <w:lang w:eastAsia="ru-RU" w:bidi="ru-RU"/>
        </w:rPr>
        <w:t xml:space="preserve"> роках;</w:t>
      </w:r>
    </w:p>
    <w:p w14:paraId="452CD901" w14:textId="77777777" w:rsidR="00046DB8" w:rsidRDefault="00046DB8" w:rsidP="00DD5148">
      <w:pPr>
        <w:pStyle w:val="1"/>
        <w:numPr>
          <w:ilvl w:val="0"/>
          <w:numId w:val="11"/>
        </w:numPr>
        <w:tabs>
          <w:tab w:val="left" w:pos="851"/>
        </w:tabs>
        <w:spacing w:line="360" w:lineRule="auto"/>
        <w:ind w:firstLine="600"/>
        <w:jc w:val="both"/>
      </w:pPr>
      <w:r>
        <w:t xml:space="preserve">будівництво, реконструкцію </w:t>
      </w:r>
      <w:r>
        <w:rPr>
          <w:lang w:eastAsia="ru-RU" w:bidi="ru-RU"/>
        </w:rPr>
        <w:t xml:space="preserve">та </w:t>
      </w:r>
      <w:r>
        <w:t xml:space="preserve">капітальний </w:t>
      </w:r>
      <w:r>
        <w:rPr>
          <w:lang w:eastAsia="ru-RU" w:bidi="ru-RU"/>
        </w:rPr>
        <w:t xml:space="preserve">ремонт </w:t>
      </w:r>
      <w:r>
        <w:t>доріг;</w:t>
      </w:r>
    </w:p>
    <w:p w14:paraId="648DD38D" w14:textId="77777777" w:rsidR="00046DB8" w:rsidRDefault="00046DB8" w:rsidP="00DD5148">
      <w:pPr>
        <w:pStyle w:val="1"/>
        <w:spacing w:line="360" w:lineRule="auto"/>
        <w:ind w:firstLine="567"/>
        <w:jc w:val="both"/>
      </w:pPr>
      <w:r>
        <w:t xml:space="preserve">Розподіл субвенції </w:t>
      </w:r>
      <w:r>
        <w:rPr>
          <w:lang w:eastAsia="ru-RU" w:bidi="ru-RU"/>
        </w:rPr>
        <w:t xml:space="preserve">на </w:t>
      </w:r>
      <w:r>
        <w:t xml:space="preserve">соціально-економічний </w:t>
      </w:r>
      <w:r>
        <w:rPr>
          <w:lang w:eastAsia="ru-RU" w:bidi="ru-RU"/>
        </w:rPr>
        <w:t xml:space="preserve">розвиток </w:t>
      </w:r>
      <w:r>
        <w:t xml:space="preserve">адміністративно- територіальних </w:t>
      </w:r>
      <w:r w:rsidR="009E5070">
        <w:rPr>
          <w:lang w:eastAsia="ru-RU" w:bidi="ru-RU"/>
        </w:rPr>
        <w:t>одиниць у 201</w:t>
      </w:r>
      <w:r w:rsidR="009E5070">
        <w:rPr>
          <w:lang w:val="uk-UA" w:eastAsia="ru-RU" w:bidi="ru-RU"/>
        </w:rPr>
        <w:t>9</w:t>
      </w:r>
      <w:r>
        <w:rPr>
          <w:lang w:eastAsia="ru-RU" w:bidi="ru-RU"/>
        </w:rPr>
        <w:t xml:space="preserve"> </w:t>
      </w:r>
      <w:r>
        <w:t xml:space="preserve">році відбувся </w:t>
      </w:r>
      <w:r>
        <w:rPr>
          <w:lang w:eastAsia="ru-RU" w:bidi="ru-RU"/>
        </w:rPr>
        <w:t xml:space="preserve">на </w:t>
      </w:r>
      <w:r>
        <w:t xml:space="preserve">основі </w:t>
      </w:r>
      <w:r>
        <w:rPr>
          <w:lang w:eastAsia="ru-RU" w:bidi="ru-RU"/>
        </w:rPr>
        <w:t xml:space="preserve">Постанови </w:t>
      </w:r>
      <w:r>
        <w:t xml:space="preserve">Кабінету міністрів України </w:t>
      </w:r>
      <w:r>
        <w:rPr>
          <w:lang w:eastAsia="ru-RU" w:bidi="ru-RU"/>
        </w:rPr>
        <w:t xml:space="preserve">Про </w:t>
      </w:r>
      <w:r>
        <w:t xml:space="preserve">деякі </w:t>
      </w:r>
      <w:r w:rsidR="009E5070">
        <w:rPr>
          <w:lang w:eastAsia="ru-RU" w:bidi="ru-RU"/>
        </w:rPr>
        <w:t>питання надання у 201</w:t>
      </w:r>
      <w:r w:rsidR="009E5070">
        <w:rPr>
          <w:lang w:val="uk-UA" w:eastAsia="ru-RU" w:bidi="ru-RU"/>
        </w:rPr>
        <w:t>9</w:t>
      </w:r>
      <w:r>
        <w:rPr>
          <w:lang w:eastAsia="ru-RU" w:bidi="ru-RU"/>
        </w:rPr>
        <w:t xml:space="preserve"> </w:t>
      </w:r>
      <w:r>
        <w:t xml:space="preserve">році субвенції </w:t>
      </w:r>
      <w:r>
        <w:rPr>
          <w:lang w:eastAsia="ru-RU" w:bidi="ru-RU"/>
        </w:rPr>
        <w:t xml:space="preserve">з державного бюджету </w:t>
      </w:r>
      <w:r>
        <w:t xml:space="preserve">місцевим </w:t>
      </w:r>
      <w:r>
        <w:rPr>
          <w:lang w:eastAsia="ru-RU" w:bidi="ru-RU"/>
        </w:rPr>
        <w:t xml:space="preserve">бюджетам на </w:t>
      </w:r>
      <w:r>
        <w:t xml:space="preserve">здійснення заходів </w:t>
      </w:r>
      <w:r>
        <w:rPr>
          <w:lang w:eastAsia="ru-RU" w:bidi="ru-RU"/>
        </w:rPr>
        <w:t xml:space="preserve">щодо </w:t>
      </w:r>
      <w:r>
        <w:t xml:space="preserve">соціально-економічного </w:t>
      </w:r>
      <w:r>
        <w:rPr>
          <w:lang w:eastAsia="ru-RU" w:bidi="ru-RU"/>
        </w:rPr>
        <w:t xml:space="preserve">розвитку окремих </w:t>
      </w:r>
      <w:r>
        <w:t xml:space="preserve">територій. </w:t>
      </w:r>
      <w:r w:rsidR="009E5070">
        <w:rPr>
          <w:lang w:eastAsia="ru-RU" w:bidi="ru-RU"/>
        </w:rPr>
        <w:t xml:space="preserve">На рис. </w:t>
      </w:r>
      <w:r w:rsidR="009E5070">
        <w:rPr>
          <w:lang w:val="uk-UA" w:eastAsia="ru-RU" w:bidi="ru-RU"/>
        </w:rPr>
        <w:t>2</w:t>
      </w:r>
      <w:r w:rsidR="009E5070">
        <w:rPr>
          <w:lang w:eastAsia="ru-RU" w:bidi="ru-RU"/>
        </w:rPr>
        <w:t>.</w:t>
      </w:r>
      <w:r w:rsidR="009E5070">
        <w:rPr>
          <w:lang w:val="uk-UA" w:eastAsia="ru-RU" w:bidi="ru-RU"/>
        </w:rPr>
        <w:t>8.</w:t>
      </w:r>
      <w:r>
        <w:rPr>
          <w:lang w:eastAsia="ru-RU" w:bidi="ru-RU"/>
        </w:rPr>
        <w:t xml:space="preserve"> наведено </w:t>
      </w:r>
      <w:r>
        <w:t xml:space="preserve">розподіл субвенції </w:t>
      </w:r>
      <w:r>
        <w:rPr>
          <w:lang w:eastAsia="ru-RU" w:bidi="ru-RU"/>
        </w:rPr>
        <w:t xml:space="preserve">у </w:t>
      </w:r>
      <w:r>
        <w:t xml:space="preserve">розрізі </w:t>
      </w:r>
      <w:r>
        <w:rPr>
          <w:lang w:eastAsia="ru-RU" w:bidi="ru-RU"/>
        </w:rPr>
        <w:t xml:space="preserve">областей </w:t>
      </w:r>
      <w:r>
        <w:t xml:space="preserve">України </w:t>
      </w:r>
      <w:r>
        <w:rPr>
          <w:lang w:eastAsia="ru-RU" w:bidi="ru-RU"/>
        </w:rPr>
        <w:t xml:space="preserve">та м. </w:t>
      </w:r>
      <w:r>
        <w:t xml:space="preserve">Києва </w:t>
      </w:r>
      <w:r w:rsidR="009E5070">
        <w:rPr>
          <w:lang w:eastAsia="ru-RU" w:bidi="ru-RU"/>
        </w:rPr>
        <w:t>у 201</w:t>
      </w:r>
      <w:r w:rsidR="009E5070">
        <w:rPr>
          <w:lang w:val="uk-UA" w:eastAsia="ru-RU" w:bidi="ru-RU"/>
        </w:rPr>
        <w:t>9</w:t>
      </w:r>
      <w:r>
        <w:rPr>
          <w:lang w:eastAsia="ru-RU" w:bidi="ru-RU"/>
        </w:rPr>
        <w:t xml:space="preserve"> </w:t>
      </w:r>
      <w:r>
        <w:t>році.</w:t>
      </w:r>
    </w:p>
    <w:p w14:paraId="2FF9C069" w14:textId="77777777" w:rsidR="00046DB8" w:rsidRDefault="00046DB8" w:rsidP="00DD5148">
      <w:pPr>
        <w:pStyle w:val="1"/>
        <w:spacing w:line="360" w:lineRule="auto"/>
        <w:jc w:val="both"/>
      </w:pPr>
      <w:r>
        <w:t xml:space="preserve">Найвищі </w:t>
      </w:r>
      <w:r>
        <w:rPr>
          <w:lang w:eastAsia="ru-RU" w:bidi="ru-RU"/>
        </w:rPr>
        <w:t xml:space="preserve">обсяги </w:t>
      </w:r>
      <w:r>
        <w:t xml:space="preserve">субвенції </w:t>
      </w:r>
      <w:r>
        <w:rPr>
          <w:lang w:eastAsia="ru-RU" w:bidi="ru-RU"/>
        </w:rPr>
        <w:t xml:space="preserve">на </w:t>
      </w:r>
      <w:r>
        <w:t xml:space="preserve">соціально-економічний </w:t>
      </w:r>
      <w:r>
        <w:rPr>
          <w:lang w:eastAsia="ru-RU" w:bidi="ru-RU"/>
        </w:rPr>
        <w:t xml:space="preserve">розвиток отримали </w:t>
      </w:r>
      <w:r>
        <w:t>місцеві бюджети Харківської області - 66,7 млн. грн., Івано-Франківської - 58,0 млн. грн. та Чернігівської - 50,9 млн. грн.; найнижчі - місцеві бюджети Луганської - 2,3 млн. грн., Тернопільської - 17,3 млн. грн. При цьому, якщо порівняти надходження субвенції на одного жителя області, її обсяг найбільший у Чернігівській (49,7 грн.) та Сумській (42,4 грн.) областях, найменший - в Луганській області (2,3 грн.) та Донецькій (11,5 грн.). Середній обсяг наданої субвенції на одну особу в Україні у 2016 році становив 65,0 грн., у 2017 році - 21,7 грн.</w:t>
      </w:r>
    </w:p>
    <w:p w14:paraId="1B573D1C" w14:textId="77777777" w:rsidR="00BA6E86" w:rsidRDefault="00046DB8"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r w:rsidRPr="00046DB8">
        <w:rPr>
          <w:rFonts w:ascii="Times New Roman" w:eastAsia="Times New Roman" w:hAnsi="Times New Roman" w:cs="Times New Roman"/>
          <w:noProof/>
          <w:color w:val="000000"/>
          <w:sz w:val="28"/>
          <w:szCs w:val="28"/>
          <w:lang w:val="uk-UA" w:eastAsia="uk-UA"/>
        </w:rPr>
        <w:lastRenderedPageBreak/>
        <w:drawing>
          <wp:inline distT="0" distB="0" distL="0" distR="0" wp14:anchorId="346FECF9" wp14:editId="44E2CAB9">
            <wp:extent cx="5937250" cy="3352800"/>
            <wp:effectExtent l="0" t="0" r="0" b="0"/>
            <wp:docPr id="138" name="Picut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16" cstate="print"/>
                    <a:stretch/>
                  </pic:blipFill>
                  <pic:spPr>
                    <a:xfrm>
                      <a:off x="0" y="0"/>
                      <a:ext cx="5937250" cy="3352800"/>
                    </a:xfrm>
                    <a:prstGeom prst="rect">
                      <a:avLst/>
                    </a:prstGeom>
                  </pic:spPr>
                </pic:pic>
              </a:graphicData>
            </a:graphic>
          </wp:inline>
        </w:drawing>
      </w:r>
    </w:p>
    <w:p w14:paraId="7CD02127" w14:textId="77777777" w:rsidR="00046DB8" w:rsidRDefault="00DD5148" w:rsidP="00046DB8">
      <w:pPr>
        <w:pStyle w:val="a7"/>
        <w:spacing w:line="360" w:lineRule="auto"/>
        <w:ind w:left="660" w:hanging="160"/>
      </w:pPr>
      <w:r>
        <w:t xml:space="preserve">Рис. </w:t>
      </w:r>
      <w:r>
        <w:rPr>
          <w:lang w:val="uk-UA"/>
        </w:rPr>
        <w:t>2</w:t>
      </w:r>
      <w:r>
        <w:t>.</w:t>
      </w:r>
      <w:r>
        <w:rPr>
          <w:lang w:val="uk-UA"/>
        </w:rPr>
        <w:t>8</w:t>
      </w:r>
      <w:r w:rsidR="00046DB8">
        <w:t>. Розподіл субвенції на соціально-економічний розвиток окремих територій у</w:t>
      </w:r>
      <w:r>
        <w:t xml:space="preserve"> розрізі областей України у 20</w:t>
      </w:r>
      <w:r>
        <w:rPr>
          <w:lang w:val="uk-UA"/>
        </w:rPr>
        <w:t>21</w:t>
      </w:r>
      <w:r w:rsidR="00046DB8">
        <w:t xml:space="preserve"> році</w:t>
      </w:r>
    </w:p>
    <w:p w14:paraId="5794C808" w14:textId="77777777" w:rsidR="00046DB8" w:rsidRDefault="00046DB8" w:rsidP="009E5070">
      <w:pPr>
        <w:pStyle w:val="1"/>
        <w:spacing w:line="360" w:lineRule="auto"/>
        <w:ind w:left="200" w:firstLine="580"/>
        <w:jc w:val="both"/>
      </w:pPr>
      <w:r>
        <w:rPr>
          <w:lang w:eastAsia="ru-RU" w:bidi="ru-RU"/>
        </w:rPr>
        <w:t xml:space="preserve">Якщо звернути увагу на питання частки </w:t>
      </w:r>
      <w:r>
        <w:t xml:space="preserve">адміністративно-територіальних </w:t>
      </w:r>
      <w:r>
        <w:rPr>
          <w:lang w:eastAsia="ru-RU" w:bidi="ru-RU"/>
        </w:rPr>
        <w:t xml:space="preserve">одиниць </w:t>
      </w:r>
      <w:r>
        <w:t xml:space="preserve">(об’єднаних територіальних </w:t>
      </w:r>
      <w:r>
        <w:rPr>
          <w:lang w:eastAsia="ru-RU" w:bidi="ru-RU"/>
        </w:rPr>
        <w:t xml:space="preserve">громад, </w:t>
      </w:r>
      <w:r>
        <w:t xml:space="preserve">міст </w:t>
      </w:r>
      <w:r>
        <w:rPr>
          <w:lang w:eastAsia="ru-RU" w:bidi="ru-RU"/>
        </w:rPr>
        <w:t xml:space="preserve">обласного значення та </w:t>
      </w:r>
      <w:r>
        <w:t xml:space="preserve">районів), </w:t>
      </w:r>
      <w:r>
        <w:rPr>
          <w:lang w:eastAsia="ru-RU" w:bidi="ru-RU"/>
        </w:rPr>
        <w:t xml:space="preserve">яким було надано </w:t>
      </w:r>
      <w:r>
        <w:t xml:space="preserve">субвенції </w:t>
      </w:r>
      <w:r>
        <w:rPr>
          <w:lang w:eastAsia="ru-RU" w:bidi="ru-RU"/>
        </w:rPr>
        <w:t xml:space="preserve">(рис. 4.20), можна зробити такий висновок: </w:t>
      </w:r>
      <w:r>
        <w:t xml:space="preserve">найбільшою </w:t>
      </w:r>
      <w:r>
        <w:rPr>
          <w:lang w:eastAsia="ru-RU" w:bidi="ru-RU"/>
        </w:rPr>
        <w:t xml:space="preserve">часткою </w:t>
      </w:r>
      <w:r>
        <w:t xml:space="preserve">субсидійованих адміністративно- територіальних </w:t>
      </w:r>
      <w:r>
        <w:rPr>
          <w:lang w:eastAsia="ru-RU" w:bidi="ru-RU"/>
        </w:rPr>
        <w:t xml:space="preserve">одиниць характеризуються </w:t>
      </w:r>
      <w:r>
        <w:t xml:space="preserve">Вінницька </w:t>
      </w:r>
      <w:r>
        <w:rPr>
          <w:lang w:eastAsia="ru-RU" w:bidi="ru-RU"/>
        </w:rPr>
        <w:t xml:space="preserve">(80,6 %), Херсонська </w:t>
      </w:r>
      <w:r>
        <w:t xml:space="preserve">(73,9 %) та Житомирська </w:t>
      </w:r>
      <w:r>
        <w:rPr>
          <w:lang w:eastAsia="ru-RU" w:bidi="ru-RU"/>
        </w:rPr>
        <w:t xml:space="preserve">(68,4 %) </w:t>
      </w:r>
      <w:r>
        <w:t>області, найменшою - Тернопільська (14,9%), Дніпропетровська (15,9%) та Луганська (17,6%) області.</w:t>
      </w:r>
    </w:p>
    <w:p w14:paraId="01CAC648" w14:textId="77777777" w:rsidR="00BA6E86" w:rsidRDefault="00046DB8"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r w:rsidRPr="00046DB8">
        <w:rPr>
          <w:rFonts w:ascii="Times New Roman" w:eastAsia="Times New Roman" w:hAnsi="Times New Roman" w:cs="Times New Roman"/>
          <w:noProof/>
          <w:color w:val="000000"/>
          <w:sz w:val="28"/>
          <w:szCs w:val="28"/>
          <w:lang w:val="uk-UA" w:eastAsia="uk-UA"/>
        </w:rPr>
        <w:drawing>
          <wp:inline distT="0" distB="0" distL="0" distR="0" wp14:anchorId="4B87F2DF" wp14:editId="397D42C8">
            <wp:extent cx="5864225" cy="2359025"/>
            <wp:effectExtent l="0" t="0" r="0" b="0"/>
            <wp:docPr id="139" name="Picut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17" cstate="print"/>
                    <a:stretch/>
                  </pic:blipFill>
                  <pic:spPr>
                    <a:xfrm>
                      <a:off x="0" y="0"/>
                      <a:ext cx="5864225" cy="2359025"/>
                    </a:xfrm>
                    <a:prstGeom prst="rect">
                      <a:avLst/>
                    </a:prstGeom>
                  </pic:spPr>
                </pic:pic>
              </a:graphicData>
            </a:graphic>
          </wp:inline>
        </w:drawing>
      </w:r>
    </w:p>
    <w:p w14:paraId="5B2576CC" w14:textId="77777777" w:rsidR="00046DB8" w:rsidRDefault="00046DB8" w:rsidP="00046DB8">
      <w:pPr>
        <w:pStyle w:val="a7"/>
        <w:spacing w:line="360" w:lineRule="auto"/>
        <w:ind w:firstLine="340"/>
      </w:pPr>
      <w:r>
        <w:t xml:space="preserve">Рис. 4.22. Частка адміністративно-територіальних одиниць (об’єднаних територіальних громад, міст обласного значення та районів), яким було </w:t>
      </w:r>
      <w:r>
        <w:lastRenderedPageBreak/>
        <w:t>надано субвенцію на соціа</w:t>
      </w:r>
      <w:r w:rsidR="009E5070">
        <w:t>льно-економічний розвиток у 201</w:t>
      </w:r>
      <w:r w:rsidR="009E5070">
        <w:rPr>
          <w:lang w:val="uk-UA"/>
        </w:rPr>
        <w:t>21</w:t>
      </w:r>
      <w:r>
        <w:t xml:space="preserve"> році</w:t>
      </w:r>
    </w:p>
    <w:p w14:paraId="474B4442" w14:textId="77777777" w:rsidR="00046DB8" w:rsidRPr="009E5070" w:rsidRDefault="00046DB8" w:rsidP="009E5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sz w:val="28"/>
          <w:szCs w:val="28"/>
          <w:lang w:val="uk-UA" w:eastAsia="ru-RU"/>
        </w:rPr>
      </w:pPr>
      <w:r w:rsidRPr="009E5070">
        <w:rPr>
          <w:rFonts w:ascii="Times New Roman" w:hAnsi="Times New Roman" w:cs="Times New Roman"/>
          <w:sz w:val="28"/>
          <w:szCs w:val="28"/>
        </w:rPr>
        <w:t>При порівнянні рівня надання субвенції на соціально-економічний розвиток адміністративно-територіальних одиниць у розрізі різних рівнів місцевих бюджетів (рис. 4.21), помітним є переважання частки районних</w:t>
      </w:r>
    </w:p>
    <w:p w14:paraId="2D8661C8" w14:textId="77777777" w:rsidR="00046DB8" w:rsidRPr="009E5070" w:rsidRDefault="00046DB8" w:rsidP="009E5070">
      <w:pPr>
        <w:pStyle w:val="a7"/>
        <w:spacing w:line="360" w:lineRule="auto"/>
        <w:ind w:firstLine="567"/>
        <w:jc w:val="both"/>
      </w:pPr>
      <w:r w:rsidRPr="009E5070">
        <w:t>бюджетів - 47%. Найнижчим рівнем одержання субвенцій характеризуються об’єднані територіальні громади - 2%.</w:t>
      </w:r>
    </w:p>
    <w:p w14:paraId="17620C47" w14:textId="77777777" w:rsidR="00046DB8" w:rsidRDefault="00046DB8" w:rsidP="00046DB8">
      <w:pPr>
        <w:pStyle w:val="1"/>
        <w:ind w:left="200" w:firstLine="0"/>
        <w:jc w:val="both"/>
        <w:rPr>
          <w:lang w:val="uk-UA"/>
        </w:rPr>
      </w:pPr>
    </w:p>
    <w:p w14:paraId="277DB25F" w14:textId="77777777" w:rsidR="00046DB8" w:rsidRDefault="00046DB8" w:rsidP="00046DB8">
      <w:pPr>
        <w:pStyle w:val="1"/>
        <w:ind w:left="200" w:firstLine="0"/>
        <w:jc w:val="both"/>
        <w:rPr>
          <w:lang w:val="uk-UA"/>
        </w:rPr>
      </w:pPr>
      <w:r w:rsidRPr="00046DB8">
        <w:rPr>
          <w:noProof/>
          <w:lang w:val="uk-UA" w:eastAsia="uk-UA"/>
        </w:rPr>
        <w:drawing>
          <wp:inline distT="0" distB="0" distL="0" distR="0" wp14:anchorId="1577D078" wp14:editId="30854EF5">
            <wp:extent cx="5638800" cy="2286000"/>
            <wp:effectExtent l="0" t="0" r="0" b="0"/>
            <wp:docPr id="140" name="Picut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18" cstate="print"/>
                    <a:stretch/>
                  </pic:blipFill>
                  <pic:spPr>
                    <a:xfrm>
                      <a:off x="0" y="0"/>
                      <a:ext cx="5638800" cy="2286000"/>
                    </a:xfrm>
                    <a:prstGeom prst="rect">
                      <a:avLst/>
                    </a:prstGeom>
                  </pic:spPr>
                </pic:pic>
              </a:graphicData>
            </a:graphic>
          </wp:inline>
        </w:drawing>
      </w:r>
    </w:p>
    <w:p w14:paraId="1C30B14B" w14:textId="77777777" w:rsidR="00046DB8" w:rsidRDefault="009E5070" w:rsidP="00046DB8">
      <w:pPr>
        <w:pStyle w:val="a7"/>
        <w:spacing w:line="240" w:lineRule="auto"/>
      </w:pPr>
      <w:r>
        <w:t xml:space="preserve">Рис. </w:t>
      </w:r>
      <w:r>
        <w:rPr>
          <w:lang w:val="uk-UA"/>
        </w:rPr>
        <w:t>2</w:t>
      </w:r>
      <w:r>
        <w:t>.</w:t>
      </w:r>
      <w:r>
        <w:rPr>
          <w:lang w:val="uk-UA"/>
        </w:rPr>
        <w:t>9</w:t>
      </w:r>
      <w:r w:rsidR="00046DB8">
        <w:t>. Рівень надання субвенцій на соціально-економічний розвиток</w:t>
      </w:r>
    </w:p>
    <w:p w14:paraId="130E485D" w14:textId="77777777" w:rsidR="00046DB8" w:rsidRPr="00046DB8" w:rsidRDefault="00046DB8" w:rsidP="00046DB8">
      <w:pPr>
        <w:pStyle w:val="1"/>
        <w:ind w:left="200" w:firstLine="0"/>
        <w:jc w:val="both"/>
        <w:rPr>
          <w:lang w:val="uk-UA"/>
        </w:rPr>
      </w:pPr>
    </w:p>
    <w:p w14:paraId="25FAE184" w14:textId="77777777" w:rsidR="00046DB8" w:rsidRDefault="00046DB8" w:rsidP="00046DB8">
      <w:pPr>
        <w:pStyle w:val="1"/>
        <w:spacing w:after="120"/>
        <w:ind w:firstLine="0"/>
        <w:jc w:val="center"/>
      </w:pPr>
      <w:r>
        <w:t>в розрі</w:t>
      </w:r>
      <w:r w:rsidR="009E5070">
        <w:t>зі бюджетів різних рівнів у 20</w:t>
      </w:r>
      <w:r w:rsidR="009E5070">
        <w:rPr>
          <w:lang w:val="uk-UA"/>
        </w:rPr>
        <w:t>21</w:t>
      </w:r>
      <w:r>
        <w:t xml:space="preserve"> році, %</w:t>
      </w:r>
    </w:p>
    <w:p w14:paraId="24AA549B" w14:textId="77777777" w:rsidR="00A33B18" w:rsidRDefault="00A33B18" w:rsidP="00A33B18">
      <w:pPr>
        <w:pStyle w:val="1"/>
        <w:spacing w:line="360" w:lineRule="auto"/>
        <w:ind w:firstLine="580"/>
        <w:jc w:val="both"/>
        <w:rPr>
          <w:lang w:eastAsia="ru-RU" w:bidi="ru-RU"/>
        </w:rPr>
      </w:pPr>
      <w:r>
        <w:rPr>
          <w:lang w:eastAsia="ru-RU" w:bidi="ru-RU"/>
        </w:rPr>
        <w:t>Причиною незначної частки бюджету союзних територій у структурі розподілу дотацій на соціально-економічний розвиток є те, що для забезпечення розвитку інфраструктури останнім державним бюджетом було передбачено дотації для розвитку інфраструктури в таких громадах. .</w:t>
      </w:r>
    </w:p>
    <w:p w14:paraId="357C7502" w14:textId="77777777" w:rsidR="00A33B18" w:rsidRDefault="00A33B18" w:rsidP="00A33B18">
      <w:pPr>
        <w:pStyle w:val="1"/>
        <w:spacing w:line="360" w:lineRule="auto"/>
        <w:ind w:firstLine="580"/>
        <w:jc w:val="both"/>
        <w:rPr>
          <w:lang w:eastAsia="ru-RU" w:bidi="ru-RU"/>
        </w:rPr>
      </w:pPr>
      <w:r>
        <w:rPr>
          <w:lang w:eastAsia="ru-RU" w:bidi="ru-RU"/>
        </w:rPr>
        <w:t xml:space="preserve">З комплексного аналізу дотацій соціально-економічного розвитку в окремих регіонах очевидна відсутність прозорості у виборі адміністративно-територіальних одиниць при розподілі дотацій. Фінансування для забезпечення соціально-економічного розвитку громад та регіонів має базуватися на комплексному стратегічному плануванні національного, регіонального та громадського розвитку. Водночас відповідно до порядку та умов надання місцевим бюджетам дотації з державного бюджету на здійснення заходів соціально-економічного розвитку окремих територій, затверджених постановою КМУ № 106[16], дотації надаються для </w:t>
      </w:r>
      <w:r>
        <w:rPr>
          <w:lang w:eastAsia="ru-RU" w:bidi="ru-RU"/>
        </w:rPr>
        <w:lastRenderedPageBreak/>
        <w:t>забезпечення заходів соціально-економічного розвитку економічний розвиток окремих адміністративних районів і територіальних одиниць отримують реалізацію основ</w:t>
      </w:r>
    </w:p>
    <w:p w14:paraId="02A19822" w14:textId="77777777" w:rsidR="00A33B18" w:rsidRDefault="00A33B18" w:rsidP="00A33B18">
      <w:pPr>
        <w:pStyle w:val="1"/>
        <w:spacing w:line="360" w:lineRule="auto"/>
        <w:ind w:firstLine="580"/>
        <w:jc w:val="both"/>
        <w:rPr>
          <w:lang w:eastAsia="ru-RU" w:bidi="ru-RU"/>
        </w:rPr>
      </w:pPr>
      <w:r>
        <w:rPr>
          <w:lang w:eastAsia="ru-RU" w:bidi="ru-RU"/>
        </w:rPr>
        <w:t>Про вибори до таких адміністративно-територіальних одиниць не йдеться, що, природно, сприяє розвитку корупції та неефективного розподілу коштів.</w:t>
      </w:r>
    </w:p>
    <w:p w14:paraId="0C5611FE" w14:textId="77777777" w:rsidR="00A33B18" w:rsidRDefault="00A33B18" w:rsidP="00A33B18">
      <w:pPr>
        <w:pStyle w:val="1"/>
        <w:spacing w:line="360" w:lineRule="auto"/>
        <w:ind w:firstLine="580"/>
        <w:jc w:val="both"/>
        <w:rPr>
          <w:lang w:eastAsia="ru-RU" w:bidi="ru-RU"/>
        </w:rPr>
      </w:pPr>
      <w:r>
        <w:rPr>
          <w:lang w:eastAsia="ru-RU" w:bidi="ru-RU"/>
        </w:rPr>
        <w:t>Тому правильно об’єднати умови надання субвенції зі стратегічним плануванням регіонального розвитку, зокрема доповнити статтею 3 наказу [16]: «Субвенція надається для забезпечення реалізації заходів щодо соціально-економічного розвитку» окремих адміністративно-територіальних одиниць, що визначаються відповідно стратегією регіонального розвитку та планом заходів щодо її реалізації, а також планом соціально-економічного розвитку територіальних громад».</w:t>
      </w:r>
    </w:p>
    <w:p w14:paraId="5CFCF53F" w14:textId="77777777" w:rsidR="00A33B18" w:rsidRDefault="00A33B18" w:rsidP="00A33B18">
      <w:pPr>
        <w:pStyle w:val="1"/>
        <w:spacing w:line="360" w:lineRule="auto"/>
        <w:ind w:firstLine="580"/>
        <w:jc w:val="both"/>
        <w:rPr>
          <w:lang w:eastAsia="ru-RU" w:bidi="ru-RU"/>
        </w:rPr>
      </w:pPr>
      <w:r>
        <w:rPr>
          <w:lang w:eastAsia="ru-RU" w:bidi="ru-RU"/>
        </w:rPr>
        <w:t>Враховуючи нерівномірність розподілу коштів дотації соціально-економічного розвитку в окремих адміністративно-територіальних одиницях, пропонується забезпечити їх розподіл між регіонами з урахуванням співвідношення кількості населення кожної області до населення України, що відповідатиме принципу соціальної справедливості.</w:t>
      </w:r>
    </w:p>
    <w:p w14:paraId="6F5956A7" w14:textId="77777777" w:rsidR="00A33B18" w:rsidRDefault="00A33B18" w:rsidP="00A33B18">
      <w:pPr>
        <w:pStyle w:val="1"/>
        <w:spacing w:line="360" w:lineRule="auto"/>
        <w:ind w:firstLine="580"/>
        <w:jc w:val="both"/>
        <w:rPr>
          <w:lang w:eastAsia="ru-RU" w:bidi="ru-RU"/>
        </w:rPr>
      </w:pPr>
      <w:r>
        <w:rPr>
          <w:lang w:eastAsia="ru-RU" w:bidi="ru-RU"/>
        </w:rPr>
        <w:t>Вищенаведені рекомендації допоможуть усунути корупційні ризики при розподілі дотацій та забезпечити ефективний механізм розподілу дотацій, що сприяє соціально-економічному розвитку всіх регіонів.</w:t>
      </w:r>
    </w:p>
    <w:p w14:paraId="515E4159" w14:textId="77777777" w:rsidR="00A33B18" w:rsidRDefault="00A33B18" w:rsidP="00A33B18">
      <w:pPr>
        <w:pStyle w:val="1"/>
        <w:spacing w:line="360" w:lineRule="auto"/>
        <w:ind w:firstLine="580"/>
        <w:jc w:val="both"/>
        <w:rPr>
          <w:lang w:eastAsia="ru-RU" w:bidi="ru-RU"/>
        </w:rPr>
      </w:pPr>
      <w:r>
        <w:rPr>
          <w:lang w:eastAsia="ru-RU" w:bidi="ru-RU"/>
        </w:rPr>
        <w:t>Враховуючи досить низький рівень дотацій на соціально-економічний розвиток з бюджету громади об’єднаної території, слід звернути увагу на специфіку дотацій на формування інфраструктури ОТГ. У 2021 році до бюджету громад об’єднаних територій спрямували 1,5 млрд грн. грант</w:t>
      </w:r>
    </w:p>
    <w:p w14:paraId="27FDD6C3" w14:textId="77777777" w:rsidR="00A33B18" w:rsidRDefault="00A33B18" w:rsidP="00A33B18">
      <w:pPr>
        <w:pStyle w:val="1"/>
        <w:spacing w:line="360" w:lineRule="auto"/>
        <w:ind w:firstLine="580"/>
        <w:jc w:val="both"/>
        <w:rPr>
          <w:lang w:eastAsia="ru-RU" w:bidi="ru-RU"/>
        </w:rPr>
      </w:pPr>
      <w:r>
        <w:rPr>
          <w:lang w:eastAsia="ru-RU" w:bidi="ru-RU"/>
        </w:rPr>
        <w:t xml:space="preserve">На відміну від розподілу грантів на соціально-економічний розвиток на окремих територіях, розподіл грантів на розвиток інфраструктури в громадах на союзних територіях базується на врахуванні двох параметрів: розміру громади та її населення. на рис. 2.9 Показує у відсотковому співвідношенні співвідношення основних параметрів, на яких базується розподіл гранту, та </w:t>
      </w:r>
      <w:r>
        <w:rPr>
          <w:lang w:eastAsia="ru-RU" w:bidi="ru-RU"/>
        </w:rPr>
        <w:lastRenderedPageBreak/>
        <w:t>суми гранту, наданого для створення інфраструктури громади на території Союзу.</w:t>
      </w:r>
    </w:p>
    <w:p w14:paraId="5024D21A" w14:textId="77777777" w:rsidR="003B4851" w:rsidRDefault="009E5070" w:rsidP="00A33B18">
      <w:pPr>
        <w:pStyle w:val="1"/>
        <w:spacing w:line="360" w:lineRule="auto"/>
        <w:ind w:firstLine="580"/>
        <w:jc w:val="both"/>
      </w:pPr>
      <w:r>
        <w:rPr>
          <w:lang w:eastAsia="ru-RU" w:bidi="ru-RU"/>
        </w:rPr>
        <w:t xml:space="preserve">Як видно з рис. </w:t>
      </w:r>
      <w:r>
        <w:rPr>
          <w:lang w:val="uk-UA" w:eastAsia="ru-RU" w:bidi="ru-RU"/>
        </w:rPr>
        <w:t>2</w:t>
      </w:r>
      <w:r>
        <w:rPr>
          <w:lang w:eastAsia="ru-RU" w:bidi="ru-RU"/>
        </w:rPr>
        <w:t>.</w:t>
      </w:r>
      <w:r>
        <w:rPr>
          <w:lang w:val="uk-UA" w:eastAsia="ru-RU" w:bidi="ru-RU"/>
        </w:rPr>
        <w:t>9</w:t>
      </w:r>
      <w:r w:rsidR="003B4851">
        <w:rPr>
          <w:lang w:eastAsia="ru-RU" w:bidi="ru-RU"/>
        </w:rPr>
        <w:t xml:space="preserve">, </w:t>
      </w:r>
      <w:r w:rsidR="003B4851">
        <w:t xml:space="preserve">існує </w:t>
      </w:r>
      <w:r w:rsidR="003B4851">
        <w:rPr>
          <w:lang w:eastAsia="ru-RU" w:bidi="ru-RU"/>
        </w:rPr>
        <w:t xml:space="preserve">пряма </w:t>
      </w:r>
      <w:r w:rsidR="003B4851">
        <w:t xml:space="preserve">залежність між розмірами об’єднаних територіальних </w:t>
      </w:r>
      <w:r w:rsidR="003B4851">
        <w:rPr>
          <w:lang w:eastAsia="ru-RU" w:bidi="ru-RU"/>
        </w:rPr>
        <w:t xml:space="preserve">громад, </w:t>
      </w:r>
      <w:r w:rsidR="003B4851">
        <w:t xml:space="preserve">чисельністю їх жителів </w:t>
      </w:r>
      <w:r w:rsidR="003B4851">
        <w:rPr>
          <w:lang w:eastAsia="ru-RU" w:bidi="ru-RU"/>
        </w:rPr>
        <w:t xml:space="preserve">та обсягами </w:t>
      </w:r>
      <w:r w:rsidR="003B4851">
        <w:t xml:space="preserve">наданої субвенції </w:t>
      </w:r>
      <w:r w:rsidR="003B4851">
        <w:rPr>
          <w:lang w:eastAsia="ru-RU" w:bidi="ru-RU"/>
        </w:rPr>
        <w:t xml:space="preserve">на формування </w:t>
      </w:r>
      <w:r w:rsidR="003B4851">
        <w:t xml:space="preserve">інфраструктури, </w:t>
      </w:r>
      <w:r w:rsidR="003B4851">
        <w:rPr>
          <w:lang w:eastAsia="ru-RU" w:bidi="ru-RU"/>
        </w:rPr>
        <w:t xml:space="preserve">що </w:t>
      </w:r>
      <w:r w:rsidR="003B4851">
        <w:t xml:space="preserve">є </w:t>
      </w:r>
      <w:r w:rsidR="003B4851">
        <w:rPr>
          <w:lang w:eastAsia="ru-RU" w:bidi="ru-RU"/>
        </w:rPr>
        <w:t xml:space="preserve">ще одним твердженням на користь формування великих </w:t>
      </w:r>
      <w:r w:rsidR="003B4851">
        <w:t xml:space="preserve">об’єднаних територіальних </w:t>
      </w:r>
      <w:r w:rsidR="003B4851">
        <w:rPr>
          <w:lang w:eastAsia="ru-RU" w:bidi="ru-RU"/>
        </w:rPr>
        <w:t>громад.</w:t>
      </w:r>
    </w:p>
    <w:p w14:paraId="2F9D126D" w14:textId="77777777" w:rsidR="003B4851" w:rsidRDefault="003B4851" w:rsidP="009E5070">
      <w:pPr>
        <w:pStyle w:val="1"/>
        <w:spacing w:line="360" w:lineRule="auto"/>
        <w:ind w:firstLine="580"/>
        <w:jc w:val="both"/>
      </w:pPr>
      <w:r>
        <w:t xml:space="preserve">Найбільший </w:t>
      </w:r>
      <w:r>
        <w:rPr>
          <w:lang w:eastAsia="ru-RU" w:bidi="ru-RU"/>
        </w:rPr>
        <w:t xml:space="preserve">обсяг </w:t>
      </w:r>
      <w:r>
        <w:t xml:space="preserve">субвенції </w:t>
      </w:r>
      <w:r>
        <w:rPr>
          <w:lang w:eastAsia="ru-RU" w:bidi="ru-RU"/>
        </w:rPr>
        <w:t xml:space="preserve">на формування </w:t>
      </w:r>
      <w:r>
        <w:t xml:space="preserve">інфраструктури </w:t>
      </w:r>
      <w:r>
        <w:rPr>
          <w:lang w:eastAsia="ru-RU" w:bidi="ru-RU"/>
        </w:rPr>
        <w:t xml:space="preserve">отримали </w:t>
      </w:r>
      <w:r>
        <w:t xml:space="preserve">об’єднані </w:t>
      </w:r>
      <w:r>
        <w:rPr>
          <w:lang w:eastAsia="ru-RU" w:bidi="ru-RU"/>
        </w:rPr>
        <w:t xml:space="preserve">громади </w:t>
      </w:r>
      <w:r>
        <w:t xml:space="preserve">Хмельницької </w:t>
      </w:r>
      <w:r>
        <w:rPr>
          <w:lang w:eastAsia="ru-RU" w:bidi="ru-RU"/>
        </w:rPr>
        <w:t xml:space="preserve">(55,7 млн. грн.), </w:t>
      </w:r>
      <w:r>
        <w:t xml:space="preserve">Житомирської </w:t>
      </w:r>
      <w:r>
        <w:rPr>
          <w:lang w:eastAsia="ru-RU" w:bidi="ru-RU"/>
        </w:rPr>
        <w:t xml:space="preserve">(51,7 млн. грн.), </w:t>
      </w:r>
      <w:r>
        <w:t xml:space="preserve">Дніпропетровської </w:t>
      </w:r>
      <w:r>
        <w:rPr>
          <w:lang w:eastAsia="ru-RU" w:bidi="ru-RU"/>
        </w:rPr>
        <w:t xml:space="preserve">(45,0 млн. грн.) та </w:t>
      </w:r>
      <w:r>
        <w:t xml:space="preserve">Тернопільської </w:t>
      </w:r>
      <w:r>
        <w:rPr>
          <w:lang w:eastAsia="ru-RU" w:bidi="ru-RU"/>
        </w:rPr>
        <w:t xml:space="preserve">(38,5 млн. грн.) областей. При цьому, площа </w:t>
      </w:r>
      <w:r>
        <w:t xml:space="preserve">об’єднаних територіальних </w:t>
      </w:r>
      <w:r>
        <w:rPr>
          <w:lang w:eastAsia="ru-RU" w:bidi="ru-RU"/>
        </w:rPr>
        <w:t xml:space="preserve">громад цих областей </w:t>
      </w:r>
      <w:r>
        <w:t xml:space="preserve">складає </w:t>
      </w:r>
      <w:r>
        <w:rPr>
          <w:lang w:eastAsia="ru-RU" w:bidi="ru-RU"/>
        </w:rPr>
        <w:t xml:space="preserve">42,5% </w:t>
      </w:r>
      <w:r>
        <w:t xml:space="preserve">площі </w:t>
      </w:r>
      <w:r>
        <w:rPr>
          <w:lang w:eastAsia="ru-RU" w:bidi="ru-RU"/>
        </w:rPr>
        <w:t xml:space="preserve">ОТГ </w:t>
      </w:r>
      <w:r>
        <w:t xml:space="preserve">України; </w:t>
      </w:r>
      <w:r>
        <w:rPr>
          <w:lang w:eastAsia="ru-RU" w:bidi="ru-RU"/>
        </w:rPr>
        <w:t xml:space="preserve">саме в цих областях </w:t>
      </w:r>
      <w:r>
        <w:t xml:space="preserve">проживає </w:t>
      </w:r>
      <w:r>
        <w:rPr>
          <w:lang w:eastAsia="ru-RU" w:bidi="ru-RU"/>
        </w:rPr>
        <w:t xml:space="preserve">47,5% </w:t>
      </w:r>
      <w:r>
        <w:t xml:space="preserve">жителів всіх </w:t>
      </w:r>
      <w:r>
        <w:rPr>
          <w:lang w:eastAsia="ru-RU" w:bidi="ru-RU"/>
        </w:rPr>
        <w:t xml:space="preserve">ОТГ </w:t>
      </w:r>
      <w:r>
        <w:t>України.</w:t>
      </w:r>
    </w:p>
    <w:p w14:paraId="37D8B76A" w14:textId="77777777" w:rsidR="003B4851" w:rsidRDefault="003B4851" w:rsidP="009E5070">
      <w:pPr>
        <w:pStyle w:val="1"/>
        <w:spacing w:after="940" w:line="360" w:lineRule="auto"/>
        <w:ind w:firstLine="600"/>
        <w:jc w:val="both"/>
      </w:pPr>
      <w:r>
        <w:t>Таким чином, дослідивши особливості забезпечення економічного розвитку адміністративно-територіальних одиниць, можна зауважити: всі напрями фінансування мають соціальне спрямування (будівництво, ремонт та реконструкція бюджетних установ тощо). Проектів, направлених на інвестування в економічний розвиток територій, практично немає. Попри це, направленість значних фінансових ресурсів на розвиток та оновлення інфраструктури, зокрема, капітальний ремонт доріг, проекти з забезпечення енерго- зберігаючи технологій, є одним з ключових чинників залучення на територію адміністративно-територіальної одиниці інвестиційних ресурсів.</w:t>
      </w:r>
    </w:p>
    <w:p w14:paraId="100132DB" w14:textId="77777777" w:rsidR="00BA6E86" w:rsidRDefault="004C2B6D" w:rsidP="009E5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000000"/>
          <w:sz w:val="28"/>
          <w:szCs w:val="28"/>
          <w:lang w:val="uk-UA" w:eastAsia="uk-UA" w:bidi="uk-UA"/>
        </w:rPr>
      </w:pPr>
      <w:r w:rsidRPr="004C2B6D">
        <w:rPr>
          <w:rFonts w:ascii="Times New Roman" w:hAnsi="Times New Roman" w:cs="Times New Roman"/>
          <w:b/>
          <w:color w:val="000000"/>
          <w:sz w:val="28"/>
          <w:szCs w:val="28"/>
          <w:lang w:val="uk-UA" w:eastAsia="uk-UA" w:bidi="uk-UA"/>
        </w:rPr>
        <w:t>Висновки до розділу 2</w:t>
      </w:r>
    </w:p>
    <w:p w14:paraId="1908AAC4" w14:textId="77777777" w:rsidR="00AD5B85" w:rsidRDefault="00AD5B85" w:rsidP="009E5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000000"/>
          <w:sz w:val="28"/>
          <w:szCs w:val="28"/>
          <w:lang w:val="uk-UA" w:eastAsia="uk-UA" w:bidi="uk-UA"/>
        </w:rPr>
      </w:pPr>
    </w:p>
    <w:p w14:paraId="7C8BE54F" w14:textId="77777777" w:rsidR="004C2B6D" w:rsidRDefault="004C2B6D" w:rsidP="00AD5B85">
      <w:pPr>
        <w:pStyle w:val="1"/>
        <w:spacing w:line="360" w:lineRule="auto"/>
        <w:ind w:firstLine="567"/>
        <w:jc w:val="both"/>
      </w:pPr>
      <w:r>
        <w:t>В контексті дослідження особливостей формування фінансово- бюджетної політики соціально-економічного розвитку адміністративно- територіальних одиниць можна зробити такі висновки:</w:t>
      </w:r>
    </w:p>
    <w:p w14:paraId="1DE90C2D" w14:textId="77777777" w:rsidR="00A33B18" w:rsidRDefault="00A33B18" w:rsidP="00A33B18">
      <w:pPr>
        <w:pStyle w:val="1"/>
        <w:spacing w:line="360" w:lineRule="auto"/>
        <w:jc w:val="both"/>
      </w:pPr>
      <w:r>
        <w:t xml:space="preserve">1. Виділіть основні зміни у здійсненні соціальних видатків у реформі місцевого самоврядування. Виявлено залежність обсягу видатків на </w:t>
      </w:r>
      <w:r>
        <w:lastRenderedPageBreak/>
        <w:t>соціальний захист і соціальне забезпечення від рівня соціально-економічного розвитку адміністративно-територіальних одиниць: райони з низьким рівнем соціально-економічного розвитку мають найвищі витрати, і навпаки. Варто зазначити, що це є причиною надмірного навантаження на місцеві бюджети адміністративно-територіальних утворень з низькою фіскальною та економічною спроможністю.</w:t>
      </w:r>
    </w:p>
    <w:p w14:paraId="1084D339" w14:textId="77777777" w:rsidR="00A33B18" w:rsidRDefault="00A33B18" w:rsidP="00A33B18">
      <w:pPr>
        <w:pStyle w:val="1"/>
        <w:spacing w:line="360" w:lineRule="auto"/>
        <w:ind w:firstLine="0"/>
        <w:jc w:val="both"/>
      </w:pPr>
      <w:r>
        <w:rPr>
          <w:lang w:val="uk-UA"/>
        </w:rPr>
        <w:t xml:space="preserve">     </w:t>
      </w:r>
      <w:r>
        <w:t>2. Виявлено причини збільшення видатків на освіту з місцевих бюджетів та неефективність надання послуг, у тому числі зосередженість на фінансових установах, а не на освіті як такій, а також функціонування мережі великих навчальних закладів, особливо малокомплектних і дороговартісних. сільські школи. Вихід із вирішення проблем освітньої галузі залежить від поступової оптимізації навчальних закладів та ефективного впровадження відповідних галузевих реформ.</w:t>
      </w:r>
    </w:p>
    <w:p w14:paraId="52A7E003" w14:textId="77777777" w:rsidR="00A33B18" w:rsidRDefault="00A33B18" w:rsidP="00A33B18">
      <w:pPr>
        <w:pStyle w:val="1"/>
        <w:spacing w:line="360" w:lineRule="auto"/>
        <w:ind w:firstLine="0"/>
        <w:jc w:val="both"/>
      </w:pPr>
      <w:r>
        <w:rPr>
          <w:lang w:val="uk-UA"/>
        </w:rPr>
        <w:t xml:space="preserve">   </w:t>
      </w:r>
      <w:r>
        <w:t>3. Оцінка формування територіально-комунальної видаткової політики в умовах до та після реформи українського земства дозволяє виокремити позитивні тенденції її розвитку. Утворення повноправних об’єднаних територіальних громад, зміна та розширення повноважень земських органів, передача додаткових фінансових ресурсів місцевим бюджетам забезпечують розширення можливостей розвитку територіальних громад та використання їх фінансового спрямування та економічного потенціалу. При аналізі фіскального та економічного потенціалу територіальних громад виділяються недоліки у функціонуванні систем місцевого самоврядування: відсутність</w:t>
      </w:r>
    </w:p>
    <w:p w14:paraId="0D49B6AC" w14:textId="77777777" w:rsidR="00A33B18" w:rsidRDefault="00A33B18" w:rsidP="00A33B18">
      <w:pPr>
        <w:pStyle w:val="1"/>
        <w:spacing w:line="360" w:lineRule="auto"/>
        <w:jc w:val="both"/>
      </w:pPr>
      <w:r>
        <w:t>4. Планування соціально-економічного розвитку регіону на перспективу, відсутність єдиних критеріїв та показників, за якими можна оцінити ефективність діяльності органів місцевого самоврядування у розвитку територіальних громад, недостатній рівень взаємодії між органами місцевого са</w:t>
      </w:r>
      <w:r w:rsidR="00AA29A0">
        <w:t>моврядування та адміністрацією</w:t>
      </w:r>
      <w:r>
        <w:t>;</w:t>
      </w:r>
      <w:r w:rsidR="00AA29A0">
        <w:rPr>
          <w:lang w:val="uk-UA"/>
        </w:rPr>
        <w:t xml:space="preserve"> </w:t>
      </w:r>
      <w:r>
        <w:t>недостатня спроможність посадових осіб;</w:t>
      </w:r>
      <w:r w:rsidR="00AA29A0">
        <w:rPr>
          <w:lang w:val="uk-UA"/>
        </w:rPr>
        <w:t xml:space="preserve"> </w:t>
      </w:r>
      <w:r w:rsidR="00AA29A0">
        <w:t xml:space="preserve">Місцеве самоврядування </w:t>
      </w:r>
      <w:r w:rsidR="00AA29A0">
        <w:rPr>
          <w:lang w:val="uk-UA"/>
        </w:rPr>
        <w:t>в</w:t>
      </w:r>
      <w:r>
        <w:t>ідсутність мотивації та зацікавленості інституцій у питаннях розвитку громади на Території;</w:t>
      </w:r>
      <w:r w:rsidR="00AA29A0">
        <w:rPr>
          <w:lang w:val="uk-UA"/>
        </w:rPr>
        <w:t xml:space="preserve"> в</w:t>
      </w:r>
      <w:r>
        <w:t xml:space="preserve">ідсутність ефективного та дієвого нагляду та контролю за здійсненням повноважень органами місцевого </w:t>
      </w:r>
      <w:r>
        <w:lastRenderedPageBreak/>
        <w:t>самоврядування.</w:t>
      </w:r>
    </w:p>
    <w:p w14:paraId="5FF1A752" w14:textId="77777777" w:rsidR="00AD5B85" w:rsidRDefault="00A33B18" w:rsidP="00A33B18">
      <w:pPr>
        <w:pStyle w:val="1"/>
        <w:spacing w:line="360" w:lineRule="auto"/>
        <w:ind w:firstLine="0"/>
        <w:jc w:val="both"/>
      </w:pPr>
      <w:r>
        <w:rPr>
          <w:lang w:val="uk-UA"/>
        </w:rPr>
        <w:t xml:space="preserve">      5.</w:t>
      </w:r>
      <w:r w:rsidR="00AD5B85">
        <w:t xml:space="preserve">Фінансовий потенціал </w:t>
      </w:r>
      <w:r w:rsidR="00AD5B85">
        <w:rPr>
          <w:lang w:eastAsia="ru-RU" w:bidi="ru-RU"/>
        </w:rPr>
        <w:t xml:space="preserve">визначено як суму бюджетного </w:t>
      </w:r>
      <w:r w:rsidR="00AD5B85">
        <w:t xml:space="preserve">потенціалу, фінансового потенціалу суб’єктів </w:t>
      </w:r>
      <w:r w:rsidR="00AD5B85">
        <w:rPr>
          <w:lang w:eastAsia="ru-RU" w:bidi="ru-RU"/>
        </w:rPr>
        <w:t xml:space="preserve">господарювання, </w:t>
      </w:r>
      <w:r w:rsidR="00AD5B85">
        <w:t xml:space="preserve">фінансового потенціалу домашніх </w:t>
      </w:r>
      <w:r w:rsidR="00AD5B85">
        <w:rPr>
          <w:lang w:eastAsia="ru-RU" w:bidi="ru-RU"/>
        </w:rPr>
        <w:t xml:space="preserve">господарств та </w:t>
      </w:r>
      <w:r w:rsidR="00AD5B85">
        <w:t xml:space="preserve">потенціалу фінансово-кредитних </w:t>
      </w:r>
      <w:r w:rsidR="00AD5B85">
        <w:rPr>
          <w:lang w:eastAsia="ru-RU" w:bidi="ru-RU"/>
        </w:rPr>
        <w:t xml:space="preserve">установ. </w:t>
      </w:r>
      <w:r w:rsidR="00AD5B85">
        <w:t xml:space="preserve">Окрім </w:t>
      </w:r>
      <w:r w:rsidR="00AD5B85">
        <w:rPr>
          <w:lang w:eastAsia="ru-RU" w:bidi="ru-RU"/>
        </w:rPr>
        <w:t xml:space="preserve">того, його формують </w:t>
      </w:r>
      <w:r w:rsidR="00AD5B85">
        <w:t xml:space="preserve">інвестиційний потенціал </w:t>
      </w:r>
      <w:r w:rsidR="00AD5B85">
        <w:rPr>
          <w:lang w:eastAsia="ru-RU" w:bidi="ru-RU"/>
        </w:rPr>
        <w:t xml:space="preserve">та </w:t>
      </w:r>
      <w:r w:rsidR="00AD5B85">
        <w:t xml:space="preserve">залучені фінансові </w:t>
      </w:r>
      <w:r w:rsidR="00AD5B85">
        <w:rPr>
          <w:lang w:eastAsia="ru-RU" w:bidi="ru-RU"/>
        </w:rPr>
        <w:t xml:space="preserve">ресурси у </w:t>
      </w:r>
      <w:r w:rsidR="00AD5B85">
        <w:t xml:space="preserve">вигляді грантів </w:t>
      </w:r>
      <w:r w:rsidR="00AD5B85">
        <w:rPr>
          <w:lang w:eastAsia="ru-RU" w:bidi="ru-RU"/>
        </w:rPr>
        <w:t xml:space="preserve">та допомоги. Визначено </w:t>
      </w:r>
      <w:r w:rsidR="00AD5B85">
        <w:t xml:space="preserve">основні </w:t>
      </w:r>
      <w:r w:rsidR="00AD5B85">
        <w:rPr>
          <w:lang w:eastAsia="ru-RU" w:bidi="ru-RU"/>
        </w:rPr>
        <w:t xml:space="preserve">елементи </w:t>
      </w:r>
      <w:r w:rsidR="00AD5B85">
        <w:t xml:space="preserve">дослідження потентціалу: </w:t>
      </w:r>
      <w:r w:rsidR="00AD5B85">
        <w:rPr>
          <w:lang w:eastAsia="ru-RU" w:bidi="ru-RU"/>
        </w:rPr>
        <w:t xml:space="preserve">ресурсну базу та </w:t>
      </w:r>
      <w:r w:rsidR="00AD5B85">
        <w:t xml:space="preserve">управлінські якості органів місцевого </w:t>
      </w:r>
      <w:r w:rsidR="00AD5B85">
        <w:rPr>
          <w:lang w:eastAsia="ru-RU" w:bidi="ru-RU"/>
        </w:rPr>
        <w:t xml:space="preserve">самоврядування. При </w:t>
      </w:r>
      <w:r w:rsidR="00AD5B85">
        <w:t xml:space="preserve">дослідженні ресурсної </w:t>
      </w:r>
      <w:r w:rsidR="00AD5B85">
        <w:rPr>
          <w:lang w:eastAsia="ru-RU" w:bidi="ru-RU"/>
        </w:rPr>
        <w:t xml:space="preserve">бази </w:t>
      </w:r>
      <w:r w:rsidR="00AD5B85">
        <w:t xml:space="preserve">виділено наявні фінансові </w:t>
      </w:r>
      <w:r w:rsidR="00AD5B85">
        <w:rPr>
          <w:lang w:eastAsia="ru-RU" w:bidi="ru-RU"/>
        </w:rPr>
        <w:t xml:space="preserve">ресурси та резерви </w:t>
      </w:r>
      <w:r w:rsidR="00AD5B85">
        <w:t>фінансових ресурсів, управлінської якості місцевого самоврядування - можливості оптимального використання ресурсної бази та її розширення.</w:t>
      </w:r>
    </w:p>
    <w:p w14:paraId="54ACCF87" w14:textId="77777777" w:rsidR="004C2B6D" w:rsidRPr="004C2B6D" w:rsidRDefault="004C2B6D" w:rsidP="00A33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000000"/>
          <w:sz w:val="28"/>
          <w:szCs w:val="28"/>
          <w:lang w:val="uk-UA" w:eastAsia="uk-UA" w:bidi="uk-UA"/>
        </w:rPr>
      </w:pPr>
    </w:p>
    <w:p w14:paraId="04A2469D" w14:textId="77777777" w:rsidR="004C2B6D" w:rsidRDefault="004C2B6D" w:rsidP="009E5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p>
    <w:p w14:paraId="607B9CF8" w14:textId="77777777" w:rsidR="000A749E" w:rsidRDefault="000A749E" w:rsidP="009E5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p>
    <w:p w14:paraId="0141CF2F" w14:textId="77777777" w:rsidR="000A749E" w:rsidRDefault="000A749E" w:rsidP="009E5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p>
    <w:p w14:paraId="54B5DF91" w14:textId="77777777" w:rsidR="000A749E" w:rsidRDefault="000A749E" w:rsidP="009E5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p>
    <w:p w14:paraId="604E9EEF" w14:textId="77777777" w:rsidR="000A749E" w:rsidRDefault="000A749E" w:rsidP="009E5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p>
    <w:p w14:paraId="43341349" w14:textId="77777777" w:rsidR="000A749E" w:rsidRDefault="000A749E" w:rsidP="009E5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p>
    <w:p w14:paraId="3FD4B6E7" w14:textId="77777777" w:rsidR="000A749E" w:rsidRDefault="000A749E" w:rsidP="009E5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p>
    <w:p w14:paraId="5E799E86" w14:textId="77777777" w:rsidR="000A749E" w:rsidRDefault="000A749E" w:rsidP="009E5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p>
    <w:p w14:paraId="7AC35604" w14:textId="77777777" w:rsidR="000A749E" w:rsidRDefault="000A749E" w:rsidP="009E5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p>
    <w:p w14:paraId="32C7C167" w14:textId="77777777" w:rsidR="000A749E" w:rsidRDefault="000A749E" w:rsidP="009E5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p>
    <w:p w14:paraId="34536044" w14:textId="77777777" w:rsidR="00AA29A0" w:rsidRDefault="00AA29A0" w:rsidP="009E5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p>
    <w:p w14:paraId="7DA0CDFE" w14:textId="77777777" w:rsidR="00AA29A0" w:rsidRDefault="00AA29A0" w:rsidP="009E5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p>
    <w:p w14:paraId="1D0B7972" w14:textId="77777777" w:rsidR="00AA29A0" w:rsidRDefault="00AA29A0" w:rsidP="009E5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p>
    <w:p w14:paraId="5C3EBABE" w14:textId="77777777" w:rsidR="00AA29A0" w:rsidRDefault="00AA29A0" w:rsidP="009E5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p>
    <w:p w14:paraId="6D8EEAEE" w14:textId="77777777" w:rsidR="00AA29A0" w:rsidRDefault="00AA29A0" w:rsidP="009E5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p>
    <w:p w14:paraId="1ED7997C" w14:textId="77777777" w:rsidR="000A749E" w:rsidRDefault="000A749E" w:rsidP="009E5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p>
    <w:p w14:paraId="5027E89D" w14:textId="77777777" w:rsidR="00BA6E86" w:rsidRDefault="00BA6E86"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26139C37" w14:textId="77777777" w:rsidR="00AA29A0" w:rsidRDefault="004C2B6D" w:rsidP="00CF23BE">
      <w:pPr>
        <w:pStyle w:val="1"/>
        <w:spacing w:line="276" w:lineRule="auto"/>
        <w:ind w:firstLine="0"/>
        <w:jc w:val="center"/>
        <w:rPr>
          <w:b/>
          <w:color w:val="000000"/>
          <w:lang w:val="uk-UA" w:eastAsia="uk-UA" w:bidi="uk-UA"/>
        </w:rPr>
      </w:pPr>
      <w:r w:rsidRPr="00C8148F">
        <w:rPr>
          <w:b/>
          <w:color w:val="000000"/>
          <w:lang w:val="uk-UA" w:eastAsia="uk-UA" w:bidi="uk-UA"/>
        </w:rPr>
        <w:t xml:space="preserve">РОЗДІЛ 3. </w:t>
      </w:r>
    </w:p>
    <w:p w14:paraId="595CA0E7" w14:textId="77777777" w:rsidR="004C2B6D" w:rsidRDefault="004C2B6D" w:rsidP="00CF23BE">
      <w:pPr>
        <w:pStyle w:val="1"/>
        <w:spacing w:line="276" w:lineRule="auto"/>
        <w:ind w:firstLine="0"/>
        <w:jc w:val="center"/>
        <w:rPr>
          <w:b/>
          <w:bCs/>
          <w:color w:val="000000"/>
          <w:lang w:val="uk-UA" w:eastAsia="uk-UA" w:bidi="uk-UA"/>
        </w:rPr>
      </w:pPr>
      <w:r w:rsidRPr="00C8148F">
        <w:rPr>
          <w:b/>
          <w:bCs/>
          <w:color w:val="000000"/>
          <w:lang w:val="uk-UA" w:eastAsia="uk-UA" w:bidi="uk-UA"/>
        </w:rPr>
        <w:lastRenderedPageBreak/>
        <w:t>СТРАТЕГІЧНІ ПРІОРИТЕТИ ТА НАПРЯМИ</w:t>
      </w:r>
      <w:r w:rsidRPr="00C8148F">
        <w:rPr>
          <w:b/>
          <w:bCs/>
          <w:color w:val="000000"/>
          <w:lang w:val="uk-UA" w:eastAsia="uk-UA" w:bidi="uk-UA"/>
        </w:rPr>
        <w:br/>
        <w:t>РОЗВИТКУ ВІТЧИЗНЯНОЇ СИСТЕМИ МІСЦЕВИХ БЮДЖЕТІВ</w:t>
      </w:r>
    </w:p>
    <w:p w14:paraId="51959D3A" w14:textId="77777777" w:rsidR="00CF23BE" w:rsidRPr="00C8148F" w:rsidRDefault="00CF23BE" w:rsidP="004C2B6D">
      <w:pPr>
        <w:pStyle w:val="1"/>
        <w:spacing w:line="276" w:lineRule="auto"/>
        <w:ind w:firstLine="0"/>
        <w:jc w:val="both"/>
        <w:rPr>
          <w:b/>
          <w:lang w:val="uk-UA"/>
        </w:rPr>
      </w:pPr>
    </w:p>
    <w:p w14:paraId="73BD95B4" w14:textId="77777777" w:rsidR="004C2B6D" w:rsidRDefault="004C2B6D" w:rsidP="00CF23BE">
      <w:pPr>
        <w:pStyle w:val="1"/>
        <w:spacing w:line="276" w:lineRule="auto"/>
        <w:ind w:firstLine="567"/>
        <w:jc w:val="both"/>
        <w:rPr>
          <w:b/>
          <w:color w:val="000000"/>
          <w:lang w:val="uk-UA" w:eastAsia="uk-UA" w:bidi="uk-UA"/>
        </w:rPr>
      </w:pPr>
      <w:r w:rsidRPr="00CF23BE">
        <w:rPr>
          <w:b/>
          <w:color w:val="000000"/>
          <w:lang w:val="uk-UA" w:eastAsia="uk-UA" w:bidi="uk-UA"/>
        </w:rPr>
        <w:t>3.1. Напрями удосконалення механізму оподаткування на місцевому</w:t>
      </w:r>
      <w:r w:rsidRPr="00CF23BE">
        <w:rPr>
          <w:b/>
          <w:color w:val="000000"/>
          <w:lang w:val="uk-UA" w:eastAsia="uk-UA" w:bidi="uk-UA"/>
        </w:rPr>
        <w:br/>
        <w:t>рівні</w:t>
      </w:r>
    </w:p>
    <w:p w14:paraId="4B252036" w14:textId="77777777" w:rsidR="00A33B18" w:rsidRDefault="00A33B18" w:rsidP="00B44465">
      <w:pPr>
        <w:pStyle w:val="1"/>
        <w:spacing w:line="360" w:lineRule="auto"/>
        <w:ind w:firstLine="567"/>
        <w:jc w:val="both"/>
        <w:rPr>
          <w:color w:val="000000"/>
          <w:lang w:val="uk-UA" w:eastAsia="uk-UA" w:bidi="uk-UA"/>
        </w:rPr>
      </w:pPr>
      <w:r w:rsidRPr="00A33B18">
        <w:rPr>
          <w:color w:val="000000"/>
          <w:lang w:val="uk-UA" w:eastAsia="uk-UA" w:bidi="uk-UA"/>
        </w:rPr>
        <w:t>Враховуючи пріоритетність фіскальної спроможності громад краю забезпечувати свій розвиток в умовах адміністративно-податкової децентралізації, необхідно шукати шляхи збільшення дохідної бази місцевого бюджету. Розділ 3.3 присвячений питанням оптимізації доходів місцевих бюджетів. При цьому особливої ​​уваги заслуговує встановлення місцевих податків і зборів та розвиток місцевих податків як інструменту органів місцевого самоврядування. Місцеві податки та збори – це податки, що повністю надходять до відповідного місцевого бюджету, встановлення яких (хоча й у визначених законом межах) здійснюється органами місцевого самоврядування.</w:t>
      </w:r>
    </w:p>
    <w:p w14:paraId="6A51A157" w14:textId="77777777" w:rsidR="00CF23BE" w:rsidRDefault="00CF23BE" w:rsidP="00B44465">
      <w:pPr>
        <w:pStyle w:val="1"/>
        <w:spacing w:line="360" w:lineRule="auto"/>
        <w:ind w:firstLine="567"/>
        <w:jc w:val="both"/>
      </w:pPr>
      <w:r>
        <w:rPr>
          <w:color w:val="000000"/>
          <w:lang w:val="uk-UA" w:eastAsia="uk-UA" w:bidi="uk-UA"/>
        </w:rPr>
        <w:t>Особливої уваги в цьому контексті заслуговують податки на майно, як зауважено в попередніх розділах. В Україні вони представлені трьома податками:</w:t>
      </w:r>
    </w:p>
    <w:p w14:paraId="58A76BC2" w14:textId="77777777" w:rsidR="00CF23BE" w:rsidRDefault="00CF23BE" w:rsidP="00B44465">
      <w:pPr>
        <w:pStyle w:val="1"/>
        <w:numPr>
          <w:ilvl w:val="0"/>
          <w:numId w:val="13"/>
        </w:numPr>
        <w:tabs>
          <w:tab w:val="left" w:pos="1068"/>
        </w:tabs>
        <w:spacing w:line="360" w:lineRule="auto"/>
        <w:ind w:firstLine="567"/>
      </w:pPr>
      <w:r>
        <w:rPr>
          <w:color w:val="000000"/>
          <w:lang w:val="uk-UA" w:eastAsia="uk-UA" w:bidi="uk-UA"/>
        </w:rPr>
        <w:t>платою за землю;</w:t>
      </w:r>
    </w:p>
    <w:p w14:paraId="29DDD38F" w14:textId="77777777" w:rsidR="00CF23BE" w:rsidRDefault="00CF23BE" w:rsidP="00B44465">
      <w:pPr>
        <w:pStyle w:val="1"/>
        <w:numPr>
          <w:ilvl w:val="0"/>
          <w:numId w:val="13"/>
        </w:numPr>
        <w:tabs>
          <w:tab w:val="left" w:pos="1068"/>
        </w:tabs>
        <w:spacing w:line="360" w:lineRule="auto"/>
        <w:ind w:firstLine="567"/>
      </w:pPr>
      <w:r>
        <w:rPr>
          <w:color w:val="000000"/>
          <w:lang w:val="uk-UA" w:eastAsia="uk-UA" w:bidi="uk-UA"/>
        </w:rPr>
        <w:t>податком на нерухоме майно, відмінним від земельної ділянки;</w:t>
      </w:r>
    </w:p>
    <w:p w14:paraId="3E09E5DF" w14:textId="77777777" w:rsidR="00CF23BE" w:rsidRDefault="00CF23BE" w:rsidP="00B44465">
      <w:pPr>
        <w:pStyle w:val="1"/>
        <w:numPr>
          <w:ilvl w:val="0"/>
          <w:numId w:val="13"/>
        </w:numPr>
        <w:tabs>
          <w:tab w:val="left" w:pos="1068"/>
        </w:tabs>
        <w:spacing w:line="360" w:lineRule="auto"/>
        <w:ind w:firstLine="567"/>
      </w:pPr>
      <w:r>
        <w:rPr>
          <w:color w:val="000000"/>
          <w:lang w:val="uk-UA" w:eastAsia="uk-UA" w:bidi="uk-UA"/>
        </w:rPr>
        <w:t>транспортним податком.</w:t>
      </w:r>
    </w:p>
    <w:p w14:paraId="1CC47C72" w14:textId="77777777" w:rsidR="00A33B18" w:rsidRPr="00A33B18" w:rsidRDefault="00A33B18" w:rsidP="00A33B18">
      <w:pPr>
        <w:pStyle w:val="1"/>
        <w:tabs>
          <w:tab w:val="left" w:pos="1112"/>
        </w:tabs>
        <w:spacing w:line="360" w:lineRule="auto"/>
        <w:jc w:val="both"/>
        <w:rPr>
          <w:color w:val="000000"/>
          <w:lang w:val="uk-UA" w:eastAsia="uk-UA" w:bidi="uk-UA"/>
        </w:rPr>
      </w:pPr>
      <w:r w:rsidRPr="00A33B18">
        <w:rPr>
          <w:color w:val="000000"/>
          <w:lang w:val="uk-UA" w:eastAsia="uk-UA" w:bidi="uk-UA"/>
        </w:rPr>
        <w:t>За останнє десятиліття потенціал податків на майно для мобілізації доходів і розвитку управління на інституційному рівні місцевого самоврядування зріс, особливо для країн з перехідною економікою та країн, що розвиваються. частка підтверджує це</w:t>
      </w:r>
    </w:p>
    <w:p w14:paraId="38E6F27D" w14:textId="77777777" w:rsidR="00A33B18" w:rsidRPr="00A33B18" w:rsidRDefault="00A33B18" w:rsidP="00A33B18">
      <w:pPr>
        <w:pStyle w:val="1"/>
        <w:tabs>
          <w:tab w:val="left" w:pos="1112"/>
        </w:tabs>
        <w:spacing w:line="360" w:lineRule="auto"/>
        <w:jc w:val="both"/>
        <w:rPr>
          <w:color w:val="000000"/>
          <w:lang w:val="uk-UA" w:eastAsia="uk-UA" w:bidi="uk-UA"/>
        </w:rPr>
      </w:pPr>
      <w:r w:rsidRPr="00A33B18">
        <w:rPr>
          <w:color w:val="000000"/>
          <w:lang w:val="uk-UA" w:eastAsia="uk-UA" w:bidi="uk-UA"/>
        </w:rPr>
        <w:t>Податки в національному ВВП - 0,3-0,6% ВВП для окремих груп країн і 2,0-3,0% ВВП для країн ОЕСР [25].</w:t>
      </w:r>
    </w:p>
    <w:p w14:paraId="0EF16D6B" w14:textId="77777777" w:rsidR="00A33B18" w:rsidRPr="00A33B18" w:rsidRDefault="00A33B18" w:rsidP="00A33B18">
      <w:pPr>
        <w:pStyle w:val="1"/>
        <w:tabs>
          <w:tab w:val="left" w:pos="1112"/>
        </w:tabs>
        <w:spacing w:line="360" w:lineRule="auto"/>
        <w:ind w:firstLine="0"/>
        <w:jc w:val="both"/>
        <w:rPr>
          <w:color w:val="000000"/>
          <w:lang w:val="uk-UA" w:eastAsia="uk-UA" w:bidi="uk-UA"/>
        </w:rPr>
      </w:pPr>
      <w:r>
        <w:rPr>
          <w:color w:val="000000"/>
          <w:lang w:val="uk-UA" w:eastAsia="uk-UA" w:bidi="uk-UA"/>
        </w:rPr>
        <w:t xml:space="preserve">    </w:t>
      </w:r>
      <w:r w:rsidRPr="00A33B18">
        <w:rPr>
          <w:color w:val="000000"/>
          <w:lang w:val="uk-UA" w:eastAsia="uk-UA" w:bidi="uk-UA"/>
        </w:rPr>
        <w:t xml:space="preserve">Для реалізації цього потенціалу необхідні стратегічні зміни у сферах, які безпосередньо впливають на адміністрування податку на майно, зокрема забезпечення покращення охоплення та оцінки суб’єктів оподаткування, а також інших характеристик податків на майно. Адміністрування таких </w:t>
      </w:r>
      <w:r w:rsidRPr="00A33B18">
        <w:rPr>
          <w:color w:val="000000"/>
          <w:lang w:val="uk-UA" w:eastAsia="uk-UA" w:bidi="uk-UA"/>
        </w:rPr>
        <w:lastRenderedPageBreak/>
        <w:t>податків означає реформування адміністрування податків на майно.</w:t>
      </w:r>
    </w:p>
    <w:p w14:paraId="5EFF6AB3" w14:textId="77777777" w:rsidR="00A33B18" w:rsidRPr="00A33B18" w:rsidRDefault="00A33B18" w:rsidP="00A33B18">
      <w:pPr>
        <w:pStyle w:val="1"/>
        <w:tabs>
          <w:tab w:val="left" w:pos="1112"/>
        </w:tabs>
        <w:spacing w:line="360" w:lineRule="auto"/>
        <w:jc w:val="both"/>
      </w:pPr>
      <w:r w:rsidRPr="00A33B18">
        <w:rPr>
          <w:color w:val="000000"/>
          <w:lang w:val="uk-UA" w:eastAsia="uk-UA" w:bidi="uk-UA"/>
        </w:rPr>
        <w:t>Щоб розробити та запровадити ефективні засоби вдосконалення адміністрування податку на майно та забезпечити справедливість його встановлення, слід чітко розмежовувати економічні, політичні та адміністративні чинники, які впливають на регулювання податку на майно. До політичних та економічних чинників, що визначають податковий тягар платників податків, в основному слід віднести:</w:t>
      </w:r>
    </w:p>
    <w:p w14:paraId="07AD4426" w14:textId="77777777" w:rsidR="00CF23BE" w:rsidRDefault="00CF23BE" w:rsidP="00A33B18">
      <w:pPr>
        <w:pStyle w:val="1"/>
        <w:numPr>
          <w:ilvl w:val="0"/>
          <w:numId w:val="13"/>
        </w:numPr>
        <w:tabs>
          <w:tab w:val="left" w:pos="1112"/>
        </w:tabs>
        <w:spacing w:line="360" w:lineRule="auto"/>
        <w:ind w:firstLine="567"/>
        <w:jc w:val="both"/>
      </w:pPr>
      <w:r>
        <w:rPr>
          <w:color w:val="000000"/>
          <w:lang w:val="uk-UA" w:eastAsia="uk-UA" w:bidi="uk-UA"/>
        </w:rPr>
        <w:t>склад об’єктів оподаткування;</w:t>
      </w:r>
    </w:p>
    <w:p w14:paraId="1D1C2798" w14:textId="77777777" w:rsidR="00CF23BE" w:rsidRDefault="00CF23BE" w:rsidP="00B44465">
      <w:pPr>
        <w:pStyle w:val="1"/>
        <w:numPr>
          <w:ilvl w:val="0"/>
          <w:numId w:val="13"/>
        </w:numPr>
        <w:tabs>
          <w:tab w:val="left" w:pos="1112"/>
        </w:tabs>
        <w:spacing w:line="360" w:lineRule="auto"/>
        <w:ind w:firstLine="567"/>
        <w:jc w:val="both"/>
      </w:pPr>
      <w:r>
        <w:rPr>
          <w:color w:val="000000"/>
          <w:lang w:val="uk-UA" w:eastAsia="uk-UA" w:bidi="uk-UA"/>
        </w:rPr>
        <w:t>податкові ставки.</w:t>
      </w:r>
    </w:p>
    <w:p w14:paraId="5C27B820" w14:textId="77777777" w:rsidR="00CF23BE" w:rsidRDefault="00CF23BE" w:rsidP="00B44465">
      <w:pPr>
        <w:pStyle w:val="1"/>
        <w:spacing w:line="360" w:lineRule="auto"/>
        <w:ind w:firstLine="567"/>
        <w:jc w:val="both"/>
      </w:pPr>
      <w:r>
        <w:rPr>
          <w:color w:val="000000"/>
          <w:lang w:val="uk-UA" w:eastAsia="uk-UA" w:bidi="uk-UA"/>
        </w:rPr>
        <w:t>До адміністративних або чинників управління, які визначають рівень реалізації податкового навантаження:</w:t>
      </w:r>
    </w:p>
    <w:p w14:paraId="7ACF8F85" w14:textId="77777777" w:rsidR="00CF23BE" w:rsidRDefault="00CF23BE" w:rsidP="00B44465">
      <w:pPr>
        <w:pStyle w:val="1"/>
        <w:numPr>
          <w:ilvl w:val="0"/>
          <w:numId w:val="13"/>
        </w:numPr>
        <w:tabs>
          <w:tab w:val="left" w:pos="1112"/>
        </w:tabs>
        <w:spacing w:line="360" w:lineRule="auto"/>
        <w:ind w:firstLine="567"/>
      </w:pPr>
      <w:r>
        <w:rPr>
          <w:color w:val="000000"/>
          <w:lang w:val="uk-UA" w:eastAsia="uk-UA" w:bidi="uk-UA"/>
        </w:rPr>
        <w:t>рівень покриття податкової бази;</w:t>
      </w:r>
    </w:p>
    <w:p w14:paraId="07C1D0BD" w14:textId="77777777" w:rsidR="00CF23BE" w:rsidRDefault="00CF23BE" w:rsidP="00B44465">
      <w:pPr>
        <w:pStyle w:val="1"/>
        <w:numPr>
          <w:ilvl w:val="0"/>
          <w:numId w:val="13"/>
        </w:numPr>
        <w:tabs>
          <w:tab w:val="left" w:pos="1112"/>
        </w:tabs>
        <w:spacing w:line="360" w:lineRule="auto"/>
        <w:ind w:firstLine="567"/>
      </w:pPr>
      <w:r>
        <w:rPr>
          <w:color w:val="000000"/>
          <w:lang w:val="uk-UA" w:eastAsia="uk-UA" w:bidi="uk-UA"/>
        </w:rPr>
        <w:t>особливості оцінки бази оподаткування;</w:t>
      </w:r>
    </w:p>
    <w:p w14:paraId="31719A09" w14:textId="77777777" w:rsidR="00CF23BE" w:rsidRDefault="00CF23BE" w:rsidP="00B44465">
      <w:pPr>
        <w:pStyle w:val="1"/>
        <w:numPr>
          <w:ilvl w:val="0"/>
          <w:numId w:val="13"/>
        </w:numPr>
        <w:tabs>
          <w:tab w:val="left" w:pos="1132"/>
        </w:tabs>
        <w:spacing w:line="360" w:lineRule="auto"/>
        <w:ind w:firstLine="567"/>
        <w:jc w:val="both"/>
      </w:pPr>
      <w:r>
        <w:rPr>
          <w:color w:val="000000"/>
          <w:lang w:val="uk-UA" w:eastAsia="uk-UA" w:bidi="uk-UA"/>
        </w:rPr>
        <w:t>рівень збору податків, тобто визначення ефективності збору податку та заборгованості по його сплаті.</w:t>
      </w:r>
    </w:p>
    <w:p w14:paraId="6E2F07A9"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Як такі, вони часто є основними компонентами адміністрування податку на майно, що визначає ефективність адміністрування податку на майно та обсяг надходжень до відповідного бюджету. Для аналізу та поглибленого вивчення впливу політичних та адміністративних факторів кожному з них ми приділяємо особливу увагу.</w:t>
      </w:r>
    </w:p>
    <w:p w14:paraId="1D45C7AC"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Ефективність податку на майно виявляється у правильному виборі об'єктів оподаткування. Вивчаючи особливості податків на майно в різних країнах, особливо визначення об’єктів оподаткування, слід звернути увагу на</w:t>
      </w:r>
    </w:p>
    <w:p w14:paraId="1909CCE8"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 xml:space="preserve">Є багато варіантів. Податок на нерухомість поширений у більшості європейських країн і стягується як із земельних ділянок, так і з розташованих на них будівель. Наприклад, це Австрія, Бельгія, Болгарія, Велика Британія, Іспанія, Італія, Німеччина, Чехія тощо. Крім того, в таких країнах, як Болгарія, Македонія, Нідерланди, Німеччина та Словенія, податками також є рухоме майно (обладнання, машини, транспортні засоби). Лише дев’ять європейських країн відокремлюють земельні податки від інших податків на майно, а саме: </w:t>
      </w:r>
      <w:r w:rsidRPr="00A33B18">
        <w:rPr>
          <w:color w:val="000000"/>
          <w:lang w:val="uk-UA" w:eastAsia="uk-UA" w:bidi="uk-UA"/>
        </w:rPr>
        <w:lastRenderedPageBreak/>
        <w:t>Данія, Естонія, Литва, Польща (сільськогосподарський та лісовий податки), Румунія, Словенія, Угорщина, Франція та Україна. Слід зазначити, що провідні експерти в галузі податку на майно вважають, що податок на землю, який не враховує будівлі на ній, є економічно ефективнішим, ніж податок на нерухоме майно, який охоплює податок як на землю, так і на будівлі. Причина – стимулююча дія земельного податку. Оподатковуючи тільки землю, держава стимулює її власників до найбільш ефективного використання майна, в тому числі будівель. Зокрема, цьому приділено особливу увагу в рамках визначення рівня конкурентоспроможності податкових систем у країнах ОЕСР. Саме через податок на землю податкова система Естонії визначається як найбільш конкурентоспроможна як альтернатива «складним» податкам на майно [28].</w:t>
      </w:r>
    </w:p>
    <w:p w14:paraId="28069555"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При цьому наявність земельного податку та податку на нерухомість у вітчизняній податковій системі дозволяє скористатися перевагами цього податку. По-перше, важливо зазначити, що встановлення податку на землю на рівні територіальної громади є обов’язковим, тоді як органи місцевого самоврядування не можуть встановлювати податок на нерухоме майно. Тому на рівні місцевого самоврядування можна визначити найбільш ефективне поєднання податку на землю та податку на нерухоме майно з урахуванням відповідних факторів впливу.</w:t>
      </w:r>
    </w:p>
    <w:p w14:paraId="1F9BA86F"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При цьому кожна схема вибору об’єктів оподаткування має свої переваги та недоліки. Проте, незважаючи на ці аспекти, у кожній країні зазвичай існує найбільший охоплення об’єктів оподаткування для забезпечення максимальних надходжень до бюджету.</w:t>
      </w:r>
    </w:p>
    <w:p w14:paraId="319979E6" w14:textId="77777777" w:rsid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 xml:space="preserve">Враховуючи те, що визначення переліку об’єктів оподаткування майна закладено нами як політичний вплив, головне політичне питання – визначити, що буде входити до бази оподаткування, а що ні. Тим не менш, питання звільнення від сплати податків і податкових пільг є важливим. Основні аспекти, які країни враховують, визначаючи, кого оподатковувати, а кого звільнити, в основному однакові; вони включають характеристики громадянства, форми власності та використання власності. У більшості </w:t>
      </w:r>
      <w:r w:rsidRPr="00A33B18">
        <w:rPr>
          <w:color w:val="000000"/>
          <w:lang w:val="uk-UA" w:eastAsia="uk-UA" w:bidi="uk-UA"/>
        </w:rPr>
        <w:lastRenderedPageBreak/>
        <w:t>випадків податкові пільги обумовлені законними та зрозумілими причинами, пов’язаними з ефективним виконанням функцій держави та наданням соціальних послуг населенню. Однак через встановлення податкових пільг і звільнень, субсидування конкретних об’єктів, тобто з державного бюджету чи відповідних місцевих бюджетів (залежно від того, куди входять податки на майно), податкові витрати, хоча й неявно, впливають на доходи бюджету та податкові платежі. Економічна поведінка людини характеризується належним рівнем ефективності та соціальної справедливості.</w:t>
      </w:r>
    </w:p>
    <w:p w14:paraId="67E642A5" w14:textId="77777777" w:rsidR="00CF23BE" w:rsidRDefault="00CF23BE" w:rsidP="00A33B18">
      <w:pPr>
        <w:pStyle w:val="1"/>
        <w:spacing w:line="360" w:lineRule="auto"/>
        <w:ind w:firstLine="567"/>
        <w:jc w:val="both"/>
      </w:pPr>
      <w:r>
        <w:rPr>
          <w:color w:val="000000"/>
          <w:lang w:val="uk-UA" w:eastAsia="uk-UA" w:bidi="uk-UA"/>
        </w:rPr>
        <w:t>Найчастіше звільненню від сплати майнових податків в різних країнах (відповідно до Віденської конвенції про дипломатичні відносини) підлягають дипломатичні представництва. В більшості країн від оподаткування також звільняється майно релігійних установ, установи освіти, охорони здоров’я, а також соціально незахищені верстви населення. В багатьох країнах звільнено також об’єкти державної форми власності та власність органів місцевого самоврядування. У випадку звільнення майна, яке перебуває у державній власності, виникає питання щодо відповідності цієї норми принципу</w:t>
      </w:r>
    </w:p>
    <w:p w14:paraId="0797A8D5" w14:textId="77777777" w:rsidR="00CF23BE" w:rsidRDefault="00CF23BE" w:rsidP="00B44465">
      <w:pPr>
        <w:pStyle w:val="1"/>
        <w:spacing w:line="360" w:lineRule="auto"/>
        <w:ind w:firstLine="567"/>
        <w:jc w:val="both"/>
      </w:pPr>
      <w:r>
        <w:rPr>
          <w:color w:val="000000"/>
          <w:lang w:val="uk-UA" w:eastAsia="uk-UA" w:bidi="uk-UA"/>
        </w:rPr>
        <w:t xml:space="preserve">соціальної справедливості, </w:t>
      </w:r>
      <w:r>
        <w:rPr>
          <w:color w:val="000000"/>
          <w:lang w:eastAsia="ru-RU" w:bidi="ru-RU"/>
        </w:rPr>
        <w:t xml:space="preserve">особливо у </w:t>
      </w:r>
      <w:r>
        <w:rPr>
          <w:color w:val="000000"/>
          <w:lang w:val="uk-UA" w:eastAsia="uk-UA" w:bidi="uk-UA"/>
        </w:rPr>
        <w:t xml:space="preserve">країнах </w:t>
      </w:r>
      <w:r>
        <w:rPr>
          <w:color w:val="000000"/>
          <w:lang w:eastAsia="ru-RU" w:bidi="ru-RU"/>
        </w:rPr>
        <w:t xml:space="preserve">з високим </w:t>
      </w:r>
      <w:r>
        <w:rPr>
          <w:color w:val="000000"/>
          <w:lang w:val="uk-UA" w:eastAsia="uk-UA" w:bidi="uk-UA"/>
        </w:rPr>
        <w:t xml:space="preserve">рівнем децентралізації ресурсів </w:t>
      </w:r>
      <w:r>
        <w:rPr>
          <w:color w:val="000000"/>
          <w:lang w:eastAsia="ru-RU" w:bidi="ru-RU"/>
        </w:rPr>
        <w:t xml:space="preserve">та повноважень, в податкових системах яких </w:t>
      </w:r>
      <w:r>
        <w:rPr>
          <w:color w:val="000000"/>
          <w:lang w:val="uk-UA" w:eastAsia="uk-UA" w:bidi="uk-UA"/>
        </w:rPr>
        <w:t xml:space="preserve">майнові </w:t>
      </w:r>
      <w:r>
        <w:rPr>
          <w:color w:val="000000"/>
          <w:lang w:eastAsia="ru-RU" w:bidi="ru-RU"/>
        </w:rPr>
        <w:t xml:space="preserve">податки визначено як </w:t>
      </w:r>
      <w:r>
        <w:rPr>
          <w:color w:val="000000"/>
          <w:lang w:val="uk-UA" w:eastAsia="uk-UA" w:bidi="uk-UA"/>
        </w:rPr>
        <w:t xml:space="preserve">місцеві. </w:t>
      </w:r>
      <w:r>
        <w:rPr>
          <w:color w:val="000000"/>
          <w:lang w:eastAsia="ru-RU" w:bidi="ru-RU"/>
        </w:rPr>
        <w:t xml:space="preserve">Причиною цього </w:t>
      </w:r>
      <w:r>
        <w:rPr>
          <w:color w:val="000000"/>
          <w:lang w:val="uk-UA" w:eastAsia="uk-UA" w:bidi="uk-UA"/>
        </w:rPr>
        <w:t xml:space="preserve">є фінансові </w:t>
      </w:r>
      <w:r>
        <w:rPr>
          <w:color w:val="000000"/>
          <w:lang w:eastAsia="ru-RU" w:bidi="ru-RU"/>
        </w:rPr>
        <w:t xml:space="preserve">втрати </w:t>
      </w:r>
      <w:r>
        <w:rPr>
          <w:color w:val="000000"/>
          <w:lang w:val="uk-UA" w:eastAsia="uk-UA" w:bidi="uk-UA"/>
        </w:rPr>
        <w:t xml:space="preserve">місцевих бюджетів, які, </w:t>
      </w:r>
      <w:r>
        <w:rPr>
          <w:color w:val="000000"/>
          <w:lang w:eastAsia="ru-RU" w:bidi="ru-RU"/>
        </w:rPr>
        <w:t xml:space="preserve">при цьому, не компенсуються за рахунок </w:t>
      </w:r>
      <w:r>
        <w:rPr>
          <w:color w:val="000000"/>
          <w:lang w:val="uk-UA" w:eastAsia="uk-UA" w:bidi="uk-UA"/>
        </w:rPr>
        <w:t xml:space="preserve">органів державної </w:t>
      </w:r>
      <w:r>
        <w:rPr>
          <w:color w:val="000000"/>
          <w:lang w:eastAsia="ru-RU" w:bidi="ru-RU"/>
        </w:rPr>
        <w:t xml:space="preserve">влади. </w:t>
      </w:r>
      <w:r>
        <w:rPr>
          <w:color w:val="000000"/>
          <w:lang w:val="uk-UA" w:eastAsia="uk-UA" w:bidi="uk-UA"/>
        </w:rPr>
        <w:t xml:space="preserve">Відповідно </w:t>
      </w:r>
      <w:r>
        <w:rPr>
          <w:color w:val="000000"/>
          <w:lang w:eastAsia="ru-RU" w:bidi="ru-RU"/>
        </w:rPr>
        <w:t xml:space="preserve">в деяких </w:t>
      </w:r>
      <w:r>
        <w:rPr>
          <w:color w:val="000000"/>
          <w:lang w:val="uk-UA" w:eastAsia="uk-UA" w:bidi="uk-UA"/>
        </w:rPr>
        <w:t xml:space="preserve">країнах </w:t>
      </w:r>
      <w:r>
        <w:rPr>
          <w:color w:val="000000"/>
          <w:lang w:eastAsia="ru-RU" w:bidi="ru-RU"/>
        </w:rPr>
        <w:t xml:space="preserve">(США, Канада, </w:t>
      </w:r>
      <w:r>
        <w:rPr>
          <w:color w:val="000000"/>
          <w:lang w:val="uk-UA" w:eastAsia="uk-UA" w:bidi="uk-UA"/>
        </w:rPr>
        <w:t xml:space="preserve">Південна </w:t>
      </w:r>
      <w:r>
        <w:rPr>
          <w:color w:val="000000"/>
          <w:lang w:eastAsia="ru-RU" w:bidi="ru-RU"/>
        </w:rPr>
        <w:t xml:space="preserve">Африка) </w:t>
      </w:r>
      <w:r>
        <w:rPr>
          <w:color w:val="000000"/>
          <w:lang w:val="uk-UA" w:eastAsia="uk-UA" w:bidi="uk-UA"/>
        </w:rPr>
        <w:t xml:space="preserve">об’єкти державної </w:t>
      </w:r>
      <w:r>
        <w:rPr>
          <w:color w:val="000000"/>
          <w:lang w:eastAsia="ru-RU" w:bidi="ru-RU"/>
        </w:rPr>
        <w:t xml:space="preserve">форми </w:t>
      </w:r>
      <w:r>
        <w:rPr>
          <w:color w:val="000000"/>
          <w:lang w:val="uk-UA" w:eastAsia="uk-UA" w:bidi="uk-UA"/>
        </w:rPr>
        <w:t xml:space="preserve">власності підлягають </w:t>
      </w:r>
      <w:r>
        <w:rPr>
          <w:color w:val="000000"/>
          <w:lang w:eastAsia="ru-RU" w:bidi="ru-RU"/>
        </w:rPr>
        <w:t>повному</w:t>
      </w:r>
      <w:r w:rsidR="00B44465">
        <w:rPr>
          <w:color w:val="000000"/>
          <w:lang w:eastAsia="ru-RU" w:bidi="ru-RU"/>
        </w:rPr>
        <w:t xml:space="preserve"> або частковому оподаткуванню [</w:t>
      </w:r>
      <w:r>
        <w:rPr>
          <w:color w:val="000000"/>
          <w:lang w:eastAsia="ru-RU" w:bidi="ru-RU"/>
        </w:rPr>
        <w:t>28].</w:t>
      </w:r>
    </w:p>
    <w:p w14:paraId="6034B4A4" w14:textId="77777777" w:rsidR="00A33B18" w:rsidRPr="00A33B18" w:rsidRDefault="00A33B18" w:rsidP="00A33B18">
      <w:pPr>
        <w:pStyle w:val="1"/>
        <w:spacing w:line="360" w:lineRule="auto"/>
        <w:ind w:firstLine="567"/>
        <w:jc w:val="both"/>
        <w:rPr>
          <w:color w:val="000000"/>
          <w:lang w:eastAsia="ru-RU" w:bidi="ru-RU"/>
        </w:rPr>
      </w:pPr>
      <w:r w:rsidRPr="00A33B18">
        <w:rPr>
          <w:color w:val="000000"/>
          <w:lang w:eastAsia="ru-RU" w:bidi="ru-RU"/>
        </w:rPr>
        <w:t xml:space="preserve">Як бачимо, в нашій державі не оподатковуються об’єкти освіти, медицини, культури та спорту, а також об’єкти, що використовуються для надання соціальних послуг. Водночас варто зазначити, що в Україні, крім землі, звільнено від оподаткування податком на нерухоме майно нежитлову нерухомість, яка використовується для ведення сільськогосподарської діяльності, а також частину земель сільськогосподарського призначення. Це досить поширена практика в багатьох країнах, де сільськогосподарські </w:t>
      </w:r>
      <w:r w:rsidRPr="00A33B18">
        <w:rPr>
          <w:color w:val="000000"/>
          <w:lang w:eastAsia="ru-RU" w:bidi="ru-RU"/>
        </w:rPr>
        <w:lastRenderedPageBreak/>
        <w:t>податки звільнені. Водночас доцільно говорити про звільнення малих фермерів від податків, оскільки це стимулює їх активність та розвиток.</w:t>
      </w:r>
    </w:p>
    <w:p w14:paraId="6102D96F" w14:textId="77777777" w:rsidR="00A33B18" w:rsidRPr="00A33B18" w:rsidRDefault="00A33B18" w:rsidP="00A33B18">
      <w:pPr>
        <w:pStyle w:val="1"/>
        <w:spacing w:line="360" w:lineRule="auto"/>
        <w:ind w:firstLine="567"/>
        <w:jc w:val="both"/>
        <w:rPr>
          <w:color w:val="000000"/>
          <w:lang w:eastAsia="ru-RU" w:bidi="ru-RU"/>
        </w:rPr>
      </w:pPr>
      <w:r w:rsidRPr="00A33B18">
        <w:rPr>
          <w:color w:val="000000"/>
          <w:lang w:eastAsia="ru-RU" w:bidi="ru-RU"/>
        </w:rPr>
        <w:t>Крім того, адміністративні та податкові витрати для цих фермерів можуть фактично перевищувати доходи від податку на майно, які вони сплачують. З іншого боку, великі сільськогосподарські підприємства та корпорації відрізняються. Звільнення від податків цих суб'єктів є недоцільним, особливо в Україні.</w:t>
      </w:r>
    </w:p>
    <w:p w14:paraId="455C59B4" w14:textId="77777777" w:rsidR="00A33B18" w:rsidRPr="00A33B18" w:rsidRDefault="00A33B18" w:rsidP="00A33B18">
      <w:pPr>
        <w:pStyle w:val="1"/>
        <w:spacing w:line="360" w:lineRule="auto"/>
        <w:ind w:firstLine="567"/>
        <w:jc w:val="both"/>
        <w:rPr>
          <w:color w:val="000000"/>
          <w:lang w:eastAsia="ru-RU" w:bidi="ru-RU"/>
        </w:rPr>
      </w:pPr>
      <w:r w:rsidRPr="00A33B18">
        <w:rPr>
          <w:color w:val="000000"/>
          <w:lang w:eastAsia="ru-RU" w:bidi="ru-RU"/>
        </w:rPr>
        <w:t>Досить поширеним напрямком запровадження податкових пільг з податку на майно є сприяння економічному розвитку територій. Особливо в країнах ОЕСР, тобто розвинених країнах світу, такі переваги мають місце. Основною метою запровадження таких стимулів є залучення інвестицій, сприяння розвитку та збільшення кількості діючих суб’єктів господарювання.</w:t>
      </w:r>
    </w:p>
    <w:p w14:paraId="02EA3B31" w14:textId="77777777" w:rsidR="00A33B18" w:rsidRPr="00A33B18" w:rsidRDefault="00A33B18" w:rsidP="00A33B18">
      <w:pPr>
        <w:pStyle w:val="1"/>
        <w:spacing w:line="360" w:lineRule="auto"/>
        <w:ind w:firstLine="567"/>
        <w:jc w:val="both"/>
        <w:rPr>
          <w:color w:val="000000"/>
          <w:lang w:eastAsia="ru-RU" w:bidi="ru-RU"/>
        </w:rPr>
      </w:pPr>
      <w:r w:rsidRPr="00A33B18">
        <w:rPr>
          <w:color w:val="000000"/>
          <w:lang w:eastAsia="ru-RU" w:bidi="ru-RU"/>
        </w:rPr>
        <w:t>В Україні українське податкове законодавство не передбачає пільг обов'язкового характеру. Однак вони можуть бути створені на рівні органів місцевого самоврядування.</w:t>
      </w:r>
    </w:p>
    <w:p w14:paraId="6EED7062" w14:textId="77777777" w:rsidR="00A33B18" w:rsidRPr="00A33B18" w:rsidRDefault="00A33B18" w:rsidP="00A33B18">
      <w:pPr>
        <w:pStyle w:val="1"/>
        <w:spacing w:line="360" w:lineRule="auto"/>
        <w:ind w:firstLine="567"/>
        <w:jc w:val="both"/>
        <w:rPr>
          <w:color w:val="000000"/>
          <w:lang w:eastAsia="ru-RU" w:bidi="ru-RU"/>
        </w:rPr>
      </w:pPr>
      <w:r w:rsidRPr="00A33B18">
        <w:rPr>
          <w:color w:val="000000"/>
          <w:lang w:eastAsia="ru-RU" w:bidi="ru-RU"/>
        </w:rPr>
        <w:t>Встановлення інтересів виключно на локальному рівні можна трактувати як позитивний аспект, оскільки дозволяє врахувати особливості розвитку, розміщення та розміщення комерційних структур на території. Проте доказів ефективності цієї переваги мало. Звичайно, в деяких випадках залучення інвестицій на територію може бути правильним, але, як загальноприйнята практика, місцевому самоврядуванню недоцільно використовувати політику формування інтересів як інструмент для стимулювання економічного розвитку країни. Територія тіла. Податок на майно слід розглядати насамперед як інструмент максимізації надходжень до бюджету. Міжнародний досвід оподаткування майна свідчить про те, що слабкі податкові стимули можуть бути причиною неефективності податку на майно, зменшення надходжень місцевого бюджету та збільшення фінансової дивергенції платників податків.</w:t>
      </w:r>
    </w:p>
    <w:p w14:paraId="25FD588A" w14:textId="77777777" w:rsidR="00A33B18" w:rsidRDefault="00A33B18" w:rsidP="00A33B18">
      <w:pPr>
        <w:pStyle w:val="1"/>
        <w:spacing w:line="360" w:lineRule="auto"/>
        <w:ind w:firstLine="567"/>
        <w:jc w:val="both"/>
        <w:rPr>
          <w:color w:val="000000"/>
          <w:lang w:eastAsia="ru-RU" w:bidi="ru-RU"/>
        </w:rPr>
      </w:pPr>
      <w:r w:rsidRPr="00A33B18">
        <w:rPr>
          <w:color w:val="000000"/>
          <w:lang w:eastAsia="ru-RU" w:bidi="ru-RU"/>
        </w:rPr>
        <w:t xml:space="preserve">Важливою умовою ефективного оподаткування майна є визначення ставок податку. На сьогоднішній день практика встановлення ставок податку на майно передбачає визначення єдиної ставки податку (у відсотках до бази </w:t>
      </w:r>
      <w:r w:rsidRPr="00A33B18">
        <w:rPr>
          <w:color w:val="000000"/>
          <w:lang w:eastAsia="ru-RU" w:bidi="ru-RU"/>
        </w:rPr>
        <w:lastRenderedPageBreak/>
        <w:t>оподаткування або у вигляді одиниці), а також застосування диференційованих ставок податку залежно від виду власності, характеристик, використання, платника податку, характеристики вартості майна, розташування тощо.</w:t>
      </w:r>
    </w:p>
    <w:p w14:paraId="033A7722" w14:textId="77777777" w:rsidR="00CF23BE" w:rsidRDefault="00CF23BE" w:rsidP="00A33B18">
      <w:pPr>
        <w:pStyle w:val="1"/>
        <w:spacing w:line="360" w:lineRule="auto"/>
        <w:ind w:firstLine="567"/>
        <w:jc w:val="both"/>
      </w:pPr>
      <w:r>
        <w:rPr>
          <w:color w:val="000000"/>
          <w:lang w:eastAsia="ru-RU" w:bidi="ru-RU"/>
        </w:rPr>
        <w:t xml:space="preserve">В </w:t>
      </w:r>
      <w:r>
        <w:rPr>
          <w:color w:val="000000"/>
          <w:lang w:val="uk-UA" w:eastAsia="uk-UA" w:bidi="uk-UA"/>
        </w:rPr>
        <w:t xml:space="preserve">Україні </w:t>
      </w:r>
      <w:r>
        <w:rPr>
          <w:color w:val="000000"/>
          <w:lang w:eastAsia="ru-RU" w:bidi="ru-RU"/>
        </w:rPr>
        <w:t xml:space="preserve">ставки податку на нерухоме майно, </w:t>
      </w:r>
      <w:r>
        <w:rPr>
          <w:color w:val="000000"/>
          <w:lang w:val="uk-UA" w:eastAsia="uk-UA" w:bidi="uk-UA"/>
        </w:rPr>
        <w:t xml:space="preserve">відмінне від земельної ділянки, </w:t>
      </w:r>
      <w:r>
        <w:rPr>
          <w:color w:val="000000"/>
          <w:lang w:eastAsia="ru-RU" w:bidi="ru-RU"/>
        </w:rPr>
        <w:t xml:space="preserve">та плати за землю встановлюються на </w:t>
      </w:r>
      <w:r>
        <w:rPr>
          <w:color w:val="000000"/>
          <w:lang w:val="uk-UA" w:eastAsia="uk-UA" w:bidi="uk-UA"/>
        </w:rPr>
        <w:t xml:space="preserve">рівні органів місцевого </w:t>
      </w:r>
      <w:r>
        <w:rPr>
          <w:color w:val="000000"/>
          <w:lang w:eastAsia="ru-RU" w:bidi="ru-RU"/>
        </w:rPr>
        <w:t>самоврядування, проте в межах, визначени</w:t>
      </w:r>
      <w:r w:rsidR="00B44465">
        <w:rPr>
          <w:color w:val="000000"/>
          <w:lang w:eastAsia="ru-RU" w:bidi="ru-RU"/>
        </w:rPr>
        <w:t xml:space="preserve">х Податковим кодексом (табл. </w:t>
      </w:r>
      <w:r w:rsidR="00B44465">
        <w:rPr>
          <w:color w:val="000000"/>
          <w:lang w:val="uk-UA" w:eastAsia="ru-RU" w:bidi="ru-RU"/>
        </w:rPr>
        <w:t>3</w:t>
      </w:r>
      <w:r w:rsidR="00B44465">
        <w:rPr>
          <w:color w:val="000000"/>
          <w:lang w:eastAsia="ru-RU" w:bidi="ru-RU"/>
        </w:rPr>
        <w:t>.</w:t>
      </w:r>
      <w:r w:rsidR="00B44465">
        <w:rPr>
          <w:color w:val="000000"/>
          <w:lang w:val="uk-UA" w:eastAsia="ru-RU" w:bidi="ru-RU"/>
        </w:rPr>
        <w:t>1</w:t>
      </w:r>
      <w:r>
        <w:rPr>
          <w:color w:val="000000"/>
          <w:lang w:eastAsia="ru-RU" w:bidi="ru-RU"/>
        </w:rPr>
        <w:t>).</w:t>
      </w:r>
    </w:p>
    <w:p w14:paraId="74F91463" w14:textId="77777777" w:rsidR="00CF23BE" w:rsidRDefault="00CF23BE" w:rsidP="00B44465">
      <w:pPr>
        <w:pStyle w:val="1"/>
        <w:spacing w:line="360" w:lineRule="auto"/>
        <w:ind w:firstLine="567"/>
        <w:jc w:val="both"/>
        <w:rPr>
          <w:color w:val="000000"/>
          <w:lang w:val="uk-UA" w:eastAsia="ru-RU" w:bidi="ru-RU"/>
        </w:rPr>
      </w:pPr>
      <w:r>
        <w:rPr>
          <w:color w:val="000000"/>
          <w:lang w:eastAsia="ru-RU" w:bidi="ru-RU"/>
        </w:rPr>
        <w:t xml:space="preserve">Як видно, встановлення </w:t>
      </w:r>
      <w:r>
        <w:rPr>
          <w:color w:val="000000"/>
          <w:lang w:val="uk-UA" w:eastAsia="uk-UA" w:bidi="uk-UA"/>
        </w:rPr>
        <w:t xml:space="preserve">мінімальної </w:t>
      </w:r>
      <w:r>
        <w:rPr>
          <w:color w:val="000000"/>
          <w:lang w:eastAsia="ru-RU" w:bidi="ru-RU"/>
        </w:rPr>
        <w:t xml:space="preserve">та </w:t>
      </w:r>
      <w:r>
        <w:rPr>
          <w:color w:val="000000"/>
          <w:lang w:val="uk-UA" w:eastAsia="uk-UA" w:bidi="uk-UA"/>
        </w:rPr>
        <w:t xml:space="preserve">максимальної </w:t>
      </w:r>
      <w:r>
        <w:rPr>
          <w:color w:val="000000"/>
          <w:lang w:eastAsia="ru-RU" w:bidi="ru-RU"/>
        </w:rPr>
        <w:t xml:space="preserve">ставок майнових </w:t>
      </w:r>
      <w:r>
        <w:rPr>
          <w:color w:val="000000"/>
          <w:lang w:val="uk-UA" w:eastAsia="uk-UA" w:bidi="uk-UA"/>
        </w:rPr>
        <w:t xml:space="preserve">податків </w:t>
      </w:r>
      <w:r>
        <w:rPr>
          <w:color w:val="000000"/>
          <w:lang w:eastAsia="ru-RU" w:bidi="ru-RU"/>
        </w:rPr>
        <w:t xml:space="preserve">у Податковому </w:t>
      </w:r>
      <w:r>
        <w:rPr>
          <w:color w:val="000000"/>
          <w:lang w:val="uk-UA" w:eastAsia="uk-UA" w:bidi="uk-UA"/>
        </w:rPr>
        <w:t xml:space="preserve">кодексі дає можливість маневреності </w:t>
      </w:r>
      <w:r>
        <w:rPr>
          <w:color w:val="000000"/>
          <w:lang w:eastAsia="ru-RU" w:bidi="ru-RU"/>
        </w:rPr>
        <w:t xml:space="preserve">на </w:t>
      </w:r>
      <w:r>
        <w:rPr>
          <w:color w:val="000000"/>
          <w:lang w:val="uk-UA" w:eastAsia="uk-UA" w:bidi="uk-UA"/>
        </w:rPr>
        <w:t xml:space="preserve">рівні органів місцевого </w:t>
      </w:r>
      <w:r>
        <w:rPr>
          <w:color w:val="000000"/>
          <w:lang w:eastAsia="ru-RU" w:bidi="ru-RU"/>
        </w:rPr>
        <w:t xml:space="preserve">самоврядування. Використання таких можливостей </w:t>
      </w:r>
      <w:r>
        <w:rPr>
          <w:color w:val="000000"/>
          <w:lang w:val="uk-UA" w:eastAsia="uk-UA" w:bidi="uk-UA"/>
        </w:rPr>
        <w:t xml:space="preserve">повністю </w:t>
      </w:r>
      <w:r>
        <w:rPr>
          <w:color w:val="000000"/>
          <w:lang w:eastAsia="ru-RU" w:bidi="ru-RU"/>
        </w:rPr>
        <w:t xml:space="preserve">залежить </w:t>
      </w:r>
      <w:r>
        <w:rPr>
          <w:color w:val="000000"/>
          <w:lang w:val="uk-UA" w:eastAsia="uk-UA" w:bidi="uk-UA"/>
        </w:rPr>
        <w:t xml:space="preserve">від політики </w:t>
      </w:r>
      <w:r>
        <w:rPr>
          <w:color w:val="000000"/>
          <w:lang w:eastAsia="ru-RU" w:bidi="ru-RU"/>
        </w:rPr>
        <w:t xml:space="preserve">в </w:t>
      </w:r>
      <w:r>
        <w:rPr>
          <w:color w:val="000000"/>
          <w:lang w:val="uk-UA" w:eastAsia="uk-UA" w:bidi="uk-UA"/>
        </w:rPr>
        <w:t xml:space="preserve">сфері </w:t>
      </w:r>
      <w:r>
        <w:rPr>
          <w:color w:val="000000"/>
          <w:lang w:eastAsia="ru-RU" w:bidi="ru-RU"/>
        </w:rPr>
        <w:t xml:space="preserve">майнового оподаткування </w:t>
      </w:r>
      <w:r>
        <w:rPr>
          <w:color w:val="000000"/>
          <w:lang w:val="uk-UA" w:eastAsia="uk-UA" w:bidi="uk-UA"/>
        </w:rPr>
        <w:t xml:space="preserve">органів місцевого </w:t>
      </w:r>
      <w:r>
        <w:rPr>
          <w:color w:val="000000"/>
          <w:lang w:eastAsia="ru-RU" w:bidi="ru-RU"/>
        </w:rPr>
        <w:t xml:space="preserve">самоврядування та особливостей </w:t>
      </w:r>
      <w:r>
        <w:rPr>
          <w:color w:val="000000"/>
          <w:lang w:val="uk-UA" w:eastAsia="uk-UA" w:bidi="uk-UA"/>
        </w:rPr>
        <w:t xml:space="preserve">і </w:t>
      </w:r>
      <w:r>
        <w:rPr>
          <w:color w:val="000000"/>
          <w:lang w:eastAsia="ru-RU" w:bidi="ru-RU"/>
        </w:rPr>
        <w:t xml:space="preserve">умов розвитку </w:t>
      </w:r>
      <w:r>
        <w:rPr>
          <w:color w:val="000000"/>
          <w:lang w:val="uk-UA" w:eastAsia="uk-UA" w:bidi="uk-UA"/>
        </w:rPr>
        <w:t xml:space="preserve">територіальної </w:t>
      </w:r>
      <w:r>
        <w:rPr>
          <w:color w:val="000000"/>
          <w:lang w:eastAsia="ru-RU" w:bidi="ru-RU"/>
        </w:rPr>
        <w:t xml:space="preserve">громади, на </w:t>
      </w:r>
      <w:r>
        <w:rPr>
          <w:color w:val="000000"/>
          <w:lang w:val="uk-UA" w:eastAsia="uk-UA" w:bidi="uk-UA"/>
        </w:rPr>
        <w:t xml:space="preserve">території якої </w:t>
      </w:r>
      <w:r>
        <w:rPr>
          <w:color w:val="000000"/>
          <w:lang w:eastAsia="ru-RU" w:bidi="ru-RU"/>
        </w:rPr>
        <w:t>встановлюються ставки.</w:t>
      </w:r>
    </w:p>
    <w:p w14:paraId="12900D49" w14:textId="77777777" w:rsidR="00B44465" w:rsidRDefault="00B44465" w:rsidP="00AA29A0">
      <w:pPr>
        <w:pStyle w:val="1"/>
        <w:spacing w:line="360" w:lineRule="auto"/>
        <w:ind w:firstLine="0"/>
        <w:jc w:val="both"/>
        <w:rPr>
          <w:color w:val="000000"/>
          <w:lang w:val="uk-UA" w:eastAsia="ru-RU" w:bidi="ru-RU"/>
        </w:rPr>
      </w:pPr>
    </w:p>
    <w:p w14:paraId="3B5A628A" w14:textId="77777777" w:rsidR="00AA29A0" w:rsidRDefault="00AA29A0" w:rsidP="00AA29A0">
      <w:pPr>
        <w:pStyle w:val="1"/>
        <w:spacing w:line="360" w:lineRule="auto"/>
        <w:ind w:firstLine="0"/>
        <w:jc w:val="both"/>
        <w:rPr>
          <w:color w:val="000000"/>
          <w:lang w:val="uk-UA" w:eastAsia="ru-RU" w:bidi="ru-RU"/>
        </w:rPr>
      </w:pPr>
    </w:p>
    <w:p w14:paraId="15832ABE" w14:textId="77777777" w:rsidR="00AA29A0" w:rsidRDefault="00AA29A0" w:rsidP="00AA29A0">
      <w:pPr>
        <w:pStyle w:val="1"/>
        <w:spacing w:line="360" w:lineRule="auto"/>
        <w:ind w:firstLine="0"/>
        <w:jc w:val="both"/>
        <w:rPr>
          <w:color w:val="000000"/>
          <w:lang w:val="uk-UA" w:eastAsia="ru-RU" w:bidi="ru-RU"/>
        </w:rPr>
      </w:pPr>
    </w:p>
    <w:p w14:paraId="640B6FFF" w14:textId="77777777" w:rsidR="00AA29A0" w:rsidRDefault="00AA29A0" w:rsidP="00AA29A0">
      <w:pPr>
        <w:pStyle w:val="1"/>
        <w:spacing w:line="360" w:lineRule="auto"/>
        <w:ind w:firstLine="0"/>
        <w:jc w:val="both"/>
        <w:rPr>
          <w:color w:val="000000"/>
          <w:lang w:val="uk-UA" w:eastAsia="ru-RU" w:bidi="ru-RU"/>
        </w:rPr>
      </w:pPr>
    </w:p>
    <w:p w14:paraId="25D47396" w14:textId="77777777" w:rsidR="00AA29A0" w:rsidRDefault="00AA29A0" w:rsidP="00AA29A0">
      <w:pPr>
        <w:pStyle w:val="1"/>
        <w:spacing w:line="360" w:lineRule="auto"/>
        <w:ind w:firstLine="0"/>
        <w:jc w:val="both"/>
        <w:rPr>
          <w:color w:val="000000"/>
          <w:lang w:val="uk-UA" w:eastAsia="ru-RU" w:bidi="ru-RU"/>
        </w:rPr>
      </w:pPr>
    </w:p>
    <w:p w14:paraId="6263152F" w14:textId="77777777" w:rsidR="00AA29A0" w:rsidRDefault="00AA29A0" w:rsidP="00AA29A0">
      <w:pPr>
        <w:pStyle w:val="1"/>
        <w:spacing w:line="360" w:lineRule="auto"/>
        <w:ind w:firstLine="0"/>
        <w:jc w:val="both"/>
        <w:rPr>
          <w:color w:val="000000"/>
          <w:lang w:val="uk-UA" w:eastAsia="ru-RU" w:bidi="ru-RU"/>
        </w:rPr>
      </w:pPr>
    </w:p>
    <w:p w14:paraId="0E30A829" w14:textId="77777777" w:rsidR="00AA29A0" w:rsidRDefault="00AA29A0" w:rsidP="00AA29A0">
      <w:pPr>
        <w:pStyle w:val="1"/>
        <w:spacing w:line="360" w:lineRule="auto"/>
        <w:ind w:firstLine="0"/>
        <w:jc w:val="both"/>
        <w:rPr>
          <w:color w:val="000000"/>
          <w:lang w:val="uk-UA" w:eastAsia="ru-RU" w:bidi="ru-RU"/>
        </w:rPr>
      </w:pPr>
    </w:p>
    <w:p w14:paraId="7BAFD893" w14:textId="77777777" w:rsidR="00AA29A0" w:rsidRDefault="00AA29A0" w:rsidP="00AA29A0">
      <w:pPr>
        <w:pStyle w:val="1"/>
        <w:spacing w:line="360" w:lineRule="auto"/>
        <w:ind w:firstLine="0"/>
        <w:jc w:val="both"/>
        <w:rPr>
          <w:color w:val="000000"/>
          <w:lang w:val="uk-UA" w:eastAsia="ru-RU" w:bidi="ru-RU"/>
        </w:rPr>
      </w:pPr>
    </w:p>
    <w:p w14:paraId="24147BA3" w14:textId="77777777" w:rsidR="00AA29A0" w:rsidRDefault="00AA29A0" w:rsidP="00AA29A0">
      <w:pPr>
        <w:pStyle w:val="1"/>
        <w:spacing w:line="360" w:lineRule="auto"/>
        <w:ind w:firstLine="0"/>
        <w:jc w:val="both"/>
        <w:rPr>
          <w:color w:val="000000"/>
          <w:lang w:val="uk-UA" w:eastAsia="ru-RU" w:bidi="ru-RU"/>
        </w:rPr>
      </w:pPr>
    </w:p>
    <w:p w14:paraId="40D7D5FC" w14:textId="77777777" w:rsidR="00AA29A0" w:rsidRDefault="00AA29A0" w:rsidP="00AA29A0">
      <w:pPr>
        <w:pStyle w:val="1"/>
        <w:spacing w:line="360" w:lineRule="auto"/>
        <w:ind w:firstLine="0"/>
        <w:jc w:val="both"/>
        <w:rPr>
          <w:color w:val="000000"/>
          <w:lang w:val="uk-UA" w:eastAsia="ru-RU" w:bidi="ru-RU"/>
        </w:rPr>
      </w:pPr>
    </w:p>
    <w:p w14:paraId="3339001C" w14:textId="77777777" w:rsidR="00AA29A0" w:rsidRDefault="00AA29A0" w:rsidP="00AA29A0">
      <w:pPr>
        <w:pStyle w:val="1"/>
        <w:spacing w:line="360" w:lineRule="auto"/>
        <w:ind w:firstLine="0"/>
        <w:jc w:val="both"/>
        <w:rPr>
          <w:color w:val="000000"/>
          <w:lang w:val="uk-UA" w:eastAsia="ru-RU" w:bidi="ru-RU"/>
        </w:rPr>
      </w:pPr>
    </w:p>
    <w:p w14:paraId="2CC60AAA" w14:textId="77777777" w:rsidR="00AA29A0" w:rsidRDefault="00AA29A0" w:rsidP="00AA29A0">
      <w:pPr>
        <w:pStyle w:val="1"/>
        <w:spacing w:line="360" w:lineRule="auto"/>
        <w:ind w:firstLine="0"/>
        <w:jc w:val="both"/>
        <w:rPr>
          <w:color w:val="000000"/>
          <w:lang w:val="uk-UA" w:eastAsia="ru-RU" w:bidi="ru-RU"/>
        </w:rPr>
      </w:pPr>
    </w:p>
    <w:p w14:paraId="4493E317" w14:textId="77777777" w:rsidR="00AA29A0" w:rsidRPr="00B44465" w:rsidRDefault="00AA29A0" w:rsidP="00AA29A0">
      <w:pPr>
        <w:pStyle w:val="1"/>
        <w:spacing w:line="360" w:lineRule="auto"/>
        <w:ind w:firstLine="0"/>
        <w:jc w:val="both"/>
        <w:rPr>
          <w:lang w:val="uk-UA"/>
        </w:rPr>
      </w:pPr>
    </w:p>
    <w:p w14:paraId="787BC032" w14:textId="77777777" w:rsidR="00CF23BE" w:rsidRPr="00B44465" w:rsidRDefault="00B44465" w:rsidP="00B44465">
      <w:pPr>
        <w:pStyle w:val="1"/>
        <w:spacing w:line="360" w:lineRule="auto"/>
        <w:ind w:firstLine="567"/>
        <w:jc w:val="right"/>
        <w:rPr>
          <w:b/>
          <w:color w:val="000000"/>
          <w:lang w:val="uk-UA" w:eastAsia="uk-UA" w:bidi="uk-UA"/>
        </w:rPr>
      </w:pPr>
      <w:r>
        <w:rPr>
          <w:color w:val="000000"/>
          <w:lang w:eastAsia="ru-RU" w:bidi="ru-RU"/>
        </w:rPr>
        <w:t xml:space="preserve">Таблиця </w:t>
      </w:r>
      <w:r>
        <w:rPr>
          <w:color w:val="000000"/>
          <w:lang w:val="uk-UA" w:eastAsia="ru-RU" w:bidi="ru-RU"/>
        </w:rPr>
        <w:t>3</w:t>
      </w:r>
      <w:r w:rsidR="00C75B0C">
        <w:rPr>
          <w:color w:val="000000"/>
          <w:lang w:eastAsia="ru-RU" w:bidi="ru-RU"/>
        </w:rPr>
        <w:t>.</w:t>
      </w:r>
      <w:r>
        <w:rPr>
          <w:color w:val="000000"/>
          <w:lang w:val="uk-UA" w:eastAsia="ru-RU" w:bidi="ru-RU"/>
        </w:rPr>
        <w:t>1</w:t>
      </w:r>
    </w:p>
    <w:p w14:paraId="3E892C02" w14:textId="77777777" w:rsidR="00B44465" w:rsidRPr="00B44465" w:rsidRDefault="00C75B0C" w:rsidP="00B44465">
      <w:pPr>
        <w:pStyle w:val="1"/>
        <w:spacing w:line="360" w:lineRule="auto"/>
        <w:ind w:firstLine="567"/>
        <w:jc w:val="center"/>
        <w:rPr>
          <w:b/>
          <w:color w:val="000000"/>
          <w:lang w:val="uk-UA" w:eastAsia="ru-RU" w:bidi="ru-RU"/>
        </w:rPr>
      </w:pPr>
      <w:r w:rsidRPr="00B44465">
        <w:rPr>
          <w:b/>
          <w:color w:val="000000"/>
          <w:lang w:eastAsia="ru-RU" w:bidi="ru-RU"/>
        </w:rPr>
        <w:t xml:space="preserve">Ставки майнових </w:t>
      </w:r>
      <w:r w:rsidRPr="00B44465">
        <w:rPr>
          <w:b/>
          <w:color w:val="000000"/>
          <w:lang w:val="uk-UA" w:eastAsia="uk-UA" w:bidi="uk-UA"/>
        </w:rPr>
        <w:t xml:space="preserve">податків, визначені </w:t>
      </w:r>
      <w:r w:rsidRPr="00B44465">
        <w:rPr>
          <w:b/>
          <w:color w:val="000000"/>
          <w:lang w:eastAsia="ru-RU" w:bidi="ru-RU"/>
        </w:rPr>
        <w:t>Податковим кодексом</w:t>
      </w:r>
    </w:p>
    <w:tbl>
      <w:tblPr>
        <w:tblW w:w="0" w:type="auto"/>
        <w:tblLayout w:type="fixed"/>
        <w:tblCellMar>
          <w:left w:w="10" w:type="dxa"/>
          <w:right w:w="10" w:type="dxa"/>
        </w:tblCellMar>
        <w:tblLook w:val="04A0" w:firstRow="1" w:lastRow="0" w:firstColumn="1" w:lastColumn="0" w:noHBand="0" w:noVBand="1"/>
      </w:tblPr>
      <w:tblGrid>
        <w:gridCol w:w="1786"/>
        <w:gridCol w:w="7800"/>
      </w:tblGrid>
      <w:tr w:rsidR="00C75B0C" w14:paraId="4B92F58A" w14:textId="77777777" w:rsidTr="00C75B0C">
        <w:trPr>
          <w:trHeight w:hRule="exact" w:val="326"/>
        </w:trPr>
        <w:tc>
          <w:tcPr>
            <w:tcW w:w="1786" w:type="dxa"/>
            <w:shd w:val="clear" w:color="auto" w:fill="948B54"/>
            <w:vAlign w:val="bottom"/>
          </w:tcPr>
          <w:p w14:paraId="2F6A2DA8" w14:textId="77777777" w:rsidR="00C75B0C" w:rsidRDefault="00C75B0C" w:rsidP="00C75B0C">
            <w:pPr>
              <w:pStyle w:val="ad"/>
              <w:pBdr>
                <w:top w:val="single" w:sz="0" w:space="0" w:color="948B54"/>
                <w:left w:val="single" w:sz="0" w:space="0" w:color="948B54"/>
                <w:bottom w:val="single" w:sz="0" w:space="0" w:color="948B54"/>
                <w:right w:val="single" w:sz="0" w:space="0" w:color="948B54"/>
              </w:pBdr>
              <w:shd w:val="clear" w:color="auto" w:fill="948B54"/>
              <w:spacing w:line="240" w:lineRule="auto"/>
              <w:ind w:firstLine="0"/>
              <w:jc w:val="center"/>
            </w:pPr>
            <w:r>
              <w:rPr>
                <w:b/>
                <w:bCs/>
                <w:color w:val="FFFFFF"/>
                <w:lang w:val="uk-UA" w:eastAsia="uk-UA" w:bidi="uk-UA"/>
              </w:rPr>
              <w:t>Податок</w:t>
            </w:r>
          </w:p>
        </w:tc>
        <w:tc>
          <w:tcPr>
            <w:tcW w:w="7800" w:type="dxa"/>
            <w:shd w:val="clear" w:color="auto" w:fill="948B54"/>
            <w:vAlign w:val="bottom"/>
          </w:tcPr>
          <w:p w14:paraId="17665336" w14:textId="77777777" w:rsidR="00C75B0C" w:rsidRDefault="00C75B0C" w:rsidP="00C75B0C">
            <w:pPr>
              <w:pStyle w:val="ad"/>
              <w:pBdr>
                <w:top w:val="single" w:sz="0" w:space="0" w:color="948B54"/>
                <w:left w:val="single" w:sz="0" w:space="0" w:color="948B54"/>
                <w:bottom w:val="single" w:sz="0" w:space="0" w:color="948B54"/>
                <w:right w:val="single" w:sz="0" w:space="0" w:color="948B54"/>
              </w:pBdr>
              <w:shd w:val="clear" w:color="auto" w:fill="948B54"/>
              <w:spacing w:line="240" w:lineRule="auto"/>
              <w:ind w:firstLine="0"/>
              <w:jc w:val="center"/>
            </w:pPr>
            <w:r>
              <w:rPr>
                <w:b/>
                <w:bCs/>
                <w:color w:val="FFFFFF"/>
                <w:lang w:val="uk-UA" w:eastAsia="uk-UA" w:bidi="uk-UA"/>
              </w:rPr>
              <w:t>Особливості встановлення ставок</w:t>
            </w:r>
          </w:p>
        </w:tc>
      </w:tr>
      <w:tr w:rsidR="00C75B0C" w14:paraId="5EAD1F65" w14:textId="77777777" w:rsidTr="00C75B0C">
        <w:trPr>
          <w:trHeight w:hRule="exact" w:val="298"/>
        </w:trPr>
        <w:tc>
          <w:tcPr>
            <w:tcW w:w="1786" w:type="dxa"/>
            <w:tcBorders>
              <w:left w:val="single" w:sz="4" w:space="0" w:color="auto"/>
            </w:tcBorders>
            <w:shd w:val="clear" w:color="auto" w:fill="auto"/>
            <w:vAlign w:val="bottom"/>
          </w:tcPr>
          <w:p w14:paraId="5FE28E71" w14:textId="77777777" w:rsidR="00C75B0C" w:rsidRDefault="00C75B0C" w:rsidP="00C75B0C">
            <w:pPr>
              <w:pStyle w:val="ad"/>
              <w:spacing w:line="240" w:lineRule="auto"/>
              <w:ind w:firstLine="0"/>
              <w:jc w:val="center"/>
              <w:rPr>
                <w:sz w:val="24"/>
                <w:szCs w:val="24"/>
              </w:rPr>
            </w:pPr>
            <w:r>
              <w:rPr>
                <w:color w:val="000000"/>
                <w:sz w:val="24"/>
                <w:szCs w:val="24"/>
                <w:lang w:val="uk-UA" w:eastAsia="uk-UA" w:bidi="uk-UA"/>
              </w:rPr>
              <w:t>1</w:t>
            </w:r>
          </w:p>
        </w:tc>
        <w:tc>
          <w:tcPr>
            <w:tcW w:w="7800" w:type="dxa"/>
            <w:tcBorders>
              <w:left w:val="single" w:sz="4" w:space="0" w:color="auto"/>
              <w:right w:val="single" w:sz="4" w:space="0" w:color="auto"/>
            </w:tcBorders>
            <w:shd w:val="clear" w:color="auto" w:fill="auto"/>
            <w:vAlign w:val="bottom"/>
          </w:tcPr>
          <w:p w14:paraId="117F60B1" w14:textId="77777777" w:rsidR="00C75B0C" w:rsidRDefault="00C75B0C" w:rsidP="00C75B0C">
            <w:pPr>
              <w:pStyle w:val="ad"/>
              <w:tabs>
                <w:tab w:val="left" w:pos="3893"/>
              </w:tabs>
              <w:spacing w:line="240" w:lineRule="auto"/>
              <w:ind w:right="1060" w:firstLine="0"/>
              <w:jc w:val="right"/>
              <w:rPr>
                <w:sz w:val="24"/>
                <w:szCs w:val="24"/>
              </w:rPr>
            </w:pPr>
            <w:r>
              <w:rPr>
                <w:color w:val="000000"/>
                <w:sz w:val="24"/>
                <w:szCs w:val="24"/>
                <w:lang w:val="uk-UA" w:eastAsia="uk-UA" w:bidi="uk-UA"/>
              </w:rPr>
              <w:t>2</w:t>
            </w:r>
            <w:r>
              <w:rPr>
                <w:color w:val="000000"/>
                <w:sz w:val="24"/>
                <w:szCs w:val="24"/>
                <w:lang w:val="uk-UA" w:eastAsia="uk-UA" w:bidi="uk-UA"/>
              </w:rPr>
              <w:tab/>
              <w:t>3</w:t>
            </w:r>
          </w:p>
        </w:tc>
      </w:tr>
      <w:tr w:rsidR="00C75B0C" w14:paraId="17294802" w14:textId="77777777" w:rsidTr="00C75B0C">
        <w:trPr>
          <w:trHeight w:hRule="exact" w:val="2515"/>
        </w:trPr>
        <w:tc>
          <w:tcPr>
            <w:tcW w:w="1786" w:type="dxa"/>
            <w:vMerge w:val="restart"/>
            <w:tcBorders>
              <w:top w:val="single" w:sz="4" w:space="0" w:color="auto"/>
              <w:left w:val="single" w:sz="4" w:space="0" w:color="auto"/>
            </w:tcBorders>
            <w:shd w:val="clear" w:color="auto" w:fill="auto"/>
          </w:tcPr>
          <w:p w14:paraId="329A4F44" w14:textId="77777777" w:rsidR="00C75B0C" w:rsidRDefault="00C75B0C" w:rsidP="00C75B0C">
            <w:pPr>
              <w:pStyle w:val="ad"/>
              <w:spacing w:line="240" w:lineRule="auto"/>
              <w:ind w:firstLine="0"/>
              <w:rPr>
                <w:sz w:val="24"/>
                <w:szCs w:val="24"/>
              </w:rPr>
            </w:pPr>
            <w:r>
              <w:rPr>
                <w:color w:val="000000"/>
                <w:sz w:val="24"/>
                <w:szCs w:val="24"/>
                <w:lang w:val="uk-UA" w:eastAsia="uk-UA" w:bidi="uk-UA"/>
              </w:rPr>
              <w:lastRenderedPageBreak/>
              <w:t>Плата за землю</w:t>
            </w:r>
          </w:p>
        </w:tc>
        <w:tc>
          <w:tcPr>
            <w:tcW w:w="7800" w:type="dxa"/>
            <w:tcBorders>
              <w:top w:val="single" w:sz="4" w:space="0" w:color="auto"/>
              <w:left w:val="single" w:sz="4" w:space="0" w:color="auto"/>
              <w:right w:val="single" w:sz="4" w:space="0" w:color="auto"/>
            </w:tcBorders>
            <w:shd w:val="clear" w:color="auto" w:fill="auto"/>
            <w:vAlign w:val="bottom"/>
          </w:tcPr>
          <w:p w14:paraId="64DFBAEB" w14:textId="77777777" w:rsidR="00C75B0C" w:rsidRDefault="00C75B0C" w:rsidP="00C75B0C">
            <w:pPr>
              <w:pStyle w:val="ad"/>
              <w:tabs>
                <w:tab w:val="left" w:pos="5342"/>
              </w:tabs>
              <w:spacing w:line="240" w:lineRule="auto"/>
              <w:ind w:firstLine="0"/>
              <w:rPr>
                <w:sz w:val="24"/>
                <w:szCs w:val="24"/>
              </w:rPr>
            </w:pPr>
            <w:r>
              <w:rPr>
                <w:color w:val="000000"/>
                <w:sz w:val="24"/>
                <w:szCs w:val="24"/>
                <w:lang w:val="uk-UA" w:eastAsia="uk-UA" w:bidi="uk-UA"/>
              </w:rPr>
              <w:t>для земель, нормативна грошова оцінка яких 0-3,0% від проведена</w:t>
            </w:r>
            <w:r>
              <w:rPr>
                <w:color w:val="000000"/>
                <w:sz w:val="24"/>
                <w:szCs w:val="24"/>
                <w:lang w:val="uk-UA" w:eastAsia="uk-UA" w:bidi="uk-UA"/>
              </w:rPr>
              <w:tab/>
              <w:t>нормативної</w:t>
            </w:r>
          </w:p>
          <w:p w14:paraId="7612B3B1" w14:textId="77777777" w:rsidR="00C75B0C" w:rsidRDefault="00C75B0C" w:rsidP="00C75B0C">
            <w:pPr>
              <w:pStyle w:val="ad"/>
              <w:spacing w:line="240" w:lineRule="auto"/>
              <w:ind w:left="5440" w:firstLine="0"/>
              <w:rPr>
                <w:sz w:val="24"/>
                <w:szCs w:val="24"/>
              </w:rPr>
            </w:pPr>
            <w:r>
              <w:rPr>
                <w:color w:val="000000"/>
                <w:sz w:val="24"/>
                <w:szCs w:val="24"/>
                <w:lang w:val="uk-UA" w:eastAsia="uk-UA" w:bidi="uk-UA"/>
              </w:rPr>
              <w:t>грошової оцінки</w:t>
            </w:r>
          </w:p>
          <w:p w14:paraId="468483D6" w14:textId="77777777" w:rsidR="00C75B0C" w:rsidRDefault="00C75B0C" w:rsidP="00C75B0C">
            <w:pPr>
              <w:pStyle w:val="ad"/>
              <w:spacing w:line="240" w:lineRule="auto"/>
              <w:ind w:firstLine="0"/>
              <w:rPr>
                <w:sz w:val="24"/>
                <w:szCs w:val="24"/>
              </w:rPr>
            </w:pPr>
            <w:r>
              <w:rPr>
                <w:color w:val="000000"/>
                <w:sz w:val="24"/>
                <w:szCs w:val="24"/>
                <w:lang w:val="uk-UA" w:eastAsia="uk-UA" w:bidi="uk-UA"/>
              </w:rPr>
              <w:t>для земель сільськогосподарського призначення, 0,3-1,0% від нормативна грошова оцінка яких проведена нормативної грошової оцінки</w:t>
            </w:r>
          </w:p>
          <w:p w14:paraId="64C2905E" w14:textId="77777777" w:rsidR="00C75B0C" w:rsidRDefault="00C75B0C" w:rsidP="00C75B0C">
            <w:pPr>
              <w:pStyle w:val="ad"/>
              <w:tabs>
                <w:tab w:val="left" w:pos="5270"/>
              </w:tabs>
              <w:spacing w:line="240" w:lineRule="auto"/>
              <w:ind w:firstLine="0"/>
              <w:rPr>
                <w:sz w:val="24"/>
                <w:szCs w:val="24"/>
              </w:rPr>
            </w:pPr>
            <w:r>
              <w:rPr>
                <w:color w:val="000000"/>
                <w:sz w:val="24"/>
                <w:szCs w:val="24"/>
                <w:lang w:val="uk-UA" w:eastAsia="uk-UA" w:bidi="uk-UA"/>
              </w:rPr>
              <w:t>для земель, нормативна грошова оцінка яких 0-12,0% від проведена і які перебувають у постійному нормативної користуванні суб’єктів господарювання</w:t>
            </w:r>
            <w:r>
              <w:rPr>
                <w:color w:val="000000"/>
                <w:sz w:val="24"/>
                <w:szCs w:val="24"/>
                <w:lang w:val="uk-UA" w:eastAsia="uk-UA" w:bidi="uk-UA"/>
              </w:rPr>
              <w:tab/>
              <w:t>грошової оцінки</w:t>
            </w:r>
          </w:p>
        </w:tc>
      </w:tr>
      <w:tr w:rsidR="00C75B0C" w14:paraId="645B274F" w14:textId="77777777" w:rsidTr="00C75B0C">
        <w:trPr>
          <w:trHeight w:hRule="exact" w:val="2779"/>
        </w:trPr>
        <w:tc>
          <w:tcPr>
            <w:tcW w:w="1786" w:type="dxa"/>
            <w:vMerge/>
            <w:tcBorders>
              <w:left w:val="single" w:sz="4" w:space="0" w:color="auto"/>
            </w:tcBorders>
            <w:shd w:val="clear" w:color="auto" w:fill="auto"/>
          </w:tcPr>
          <w:p w14:paraId="25BC30BF" w14:textId="77777777" w:rsidR="00C75B0C" w:rsidRDefault="00C75B0C" w:rsidP="00C75B0C"/>
        </w:tc>
        <w:tc>
          <w:tcPr>
            <w:tcW w:w="7800" w:type="dxa"/>
            <w:tcBorders>
              <w:top w:val="single" w:sz="4" w:space="0" w:color="auto"/>
              <w:left w:val="single" w:sz="4" w:space="0" w:color="auto"/>
              <w:right w:val="single" w:sz="4" w:space="0" w:color="auto"/>
            </w:tcBorders>
            <w:shd w:val="clear" w:color="auto" w:fill="auto"/>
          </w:tcPr>
          <w:p w14:paraId="3FA6D5D2" w14:textId="77777777" w:rsidR="00C75B0C" w:rsidRDefault="00C75B0C" w:rsidP="00C75B0C">
            <w:pPr>
              <w:pStyle w:val="ad"/>
              <w:tabs>
                <w:tab w:val="left" w:pos="5280"/>
              </w:tabs>
              <w:spacing w:line="240" w:lineRule="auto"/>
              <w:ind w:firstLine="0"/>
              <w:rPr>
                <w:sz w:val="24"/>
                <w:szCs w:val="24"/>
              </w:rPr>
            </w:pPr>
            <w:r>
              <w:rPr>
                <w:i/>
                <w:iCs/>
                <w:color w:val="000000"/>
                <w:sz w:val="24"/>
                <w:szCs w:val="24"/>
                <w:lang w:val="uk-UA" w:eastAsia="uk-UA" w:bidi="uk-UA"/>
              </w:rPr>
              <w:t>для земель, які розташовані за межами</w:t>
            </w:r>
            <w:r>
              <w:rPr>
                <w:i/>
                <w:iCs/>
                <w:color w:val="000000"/>
                <w:sz w:val="24"/>
                <w:szCs w:val="24"/>
                <w:lang w:val="uk-UA" w:eastAsia="uk-UA" w:bidi="uk-UA"/>
              </w:rPr>
              <w:tab/>
              <w:t>0-5,0% від</w:t>
            </w:r>
          </w:p>
          <w:p w14:paraId="7E65A93C" w14:textId="77777777" w:rsidR="00C75B0C" w:rsidRDefault="00C75B0C" w:rsidP="00C75B0C">
            <w:pPr>
              <w:pStyle w:val="ad"/>
              <w:tabs>
                <w:tab w:val="left" w:pos="5299"/>
              </w:tabs>
              <w:spacing w:line="240" w:lineRule="auto"/>
              <w:ind w:firstLine="0"/>
              <w:rPr>
                <w:sz w:val="24"/>
                <w:szCs w:val="24"/>
              </w:rPr>
            </w:pPr>
            <w:r>
              <w:rPr>
                <w:i/>
                <w:iCs/>
                <w:color w:val="000000"/>
                <w:sz w:val="24"/>
                <w:szCs w:val="24"/>
                <w:lang w:val="uk-UA" w:eastAsia="uk-UA" w:bidi="uk-UA"/>
              </w:rPr>
              <w:t>населених пунктів і нормативна грошова оцінка нормативної яких не проведена</w:t>
            </w:r>
            <w:r>
              <w:rPr>
                <w:i/>
                <w:iCs/>
                <w:color w:val="000000"/>
                <w:sz w:val="24"/>
                <w:szCs w:val="24"/>
                <w:lang w:val="uk-UA" w:eastAsia="uk-UA" w:bidi="uk-UA"/>
              </w:rPr>
              <w:tab/>
              <w:t>грошової оцінки</w:t>
            </w:r>
          </w:p>
          <w:p w14:paraId="1D1A5BBC" w14:textId="77777777" w:rsidR="00C75B0C" w:rsidRDefault="00C75B0C" w:rsidP="00C75B0C">
            <w:pPr>
              <w:pStyle w:val="ad"/>
              <w:spacing w:line="240" w:lineRule="auto"/>
              <w:ind w:left="5440" w:firstLine="0"/>
              <w:rPr>
                <w:sz w:val="24"/>
                <w:szCs w:val="24"/>
              </w:rPr>
            </w:pPr>
            <w:r>
              <w:rPr>
                <w:i/>
                <w:iCs/>
                <w:color w:val="000000"/>
                <w:sz w:val="24"/>
                <w:szCs w:val="24"/>
                <w:lang w:val="uk-UA" w:eastAsia="uk-UA" w:bidi="uk-UA"/>
              </w:rPr>
              <w:t>одиниці площі ріллі по області</w:t>
            </w:r>
          </w:p>
          <w:p w14:paraId="173DF55E" w14:textId="77777777" w:rsidR="00C75B0C" w:rsidRDefault="00C75B0C" w:rsidP="00C75B0C">
            <w:pPr>
              <w:pStyle w:val="ad"/>
              <w:tabs>
                <w:tab w:val="left" w:pos="5342"/>
              </w:tabs>
              <w:spacing w:line="240" w:lineRule="auto"/>
              <w:ind w:firstLine="0"/>
              <w:rPr>
                <w:sz w:val="24"/>
                <w:szCs w:val="24"/>
              </w:rPr>
            </w:pPr>
            <w:r>
              <w:rPr>
                <w:i/>
                <w:iCs/>
                <w:color w:val="000000"/>
                <w:sz w:val="24"/>
                <w:szCs w:val="24"/>
                <w:lang w:val="uk-UA" w:eastAsia="uk-UA" w:bidi="uk-UA"/>
              </w:rPr>
              <w:t>для сільськогосподарських земель, які</w:t>
            </w:r>
            <w:r>
              <w:rPr>
                <w:i/>
                <w:iCs/>
                <w:color w:val="000000"/>
                <w:sz w:val="24"/>
                <w:szCs w:val="24"/>
                <w:lang w:val="uk-UA" w:eastAsia="uk-UA" w:bidi="uk-UA"/>
              </w:rPr>
              <w:tab/>
              <w:t>0,3-5,0% від</w:t>
            </w:r>
          </w:p>
          <w:p w14:paraId="3EFAE839" w14:textId="77777777" w:rsidR="00C75B0C" w:rsidRDefault="00C75B0C" w:rsidP="00C75B0C">
            <w:pPr>
              <w:pStyle w:val="ad"/>
              <w:tabs>
                <w:tab w:val="left" w:pos="5314"/>
              </w:tabs>
              <w:spacing w:line="240" w:lineRule="auto"/>
              <w:ind w:firstLine="0"/>
              <w:rPr>
                <w:sz w:val="24"/>
                <w:szCs w:val="24"/>
              </w:rPr>
            </w:pPr>
            <w:r>
              <w:rPr>
                <w:i/>
                <w:iCs/>
                <w:color w:val="000000"/>
                <w:sz w:val="24"/>
                <w:szCs w:val="24"/>
                <w:lang w:val="uk-UA" w:eastAsia="uk-UA" w:bidi="uk-UA"/>
              </w:rPr>
              <w:t>розташовані за межами населених пунктів і нормативної нормативна грошова оцінка яких не проведена</w:t>
            </w:r>
            <w:r>
              <w:rPr>
                <w:i/>
                <w:iCs/>
                <w:color w:val="000000"/>
                <w:sz w:val="24"/>
                <w:szCs w:val="24"/>
                <w:lang w:val="uk-UA" w:eastAsia="uk-UA" w:bidi="uk-UA"/>
              </w:rPr>
              <w:tab/>
              <w:t>грошової оцінки</w:t>
            </w:r>
          </w:p>
          <w:p w14:paraId="3AAB9AB7" w14:textId="77777777" w:rsidR="00C75B0C" w:rsidRDefault="00C75B0C" w:rsidP="00C75B0C">
            <w:pPr>
              <w:pStyle w:val="ad"/>
              <w:spacing w:line="240" w:lineRule="auto"/>
              <w:ind w:left="5440" w:firstLine="0"/>
              <w:rPr>
                <w:sz w:val="24"/>
                <w:szCs w:val="24"/>
              </w:rPr>
            </w:pPr>
            <w:r>
              <w:rPr>
                <w:i/>
                <w:iCs/>
                <w:color w:val="000000"/>
                <w:sz w:val="24"/>
                <w:szCs w:val="24"/>
                <w:lang w:val="uk-UA" w:eastAsia="uk-UA" w:bidi="uk-UA"/>
              </w:rPr>
              <w:t>одиниці площі ріллі по області</w:t>
            </w:r>
          </w:p>
        </w:tc>
      </w:tr>
      <w:tr w:rsidR="00C75B0C" w14:paraId="66E0472C" w14:textId="77777777" w:rsidTr="00C75B0C">
        <w:trPr>
          <w:trHeight w:hRule="exact" w:val="1675"/>
        </w:trPr>
        <w:tc>
          <w:tcPr>
            <w:tcW w:w="1786" w:type="dxa"/>
            <w:tcBorders>
              <w:top w:val="single" w:sz="4" w:space="0" w:color="auto"/>
              <w:left w:val="single" w:sz="4" w:space="0" w:color="auto"/>
              <w:bottom w:val="single" w:sz="4" w:space="0" w:color="auto"/>
            </w:tcBorders>
            <w:shd w:val="clear" w:color="auto" w:fill="auto"/>
            <w:vAlign w:val="bottom"/>
          </w:tcPr>
          <w:p w14:paraId="17FFF0D2" w14:textId="77777777" w:rsidR="00C75B0C" w:rsidRDefault="00C75B0C" w:rsidP="00C75B0C">
            <w:pPr>
              <w:pStyle w:val="ad"/>
              <w:spacing w:line="240" w:lineRule="auto"/>
              <w:ind w:firstLine="0"/>
              <w:rPr>
                <w:sz w:val="24"/>
                <w:szCs w:val="24"/>
              </w:rPr>
            </w:pPr>
            <w:r>
              <w:rPr>
                <w:color w:val="000000"/>
                <w:sz w:val="24"/>
                <w:szCs w:val="24"/>
                <w:lang w:val="uk-UA" w:eastAsia="uk-UA" w:bidi="uk-UA"/>
              </w:rPr>
              <w:t>Податок на нерухоме майно, відмінне від земельної ділянки</w:t>
            </w:r>
          </w:p>
        </w:tc>
        <w:tc>
          <w:tcPr>
            <w:tcW w:w="7800" w:type="dxa"/>
            <w:tcBorders>
              <w:top w:val="single" w:sz="4" w:space="0" w:color="auto"/>
              <w:left w:val="single" w:sz="4" w:space="0" w:color="auto"/>
              <w:bottom w:val="single" w:sz="4" w:space="0" w:color="auto"/>
              <w:right w:val="single" w:sz="4" w:space="0" w:color="auto"/>
            </w:tcBorders>
            <w:shd w:val="clear" w:color="auto" w:fill="auto"/>
          </w:tcPr>
          <w:p w14:paraId="50C66A13" w14:textId="77777777" w:rsidR="00C75B0C" w:rsidRDefault="00C75B0C" w:rsidP="00C75B0C">
            <w:pPr>
              <w:pStyle w:val="ad"/>
              <w:spacing w:line="240" w:lineRule="auto"/>
              <w:ind w:firstLine="0"/>
              <w:rPr>
                <w:sz w:val="24"/>
                <w:szCs w:val="24"/>
              </w:rPr>
            </w:pPr>
            <w:r>
              <w:rPr>
                <w:color w:val="000000"/>
                <w:sz w:val="24"/>
                <w:szCs w:val="24"/>
                <w:lang w:val="uk-UA" w:eastAsia="uk-UA" w:bidi="uk-UA"/>
              </w:rPr>
              <w:t>0-1,5% розміру мінімальної заробітної плати</w:t>
            </w:r>
          </w:p>
        </w:tc>
      </w:tr>
    </w:tbl>
    <w:p w14:paraId="45174EE2" w14:textId="77777777" w:rsidR="00C75B0C" w:rsidRDefault="00C75B0C" w:rsidP="00CF23BE">
      <w:pPr>
        <w:pStyle w:val="1"/>
        <w:spacing w:line="276" w:lineRule="auto"/>
        <w:ind w:firstLine="567"/>
        <w:jc w:val="both"/>
        <w:rPr>
          <w:b/>
          <w:color w:val="000000"/>
          <w:lang w:val="uk-UA" w:eastAsia="uk-UA" w:bidi="uk-UA"/>
        </w:rPr>
      </w:pPr>
    </w:p>
    <w:p w14:paraId="2A39FD29" w14:textId="77777777" w:rsidR="00A33B18" w:rsidRPr="00A33B18" w:rsidRDefault="00A33B18" w:rsidP="00A33B18">
      <w:pPr>
        <w:pStyle w:val="1"/>
        <w:spacing w:line="360" w:lineRule="auto"/>
        <w:ind w:firstLine="567"/>
        <w:jc w:val="both"/>
        <w:rPr>
          <w:color w:val="000000"/>
          <w:lang w:eastAsia="ru-RU" w:bidi="ru-RU"/>
        </w:rPr>
      </w:pPr>
      <w:r w:rsidRPr="00A33B18">
        <w:rPr>
          <w:color w:val="000000"/>
          <w:lang w:eastAsia="ru-RU" w:bidi="ru-RU"/>
        </w:rPr>
        <w:t>Наприклад, порівнюючи встановлені ставки податку на нерухоме майно, відмінне від земельної ділянки в обласних центрах України, доцільно звернути увагу на ставки, визначені за типом платника податку (юридична та фізична особа). Зокрема, при формуванні ставок для юридичних осіб використовується зонування території міста, а також враховуються особливості використання майна. При оподаткуванні фізичних осіб основним фактором є наявність об’єкта оподаткування та його розмір житлової чи нежитлової нерухомості.</w:t>
      </w:r>
    </w:p>
    <w:p w14:paraId="0DB1C532" w14:textId="77777777" w:rsidR="00A33B18" w:rsidRPr="00A33B18" w:rsidRDefault="00A33B18" w:rsidP="00A33B18">
      <w:pPr>
        <w:pStyle w:val="1"/>
        <w:spacing w:line="360" w:lineRule="auto"/>
        <w:ind w:firstLine="567"/>
        <w:jc w:val="both"/>
        <w:rPr>
          <w:color w:val="000000"/>
          <w:lang w:eastAsia="ru-RU" w:bidi="ru-RU"/>
        </w:rPr>
      </w:pPr>
      <w:r w:rsidRPr="00A33B18">
        <w:rPr>
          <w:color w:val="000000"/>
          <w:lang w:eastAsia="ru-RU" w:bidi="ru-RU"/>
        </w:rPr>
        <w:t xml:space="preserve">З іншого боку, слід зазначити, що податкове законодавство України має певні неузгодженості. Відповідно до податкового законодавства плата за землю є обов’язковим місцевим податком. Проте мінімальна ставка податку на землі несільськогосподарського призначення становить 0%. Тобто, незважаючи на обов’язок встановлення оподаткування, земство фактично не може використовувати його як інструмент наповнення місцевих бюджетів. У цьому випадку вигідніше на законодавчому рівні встановити мінімальну ставку плати за землю, щоб повною мірою скористатися можливістю масового </w:t>
      </w:r>
      <w:r w:rsidRPr="00A33B18">
        <w:rPr>
          <w:color w:val="000000"/>
          <w:lang w:eastAsia="ru-RU" w:bidi="ru-RU"/>
        </w:rPr>
        <w:lastRenderedPageBreak/>
        <w:t>оподаткування майна, особливо для земель комерційних структур.</w:t>
      </w:r>
    </w:p>
    <w:p w14:paraId="77E6C496" w14:textId="77777777" w:rsidR="00A33B18" w:rsidRPr="00A33B18" w:rsidRDefault="00A33B18" w:rsidP="00A33B18">
      <w:pPr>
        <w:pStyle w:val="1"/>
        <w:spacing w:line="360" w:lineRule="auto"/>
        <w:ind w:firstLine="567"/>
        <w:jc w:val="both"/>
        <w:rPr>
          <w:color w:val="000000"/>
          <w:lang w:eastAsia="ru-RU" w:bidi="ru-RU"/>
        </w:rPr>
      </w:pPr>
      <w:r w:rsidRPr="00A33B18">
        <w:rPr>
          <w:color w:val="000000"/>
          <w:lang w:eastAsia="ru-RU" w:bidi="ru-RU"/>
        </w:rPr>
        <w:t>Розглядаючи порядок встановлення та справляння податку на майно, необхідно не лише звертати увагу на конкретні обставини визначення об’єктів оподаткування, платників податків та ставок податку. Очевидно, це питання має особливе значення</w:t>
      </w:r>
    </w:p>
    <w:p w14:paraId="6B109BE3" w14:textId="77777777" w:rsidR="00A33B18" w:rsidRPr="00A33B18" w:rsidRDefault="00A33B18" w:rsidP="00A33B18">
      <w:pPr>
        <w:pStyle w:val="1"/>
        <w:spacing w:line="360" w:lineRule="auto"/>
        <w:ind w:firstLine="567"/>
        <w:jc w:val="both"/>
        <w:rPr>
          <w:color w:val="000000"/>
          <w:lang w:eastAsia="ru-RU" w:bidi="ru-RU"/>
        </w:rPr>
      </w:pPr>
      <w:r w:rsidRPr="00A33B18">
        <w:rPr>
          <w:color w:val="000000"/>
          <w:lang w:eastAsia="ru-RU" w:bidi="ru-RU"/>
        </w:rPr>
        <w:t>Ефективність впровадження податкового режиму. Особливо гостро ця проблема стоїть у країнах, які тільки створили податкові системи, в тому числі й в Україні. Оподаткування майна можна визначити як «громіздке» в його адмініструванні, оскільки його ефективне та повне адміністрування вимагає активного та постійного виявлення податкових баз, нарахувань, визначення податкових зобов’язань, формування податкової звітності та ефективного податкового контролю.</w:t>
      </w:r>
    </w:p>
    <w:p w14:paraId="773934CB" w14:textId="77777777" w:rsidR="00A33B18" w:rsidRPr="00A33B18" w:rsidRDefault="00A33B18" w:rsidP="00A33B18">
      <w:pPr>
        <w:pStyle w:val="1"/>
        <w:spacing w:line="360" w:lineRule="auto"/>
        <w:ind w:firstLine="567"/>
        <w:jc w:val="both"/>
        <w:rPr>
          <w:color w:val="000000"/>
          <w:lang w:eastAsia="ru-RU" w:bidi="ru-RU"/>
        </w:rPr>
      </w:pPr>
      <w:r w:rsidRPr="00A33B18">
        <w:rPr>
          <w:color w:val="000000"/>
          <w:lang w:eastAsia="ru-RU" w:bidi="ru-RU"/>
        </w:rPr>
        <w:t>Першим кроком у забезпеченні ефективного адміністрування податків на майно є максимально повне охоплення об’єктів оподаткування у відповідних реєстрах. Отже, основною перевагою справляння податку на майно місцевих бюджетів є те, що базою оподаткування є нерухоме майно, тобто об’єкти, розташовані на певній території, переміщення яких неможливо забезпечити. При цьому перевага податку на майно полягає в тому, що платників податків неможливо «вивести» за межі юрисдикції місцевих рад і важко приховати. Однак це головним чином залежить від повноти реєстрів землі та власності та точності оцінки таких активів. Через ухилення від сплати податків неофіційне землекористування та будівництво не сприяють ні максимізації податкових надходжень, ні дотриманню принципу соціальної справедливості оподаткування.</w:t>
      </w:r>
    </w:p>
    <w:p w14:paraId="68AB4E26" w14:textId="77777777" w:rsidR="00A33B18" w:rsidRDefault="00A33B18" w:rsidP="00A33B18">
      <w:pPr>
        <w:pStyle w:val="1"/>
        <w:spacing w:line="360" w:lineRule="auto"/>
        <w:ind w:firstLine="567"/>
        <w:jc w:val="both"/>
        <w:rPr>
          <w:color w:val="000000"/>
          <w:lang w:eastAsia="ru-RU" w:bidi="ru-RU"/>
        </w:rPr>
      </w:pPr>
      <w:r w:rsidRPr="00A33B18">
        <w:rPr>
          <w:color w:val="000000"/>
          <w:lang w:eastAsia="ru-RU" w:bidi="ru-RU"/>
        </w:rPr>
        <w:t xml:space="preserve">Відповідно до Податкового кодексу база оподаткування нерухомого майна, крім земельної ділянки, що перебуває у власності фізичної особи, обчислюється контролюючим органом на підставі даних Державного реєстру прав на нерухоме майно. Водночас такі реєстри, як спеціально реалізований програмний продукт, недостатньо задовольняють потреби земських органів в інформації про нерухоме майно. По-перше, зазначене вище програмне </w:t>
      </w:r>
      <w:r w:rsidRPr="00A33B18">
        <w:rPr>
          <w:color w:val="000000"/>
          <w:lang w:eastAsia="ru-RU" w:bidi="ru-RU"/>
        </w:rPr>
        <w:lastRenderedPageBreak/>
        <w:t>забезпечення не може сформувати повний перелік нерухомого майна для конкретної територіальної одиниці, що ускладнює роботу земських органів і не сприяє підвищенню ефективності оподаткування такого майна.</w:t>
      </w:r>
    </w:p>
    <w:p w14:paraId="0EE1F222"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З іншого боку, важливим питанням в адмініструванні оподаткування нерухомого майна, відмінного від земельної ділянки, є те, що відповідно до податкового законодавства дані Державного реєстру прав власності на нерухоме майно є документами, сформованими відповідно до права власності. Загалом близько половини приватних житлових будинків в Україні, особливо в сільських територіальних одиницях, характеризуються відсутністю відповідної документації власників, хоча вони давно використовуються за призначенням. Отже, відповідно до законодавства такі об’єкти не є об’єктом оподаткування податком на нерухоме майно. Тому податки на нерухоме майно сильно недооплачуються в місцеві бюджети.</w:t>
      </w:r>
    </w:p>
    <w:p w14:paraId="0D12AC2A"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Для вирішення цього перелік документів, які можуть бути підставою для оподаткування нерухомістю, може бути розширено. Зокрема, значно спростити адміністрування податків може включення технічних паспортів чи книг господарського обліку об’єктів нерухомого майна, які ведуться безпосередньо на рівні органів місцевого самоврядування.</w:t>
      </w:r>
    </w:p>
    <w:p w14:paraId="2063885F"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Безперечно, найбільш правильним варіантом є формування бази оподаткування майновими податками на підставі документів про право власності. Але поки що сплата податків за наявністю інших документів призвела б до значного збільшення дохідної частини місцевого бюджету. Для цього п. 266.3.2 Податкового кодексу необхідно доповнити нормою, яка визначатиме базу оподаткування об’єктів житлової та нежитлової нерухомості та їх часток, не зареєстрованих у державному реєстрі згідно з техпаспортами та/або економічними книги бухгалтерського обліку, права власності на нерухоме майно або якщо відсутній документ про право власності на фізичну особу.</w:t>
      </w:r>
    </w:p>
    <w:p w14:paraId="2573786F"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 xml:space="preserve">Ще одним важливим аспектом адміністрування податку на майно є забезпечення ефективності збору. Інтеграція податків на майно до місцевих </w:t>
      </w:r>
      <w:r w:rsidRPr="00A33B18">
        <w:rPr>
          <w:color w:val="000000"/>
          <w:lang w:val="uk-UA" w:eastAsia="uk-UA" w:bidi="uk-UA"/>
        </w:rPr>
        <w:lastRenderedPageBreak/>
        <w:t>податкових структур не обов’язково означає перенесення всього адміністративного тягаря на рівень органів місцевого самоврядування. У багатьох країнах за збір цих податків відповідають національні податкові органи. Але це потребує ефективних механізмів взаємодії між органами місцевого самоврядування та відповідними державними установами.</w:t>
      </w:r>
    </w:p>
    <w:p w14:paraId="59DFFE95" w14:textId="77777777" w:rsidR="00A33B18" w:rsidRP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Тим не менш, у розвинених країнах спостерігається тенденція до децентралізації управління доходами місцевих бюджетів. Державні податкові органи не зацікавлені в максимізації надходжень до місцевих бюджетів, а податки на майно характеризуються низькою часткою у складі доходів державного бюджету.</w:t>
      </w:r>
    </w:p>
    <w:p w14:paraId="0136862E" w14:textId="77777777" w:rsidR="00A33B18" w:rsidRDefault="00A33B18" w:rsidP="00A33B18">
      <w:pPr>
        <w:pStyle w:val="1"/>
        <w:spacing w:line="360" w:lineRule="auto"/>
        <w:ind w:firstLine="567"/>
        <w:jc w:val="both"/>
        <w:rPr>
          <w:color w:val="000000"/>
          <w:lang w:val="uk-UA" w:eastAsia="uk-UA" w:bidi="uk-UA"/>
        </w:rPr>
      </w:pPr>
      <w:r w:rsidRPr="00A33B18">
        <w:rPr>
          <w:color w:val="000000"/>
          <w:lang w:val="uk-UA" w:eastAsia="uk-UA" w:bidi="uk-UA"/>
        </w:rPr>
        <w:t>Визначення бази оподаткування безпосередньо впливає на справляння податків на майно та доходи місцевих бюджетів. З точки зору справедливого розподілу податкового тягаря платників податку на майно найправильніше визначати базу оподаткування виходячи з ринкової вартості майна. Водночас ефективне оподаткування майна за оцінкою вартості є досить складним процесом, який, по-перше, потребує достатньої та правдивої інформації, по-друге, потребує наявності кваліфікованих оцінювачів відповідної нерухомості та земельних ділянок, по-третє, потребує реального стану справ. розвинений ринок. маєток і землю. Тому в країнах з низьким рівнем розвитку відповідного ринку оцінка на основі визначення ринкової вартості практично неможлива або є дуже складним процесом.</w:t>
      </w:r>
    </w:p>
    <w:p w14:paraId="23C64357" w14:textId="77777777" w:rsidR="00C75B0C" w:rsidRDefault="00C75B0C" w:rsidP="00A33B18">
      <w:pPr>
        <w:pStyle w:val="1"/>
        <w:spacing w:line="360" w:lineRule="auto"/>
        <w:ind w:firstLine="567"/>
        <w:jc w:val="both"/>
      </w:pPr>
      <w:r>
        <w:rPr>
          <w:color w:val="000000"/>
          <w:lang w:val="uk-UA" w:eastAsia="uk-UA" w:bidi="uk-UA"/>
        </w:rPr>
        <w:t>Як висновок, слід зауважити, що питання максимізації надходжень від справляння майнових податків безпосередньо залежить від ефективності їх адміністрування. Для покращення справляння майнових податків і їх справедливого встановлення доцільно:</w:t>
      </w:r>
    </w:p>
    <w:p w14:paraId="08123607" w14:textId="77777777" w:rsidR="00C75B0C" w:rsidRDefault="00C75B0C" w:rsidP="00B44465">
      <w:pPr>
        <w:pStyle w:val="1"/>
        <w:numPr>
          <w:ilvl w:val="0"/>
          <w:numId w:val="14"/>
        </w:numPr>
        <w:tabs>
          <w:tab w:val="left" w:pos="1210"/>
        </w:tabs>
        <w:spacing w:line="360" w:lineRule="auto"/>
        <w:ind w:firstLine="567"/>
        <w:jc w:val="both"/>
      </w:pPr>
      <w:r>
        <w:rPr>
          <w:color w:val="000000"/>
          <w:lang w:val="uk-UA" w:eastAsia="uk-UA" w:bidi="uk-UA"/>
        </w:rPr>
        <w:t>по-перше, чітко визначити склад об’єктів оподаткування та мінімізувати кількість об’єктів, які звільняються від оподаткування або не оподатковуються, та надання пільг по сплаті цих платежів до бюджетів, оскільки такі звільнення є прихованими фінансовими втратами територіальних громад;</w:t>
      </w:r>
    </w:p>
    <w:p w14:paraId="3DAF6C38" w14:textId="77777777" w:rsidR="00C75B0C" w:rsidRDefault="00C75B0C" w:rsidP="00B44465">
      <w:pPr>
        <w:pStyle w:val="1"/>
        <w:numPr>
          <w:ilvl w:val="0"/>
          <w:numId w:val="14"/>
        </w:numPr>
        <w:tabs>
          <w:tab w:val="left" w:pos="1210"/>
        </w:tabs>
        <w:spacing w:line="360" w:lineRule="auto"/>
        <w:ind w:firstLine="567"/>
        <w:jc w:val="both"/>
      </w:pPr>
      <w:r>
        <w:rPr>
          <w:color w:val="000000"/>
          <w:lang w:val="uk-UA" w:eastAsia="uk-UA" w:bidi="uk-UA"/>
        </w:rPr>
        <w:lastRenderedPageBreak/>
        <w:t>по-друге, забезпечити максимальне покриття податкової бази шляхом внесення змін до Податкового кодексу щодо доповнення нормою, яка б визначала базу оподаткування об’єктів житлової і нежитлової нерухомості, на які немає документів на право власності у фізичних осіб, на підставі</w:t>
      </w:r>
      <w:r w:rsidR="00B44465">
        <w:rPr>
          <w:lang w:val="uk-UA"/>
        </w:rPr>
        <w:t xml:space="preserve">  </w:t>
      </w:r>
      <w:r w:rsidRPr="00B44465">
        <w:rPr>
          <w:color w:val="000000"/>
          <w:lang w:val="uk-UA" w:eastAsia="uk-UA" w:bidi="uk-UA"/>
        </w:rPr>
        <w:t>технічного паспорта та/або книг погосподарського обліку; надання органам місцевого самоврядування широких повноважень у сфері адміністрування та контролю майнових податків;</w:t>
      </w:r>
    </w:p>
    <w:p w14:paraId="0DD76EFC" w14:textId="77777777" w:rsidR="00B44465" w:rsidRPr="00AA29A0" w:rsidRDefault="00C75B0C" w:rsidP="00AA29A0">
      <w:pPr>
        <w:pStyle w:val="1"/>
        <w:numPr>
          <w:ilvl w:val="0"/>
          <w:numId w:val="14"/>
        </w:numPr>
        <w:tabs>
          <w:tab w:val="left" w:pos="1090"/>
        </w:tabs>
        <w:spacing w:after="460" w:line="360" w:lineRule="auto"/>
        <w:ind w:firstLine="567"/>
        <w:jc w:val="both"/>
      </w:pPr>
      <w:r>
        <w:rPr>
          <w:color w:val="000000"/>
          <w:lang w:val="uk-UA" w:eastAsia="uk-UA" w:bidi="uk-UA"/>
        </w:rPr>
        <w:t>по-третє, удосконалити механізм оцінки бази оподаткування через встановлення низки коефіцієнтів для диверсифікації справляння податку на нерухоме майно, відмінне від земельної ділянки, відповідно до основних характеристик будівель, а також через удосконалення формули нормативної грошової оцінки землі.</w:t>
      </w:r>
    </w:p>
    <w:p w14:paraId="1CC9720C" w14:textId="77777777" w:rsidR="00C75B0C" w:rsidRDefault="00C75B0C" w:rsidP="00B44465">
      <w:pPr>
        <w:pStyle w:val="50"/>
        <w:spacing w:after="0" w:line="360" w:lineRule="auto"/>
        <w:rPr>
          <w:color w:val="000000"/>
          <w:lang w:val="uk-UA" w:eastAsia="uk-UA" w:bidi="uk-UA"/>
        </w:rPr>
      </w:pPr>
      <w:bookmarkStart w:id="1" w:name="bookmark51"/>
      <w:r>
        <w:rPr>
          <w:color w:val="000000"/>
          <w:lang w:val="uk-UA" w:eastAsia="uk-UA" w:bidi="uk-UA"/>
        </w:rPr>
        <w:t xml:space="preserve">Висновки до розділу </w:t>
      </w:r>
      <w:bookmarkEnd w:id="1"/>
      <w:r w:rsidR="00B44465">
        <w:rPr>
          <w:color w:val="000000"/>
          <w:lang w:val="uk-UA" w:eastAsia="uk-UA" w:bidi="uk-UA"/>
        </w:rPr>
        <w:t>3</w:t>
      </w:r>
    </w:p>
    <w:p w14:paraId="7728E82F" w14:textId="77777777" w:rsidR="00AA29A0" w:rsidRDefault="00AA29A0" w:rsidP="00B44465">
      <w:pPr>
        <w:pStyle w:val="50"/>
        <w:spacing w:after="0" w:line="360" w:lineRule="auto"/>
      </w:pPr>
    </w:p>
    <w:p w14:paraId="77604B42" w14:textId="77777777" w:rsidR="00C75B0C" w:rsidRDefault="00C75B0C" w:rsidP="00B44465">
      <w:pPr>
        <w:pStyle w:val="1"/>
        <w:spacing w:line="360" w:lineRule="auto"/>
        <w:ind w:firstLine="567"/>
        <w:jc w:val="both"/>
      </w:pPr>
      <w:r>
        <w:rPr>
          <w:color w:val="000000"/>
          <w:lang w:val="uk-UA" w:eastAsia="uk-UA" w:bidi="uk-UA"/>
        </w:rPr>
        <w:t>В результаті визначення напрямів розвитку місцевих бюджетів в умовах реформування місцевого самоврядування можна зробити такі висновки.</w:t>
      </w:r>
    </w:p>
    <w:p w14:paraId="44340A4E" w14:textId="77777777" w:rsidR="00A33B18" w:rsidRPr="00AA29A0" w:rsidRDefault="00A33B18" w:rsidP="00A33B18">
      <w:pPr>
        <w:pStyle w:val="50"/>
        <w:spacing w:after="0" w:line="360" w:lineRule="auto"/>
        <w:jc w:val="both"/>
        <w:rPr>
          <w:b w:val="0"/>
          <w:bCs w:val="0"/>
          <w:color w:val="000000"/>
          <w:lang w:val="uk-UA" w:eastAsia="ru-RU" w:bidi="ru-RU"/>
        </w:rPr>
      </w:pPr>
      <w:bookmarkStart w:id="2" w:name="bookmark53"/>
      <w:r>
        <w:rPr>
          <w:b w:val="0"/>
          <w:bCs w:val="0"/>
          <w:color w:val="000000"/>
          <w:lang w:val="uk-UA" w:eastAsia="ru-RU" w:bidi="ru-RU"/>
        </w:rPr>
        <w:t xml:space="preserve">  </w:t>
      </w:r>
      <w:r w:rsidRPr="00A33B18">
        <w:rPr>
          <w:b w:val="0"/>
          <w:bCs w:val="0"/>
          <w:color w:val="000000"/>
          <w:lang w:eastAsia="ru-RU" w:bidi="ru-RU"/>
        </w:rPr>
        <w:t>1. Визначено основні напрями формування місцевих бюджетів: збільшення дохідної бази місцевого бюджету, забезпечення ефективного здійснення видатків з бюджету територіальної громади, удосконалення надання міжбюджетних трансфертів, на основі чого згруповано інструменти бюджетування. на місцевому рівні. Серед них: встановлення та управління місцевими податками і зборами; розвиток підприємництва в громаді; розпорядження комунальним майном; співробітництво територіальних громад; управління та розпорядження земельними ресурсами; забезпечення правової культури</w:t>
      </w:r>
      <w:r w:rsidR="00AA29A0">
        <w:rPr>
          <w:b w:val="0"/>
          <w:bCs w:val="0"/>
          <w:color w:val="000000"/>
          <w:lang w:eastAsia="ru-RU" w:bidi="ru-RU"/>
        </w:rPr>
        <w:t xml:space="preserve"> місцевого самоврядування. </w:t>
      </w:r>
    </w:p>
    <w:p w14:paraId="1B7C1865" w14:textId="77777777" w:rsidR="00A33B18" w:rsidRPr="00A33B18" w:rsidRDefault="00A33B18" w:rsidP="00A33B18">
      <w:pPr>
        <w:pStyle w:val="50"/>
        <w:spacing w:after="0" w:line="360" w:lineRule="auto"/>
        <w:jc w:val="both"/>
        <w:rPr>
          <w:b w:val="0"/>
          <w:bCs w:val="0"/>
          <w:color w:val="000000"/>
          <w:lang w:eastAsia="ru-RU" w:bidi="ru-RU"/>
        </w:rPr>
      </w:pPr>
      <w:r>
        <w:rPr>
          <w:b w:val="0"/>
          <w:bCs w:val="0"/>
          <w:color w:val="000000"/>
          <w:lang w:val="uk-UA" w:eastAsia="ru-RU" w:bidi="ru-RU"/>
        </w:rPr>
        <w:t xml:space="preserve">  </w:t>
      </w:r>
      <w:r w:rsidRPr="00A33B18">
        <w:rPr>
          <w:b w:val="0"/>
          <w:bCs w:val="0"/>
          <w:color w:val="000000"/>
          <w:lang w:val="uk-UA" w:eastAsia="ru-RU" w:bidi="ru-RU"/>
        </w:rPr>
        <w:t>2. Наголошує</w:t>
      </w:r>
      <w:r>
        <w:rPr>
          <w:b w:val="0"/>
          <w:bCs w:val="0"/>
          <w:color w:val="000000"/>
          <w:lang w:val="uk-UA" w:eastAsia="ru-RU" w:bidi="ru-RU"/>
        </w:rPr>
        <w:t xml:space="preserve">мо </w:t>
      </w:r>
      <w:r w:rsidRPr="00A33B18">
        <w:rPr>
          <w:b w:val="0"/>
          <w:bCs w:val="0"/>
          <w:color w:val="000000"/>
          <w:lang w:val="uk-UA" w:eastAsia="ru-RU" w:bidi="ru-RU"/>
        </w:rPr>
        <w:t xml:space="preserve">на необхідності розвитку підприємництва на території громади для забезпечення її фінансової спроможності, що вимагає від органів місцевого самоврядування врахування ендогенних та екзогенних факторів впливу. </w:t>
      </w:r>
      <w:r w:rsidRPr="00A33B18">
        <w:rPr>
          <w:b w:val="0"/>
          <w:bCs w:val="0"/>
          <w:color w:val="000000"/>
          <w:lang w:eastAsia="ru-RU" w:bidi="ru-RU"/>
        </w:rPr>
        <w:t xml:space="preserve">Визначено три напрямки роботи земства на шляху розвитку </w:t>
      </w:r>
      <w:r w:rsidRPr="00A33B18">
        <w:rPr>
          <w:b w:val="0"/>
          <w:bCs w:val="0"/>
          <w:color w:val="000000"/>
          <w:lang w:eastAsia="ru-RU" w:bidi="ru-RU"/>
        </w:rPr>
        <w:lastRenderedPageBreak/>
        <w:t>підприємництва в громаді: активізація підприємницької діяльності серед мешканців, залучення інвестиційних ресурсів та</w:t>
      </w:r>
      <w:r w:rsidR="00AA29A0">
        <w:rPr>
          <w:b w:val="0"/>
          <w:bCs w:val="0"/>
          <w:color w:val="000000"/>
          <w:lang w:val="uk-UA" w:eastAsia="ru-RU" w:bidi="ru-RU"/>
        </w:rPr>
        <w:t xml:space="preserve"> з</w:t>
      </w:r>
      <w:r w:rsidRPr="00A33B18">
        <w:rPr>
          <w:b w:val="0"/>
          <w:bCs w:val="0"/>
          <w:color w:val="000000"/>
          <w:lang w:eastAsia="ru-RU" w:bidi="ru-RU"/>
        </w:rPr>
        <w:t>апровадження нового бізнесу та підтримка існуючого бізнесу</w:t>
      </w:r>
    </w:p>
    <w:p w14:paraId="02C0AE2A" w14:textId="77777777" w:rsidR="00A33B18" w:rsidRPr="00A33B18" w:rsidRDefault="00A33B18" w:rsidP="00A33B18">
      <w:pPr>
        <w:pStyle w:val="50"/>
        <w:spacing w:after="0" w:line="360" w:lineRule="auto"/>
        <w:jc w:val="both"/>
        <w:rPr>
          <w:b w:val="0"/>
          <w:bCs w:val="0"/>
          <w:color w:val="000000"/>
          <w:lang w:eastAsia="ru-RU" w:bidi="ru-RU"/>
        </w:rPr>
      </w:pPr>
      <w:r>
        <w:rPr>
          <w:b w:val="0"/>
          <w:bCs w:val="0"/>
          <w:color w:val="000000"/>
          <w:lang w:val="uk-UA" w:eastAsia="ru-RU" w:bidi="ru-RU"/>
        </w:rPr>
        <w:t xml:space="preserve">  </w:t>
      </w:r>
      <w:r w:rsidRPr="00A33B18">
        <w:rPr>
          <w:b w:val="0"/>
          <w:bCs w:val="0"/>
          <w:color w:val="000000"/>
          <w:lang w:eastAsia="ru-RU" w:bidi="ru-RU"/>
        </w:rPr>
        <w:t>3. Було зазначено, що співпраця територіальних громад, яка лише почала використовуватися як інструмент формування місцевих бюджетів в Україні, тепер стала способом забезпечення економії на масштабах територіальних громад, і що угоди про співпрацю характеризуються фрагментарністю. . Увага зосереджена на розвитку колаборації як способу формування єдиного простору, де спільнота росте разом. Підтверджено необхідність розгляду співробітництва громад у частині виконання завдань, які сприятимуть подальшому розвитку кооперативних «зон» та зміцненню зв’язків між громадами-учасниками угоди.</w:t>
      </w:r>
    </w:p>
    <w:p w14:paraId="34E64212" w14:textId="77777777" w:rsidR="00A33B18" w:rsidRDefault="00A33B18" w:rsidP="00A33B18">
      <w:pPr>
        <w:pStyle w:val="50"/>
        <w:spacing w:after="0" w:line="360" w:lineRule="auto"/>
        <w:jc w:val="both"/>
        <w:rPr>
          <w:b w:val="0"/>
          <w:bCs w:val="0"/>
          <w:color w:val="000000"/>
          <w:lang w:val="uk-UA" w:eastAsia="ru-RU" w:bidi="ru-RU"/>
        </w:rPr>
      </w:pPr>
    </w:p>
    <w:p w14:paraId="00818AF5" w14:textId="77777777" w:rsidR="00AA29A0" w:rsidRDefault="00AA29A0" w:rsidP="00A33B18">
      <w:pPr>
        <w:pStyle w:val="50"/>
        <w:spacing w:after="0" w:line="360" w:lineRule="auto"/>
        <w:jc w:val="both"/>
        <w:rPr>
          <w:b w:val="0"/>
          <w:bCs w:val="0"/>
          <w:color w:val="000000"/>
          <w:lang w:val="uk-UA" w:eastAsia="ru-RU" w:bidi="ru-RU"/>
        </w:rPr>
      </w:pPr>
    </w:p>
    <w:p w14:paraId="04BC7807" w14:textId="77777777" w:rsidR="00AA29A0" w:rsidRDefault="00AA29A0" w:rsidP="00A33B18">
      <w:pPr>
        <w:pStyle w:val="50"/>
        <w:spacing w:after="0" w:line="360" w:lineRule="auto"/>
        <w:jc w:val="both"/>
        <w:rPr>
          <w:b w:val="0"/>
          <w:bCs w:val="0"/>
          <w:color w:val="000000"/>
          <w:lang w:val="uk-UA" w:eastAsia="ru-RU" w:bidi="ru-RU"/>
        </w:rPr>
      </w:pPr>
    </w:p>
    <w:p w14:paraId="4D555FA9" w14:textId="77777777" w:rsidR="00AA29A0" w:rsidRDefault="00AA29A0" w:rsidP="00A33B18">
      <w:pPr>
        <w:pStyle w:val="50"/>
        <w:spacing w:after="0" w:line="360" w:lineRule="auto"/>
        <w:jc w:val="both"/>
        <w:rPr>
          <w:b w:val="0"/>
          <w:bCs w:val="0"/>
          <w:color w:val="000000"/>
          <w:lang w:val="uk-UA" w:eastAsia="ru-RU" w:bidi="ru-RU"/>
        </w:rPr>
      </w:pPr>
    </w:p>
    <w:p w14:paraId="5F43C7CB" w14:textId="77777777" w:rsidR="00AA29A0" w:rsidRDefault="00AA29A0" w:rsidP="00A33B18">
      <w:pPr>
        <w:pStyle w:val="50"/>
        <w:spacing w:after="0" w:line="360" w:lineRule="auto"/>
        <w:jc w:val="both"/>
        <w:rPr>
          <w:b w:val="0"/>
          <w:bCs w:val="0"/>
          <w:color w:val="000000"/>
          <w:lang w:val="uk-UA" w:eastAsia="ru-RU" w:bidi="ru-RU"/>
        </w:rPr>
      </w:pPr>
    </w:p>
    <w:p w14:paraId="465498D4" w14:textId="77777777" w:rsidR="00AA29A0" w:rsidRDefault="00AA29A0" w:rsidP="00A33B18">
      <w:pPr>
        <w:pStyle w:val="50"/>
        <w:spacing w:after="0" w:line="360" w:lineRule="auto"/>
        <w:jc w:val="both"/>
        <w:rPr>
          <w:b w:val="0"/>
          <w:bCs w:val="0"/>
          <w:color w:val="000000"/>
          <w:lang w:val="uk-UA" w:eastAsia="ru-RU" w:bidi="ru-RU"/>
        </w:rPr>
      </w:pPr>
    </w:p>
    <w:p w14:paraId="3677CDF0" w14:textId="77777777" w:rsidR="00AA29A0" w:rsidRDefault="00AA29A0" w:rsidP="00A33B18">
      <w:pPr>
        <w:pStyle w:val="50"/>
        <w:spacing w:after="0" w:line="360" w:lineRule="auto"/>
        <w:jc w:val="both"/>
        <w:rPr>
          <w:b w:val="0"/>
          <w:bCs w:val="0"/>
          <w:color w:val="000000"/>
          <w:lang w:val="uk-UA" w:eastAsia="ru-RU" w:bidi="ru-RU"/>
        </w:rPr>
      </w:pPr>
    </w:p>
    <w:p w14:paraId="2D24509F" w14:textId="77777777" w:rsidR="00AA29A0" w:rsidRDefault="00AA29A0" w:rsidP="00A33B18">
      <w:pPr>
        <w:pStyle w:val="50"/>
        <w:spacing w:after="0" w:line="360" w:lineRule="auto"/>
        <w:jc w:val="both"/>
        <w:rPr>
          <w:b w:val="0"/>
          <w:bCs w:val="0"/>
          <w:color w:val="000000"/>
          <w:lang w:val="uk-UA" w:eastAsia="ru-RU" w:bidi="ru-RU"/>
        </w:rPr>
      </w:pPr>
    </w:p>
    <w:p w14:paraId="6535B4D5" w14:textId="77777777" w:rsidR="00AA29A0" w:rsidRDefault="00AA29A0" w:rsidP="00A33B18">
      <w:pPr>
        <w:pStyle w:val="50"/>
        <w:spacing w:after="0" w:line="360" w:lineRule="auto"/>
        <w:jc w:val="both"/>
        <w:rPr>
          <w:b w:val="0"/>
          <w:bCs w:val="0"/>
          <w:color w:val="000000"/>
          <w:lang w:val="uk-UA" w:eastAsia="ru-RU" w:bidi="ru-RU"/>
        </w:rPr>
      </w:pPr>
    </w:p>
    <w:p w14:paraId="58673DBF" w14:textId="77777777" w:rsidR="00AA29A0" w:rsidRDefault="00AA29A0" w:rsidP="00A33B18">
      <w:pPr>
        <w:pStyle w:val="50"/>
        <w:spacing w:after="0" w:line="360" w:lineRule="auto"/>
        <w:jc w:val="both"/>
        <w:rPr>
          <w:b w:val="0"/>
          <w:bCs w:val="0"/>
          <w:color w:val="000000"/>
          <w:lang w:val="uk-UA" w:eastAsia="ru-RU" w:bidi="ru-RU"/>
        </w:rPr>
      </w:pPr>
    </w:p>
    <w:p w14:paraId="0BB8B795" w14:textId="77777777" w:rsidR="00AA29A0" w:rsidRDefault="00AA29A0" w:rsidP="00A33B18">
      <w:pPr>
        <w:pStyle w:val="50"/>
        <w:spacing w:after="0" w:line="360" w:lineRule="auto"/>
        <w:jc w:val="both"/>
        <w:rPr>
          <w:b w:val="0"/>
          <w:bCs w:val="0"/>
          <w:color w:val="000000"/>
          <w:lang w:val="uk-UA" w:eastAsia="ru-RU" w:bidi="ru-RU"/>
        </w:rPr>
      </w:pPr>
    </w:p>
    <w:p w14:paraId="486797E2" w14:textId="77777777" w:rsidR="00AA29A0" w:rsidRPr="00AA29A0" w:rsidRDefault="00AA29A0" w:rsidP="00A33B18">
      <w:pPr>
        <w:pStyle w:val="50"/>
        <w:spacing w:after="0" w:line="360" w:lineRule="auto"/>
        <w:jc w:val="both"/>
        <w:rPr>
          <w:b w:val="0"/>
          <w:bCs w:val="0"/>
          <w:color w:val="000000"/>
          <w:lang w:val="uk-UA" w:eastAsia="ru-RU" w:bidi="ru-RU"/>
        </w:rPr>
      </w:pPr>
    </w:p>
    <w:p w14:paraId="493AA140" w14:textId="77777777" w:rsidR="00C75B0C" w:rsidRDefault="00C75B0C" w:rsidP="00A33B18">
      <w:pPr>
        <w:pStyle w:val="50"/>
        <w:spacing w:after="0" w:line="360" w:lineRule="auto"/>
        <w:rPr>
          <w:color w:val="000000"/>
          <w:lang w:val="uk-UA" w:eastAsia="ru-RU" w:bidi="ru-RU"/>
        </w:rPr>
      </w:pPr>
      <w:r>
        <w:rPr>
          <w:color w:val="000000"/>
          <w:lang w:eastAsia="ru-RU" w:bidi="ru-RU"/>
        </w:rPr>
        <w:t>ВИСНОВКИ</w:t>
      </w:r>
      <w:bookmarkEnd w:id="2"/>
    </w:p>
    <w:p w14:paraId="69490085" w14:textId="77777777" w:rsidR="00221AA9" w:rsidRPr="00221AA9" w:rsidRDefault="00221AA9" w:rsidP="00D41B15">
      <w:pPr>
        <w:pStyle w:val="50"/>
        <w:spacing w:after="0" w:line="360" w:lineRule="auto"/>
        <w:rPr>
          <w:color w:val="000000"/>
          <w:lang w:val="uk-UA" w:eastAsia="ru-RU" w:bidi="ru-RU"/>
        </w:rPr>
      </w:pPr>
    </w:p>
    <w:p w14:paraId="30A5DA37" w14:textId="77777777" w:rsidR="00A33B18" w:rsidRPr="00A33B18" w:rsidRDefault="00A33B18" w:rsidP="00A33B18">
      <w:pPr>
        <w:pStyle w:val="1"/>
        <w:spacing w:line="360" w:lineRule="auto"/>
        <w:jc w:val="both"/>
        <w:rPr>
          <w:color w:val="000000"/>
          <w:lang w:val="uk-UA" w:eastAsia="uk-UA" w:bidi="uk-UA"/>
        </w:rPr>
      </w:pPr>
      <w:r w:rsidRPr="00A33B18">
        <w:rPr>
          <w:color w:val="000000"/>
          <w:lang w:val="uk-UA" w:eastAsia="uk-UA" w:bidi="uk-UA"/>
        </w:rPr>
        <w:t xml:space="preserve">1. Ця робота розробляє методологію моніторингу адміністративної та фіскальної децентралізації у визначенні фінансової спроможності громад на території Союзу. Проведене дослідження ґрунтується на оцінці можливостей та ризиків для розвитку ОТГ різної чисельності населення, пов’язаних із </w:t>
      </w:r>
      <w:r w:rsidRPr="00A33B18">
        <w:rPr>
          <w:color w:val="000000"/>
          <w:lang w:val="uk-UA" w:eastAsia="uk-UA" w:bidi="uk-UA"/>
        </w:rPr>
        <w:lastRenderedPageBreak/>
        <w:t>створенням на першому етапі адміністративно-територійних одиниць із населенням до 2 тис</w:t>
      </w:r>
      <w:r w:rsidR="00AA29A0">
        <w:rPr>
          <w:color w:val="000000"/>
          <w:lang w:val="uk-UA" w:eastAsia="uk-UA" w:bidi="uk-UA"/>
        </w:rPr>
        <w:t xml:space="preserve">. осіб та громад із населенням </w:t>
      </w:r>
      <w:r w:rsidRPr="00A33B18">
        <w:rPr>
          <w:color w:val="000000"/>
          <w:lang w:val="uk-UA" w:eastAsia="uk-UA" w:bidi="uk-UA"/>
        </w:rPr>
        <w:t>з 20 000. Виявляє зв’язок між кількістю мешканців та економічною спроможністю громад (громади з більшою кількістю мешканців мають більший економічний потенціал) через сприятливі екологічні ринки для розвитку бізнесу, трудових ресурсів і збуту продукції, а також підтримки та розвитку великої інфраструктури громади можливості</w:t>
      </w:r>
      <w:r w:rsidR="00AA29A0">
        <w:rPr>
          <w:color w:val="000000"/>
          <w:lang w:val="uk-UA" w:eastAsia="uk-UA" w:bidi="uk-UA"/>
        </w:rPr>
        <w:t>.</w:t>
      </w:r>
    </w:p>
    <w:p w14:paraId="65B13909" w14:textId="77777777" w:rsidR="00A33B18" w:rsidRPr="00A33B18" w:rsidRDefault="00A33B18" w:rsidP="00A33B18">
      <w:pPr>
        <w:pStyle w:val="1"/>
        <w:spacing w:line="360" w:lineRule="auto"/>
        <w:jc w:val="both"/>
        <w:rPr>
          <w:color w:val="000000"/>
          <w:lang w:val="uk-UA" w:eastAsia="uk-UA" w:bidi="uk-UA"/>
        </w:rPr>
      </w:pPr>
      <w:r w:rsidRPr="00A33B18">
        <w:rPr>
          <w:color w:val="000000"/>
          <w:lang w:val="uk-UA" w:eastAsia="uk-UA" w:bidi="uk-UA"/>
        </w:rPr>
        <w:t>2. Акцентувати увагу на важливості реформування оподаткування нерухомого майна, відмінного від земельної ділянки, у напрямку: мінімізації кількості неоподатковуваних об’єктів та податкових пільг, оскільки все це призводить до нестачі бюджетних коштів територіальних громад; встановлення поправочних коефіцієнтів, що враховують їх якісні характеристики, а також шляхом удосконалення канонічної формули валютної оцінки землі та вдосконалення механізму оцінки об’єктів оподаткування. Пропонується внести зміни до визначення податкового законодавства України щодо об’єктів оподаткування житлової та нежитлової нерухомості для фізичних осіб без правовстановлюючих документів на підставі технічних паспортів та/або господарських книг.</w:t>
      </w:r>
    </w:p>
    <w:p w14:paraId="5AE5EBEE" w14:textId="77777777" w:rsidR="00CF23BE" w:rsidRDefault="00A33B18" w:rsidP="00A33B18">
      <w:pPr>
        <w:pStyle w:val="1"/>
        <w:spacing w:line="360" w:lineRule="auto"/>
        <w:ind w:firstLine="0"/>
        <w:jc w:val="both"/>
        <w:rPr>
          <w:color w:val="000000"/>
          <w:lang w:val="uk-UA" w:eastAsia="uk-UA" w:bidi="uk-UA"/>
        </w:rPr>
      </w:pPr>
      <w:r>
        <w:rPr>
          <w:color w:val="000000"/>
          <w:lang w:val="uk-UA" w:eastAsia="uk-UA" w:bidi="uk-UA"/>
        </w:rPr>
        <w:t xml:space="preserve">   </w:t>
      </w:r>
      <w:r w:rsidRPr="00A33B18">
        <w:rPr>
          <w:color w:val="000000"/>
          <w:lang w:val="uk-UA" w:eastAsia="uk-UA" w:bidi="uk-UA"/>
        </w:rPr>
        <w:t xml:space="preserve">3. Запропоновано та обґрунтовано комплексний підхід до формування та реалізації бюджетної політики регіонального розвитку, який включає низку заходів щодо затвердження програм сприяння співробітництву територіальних громад на регіональному рівні, визначення фінансових важелів сприяння такому співробітництву та використання громадської кооперації для оптимізації доходів та використання бюджетних ресурсів. З точки зору стратегічного розвитку «Зони співробітництва» встановлено доцільність використання ТГС як єдиного простору для розвитку та зміцнення відносин між громадами-учасниками угоди. Було наголошено на можливості реалізації цієї функції з точки зору врахування відмінностей у географічному положенні громади. Співпраця між внутрішніми та навколишніми громадами великого міста забезпечить можливість використання переваг міста </w:t>
      </w:r>
      <w:r w:rsidRPr="00A33B18">
        <w:rPr>
          <w:color w:val="000000"/>
          <w:lang w:val="uk-UA" w:eastAsia="uk-UA" w:bidi="uk-UA"/>
        </w:rPr>
        <w:lastRenderedPageBreak/>
        <w:t>навколишніми громадами, тоді як взаємодія географічних громад, віддалених від міського центру, має бути спрямована на подолання проблеми їх низька інвестиційна привабливість.</w:t>
      </w:r>
    </w:p>
    <w:p w14:paraId="4198E540" w14:textId="77777777" w:rsidR="00A33B18" w:rsidRDefault="00A33B18" w:rsidP="00A33B18">
      <w:pPr>
        <w:pStyle w:val="1"/>
        <w:spacing w:line="360" w:lineRule="auto"/>
        <w:ind w:firstLine="0"/>
        <w:jc w:val="both"/>
        <w:rPr>
          <w:color w:val="000000"/>
          <w:lang w:val="uk-UA" w:eastAsia="uk-UA" w:bidi="uk-UA"/>
        </w:rPr>
      </w:pPr>
    </w:p>
    <w:p w14:paraId="219F8F49" w14:textId="77777777" w:rsidR="00D41B15" w:rsidRDefault="00D41B15" w:rsidP="00A33B18">
      <w:pPr>
        <w:pStyle w:val="1"/>
        <w:spacing w:line="360" w:lineRule="auto"/>
        <w:ind w:firstLine="0"/>
        <w:jc w:val="both"/>
        <w:rPr>
          <w:color w:val="000000"/>
          <w:lang w:val="uk-UA" w:eastAsia="uk-UA" w:bidi="uk-UA"/>
        </w:rPr>
      </w:pPr>
    </w:p>
    <w:p w14:paraId="01489E7E" w14:textId="77777777" w:rsidR="00D41B15" w:rsidRDefault="00D41B15" w:rsidP="004C2B6D">
      <w:pPr>
        <w:pStyle w:val="1"/>
        <w:spacing w:line="276" w:lineRule="auto"/>
        <w:ind w:firstLine="0"/>
        <w:jc w:val="both"/>
        <w:rPr>
          <w:color w:val="000000"/>
          <w:lang w:val="uk-UA" w:eastAsia="uk-UA" w:bidi="uk-UA"/>
        </w:rPr>
      </w:pPr>
    </w:p>
    <w:p w14:paraId="59F4F960" w14:textId="77777777" w:rsidR="00D41B15" w:rsidRDefault="00D41B15" w:rsidP="004C2B6D">
      <w:pPr>
        <w:pStyle w:val="1"/>
        <w:spacing w:line="276" w:lineRule="auto"/>
        <w:ind w:firstLine="0"/>
        <w:jc w:val="both"/>
        <w:rPr>
          <w:color w:val="000000"/>
          <w:lang w:val="uk-UA" w:eastAsia="uk-UA" w:bidi="uk-UA"/>
        </w:rPr>
      </w:pPr>
    </w:p>
    <w:p w14:paraId="260FBB28" w14:textId="77777777" w:rsidR="00D41B15" w:rsidRDefault="00D41B15" w:rsidP="004C2B6D">
      <w:pPr>
        <w:pStyle w:val="1"/>
        <w:spacing w:line="276" w:lineRule="auto"/>
        <w:ind w:firstLine="0"/>
        <w:jc w:val="both"/>
        <w:rPr>
          <w:color w:val="000000"/>
          <w:lang w:val="uk-UA" w:eastAsia="uk-UA" w:bidi="uk-UA"/>
        </w:rPr>
      </w:pPr>
    </w:p>
    <w:p w14:paraId="448BC652" w14:textId="77777777" w:rsidR="00D41B15" w:rsidRDefault="00D41B15" w:rsidP="004C2B6D">
      <w:pPr>
        <w:pStyle w:val="1"/>
        <w:spacing w:line="276" w:lineRule="auto"/>
        <w:ind w:firstLine="0"/>
        <w:jc w:val="both"/>
        <w:rPr>
          <w:color w:val="000000"/>
          <w:lang w:val="uk-UA" w:eastAsia="uk-UA" w:bidi="uk-UA"/>
        </w:rPr>
      </w:pPr>
    </w:p>
    <w:p w14:paraId="41441AFF" w14:textId="77777777" w:rsidR="00D41B15" w:rsidRDefault="00D41B15" w:rsidP="004C2B6D">
      <w:pPr>
        <w:pStyle w:val="1"/>
        <w:spacing w:line="276" w:lineRule="auto"/>
        <w:ind w:firstLine="0"/>
        <w:jc w:val="both"/>
        <w:rPr>
          <w:color w:val="000000"/>
          <w:lang w:val="uk-UA" w:eastAsia="uk-UA" w:bidi="uk-UA"/>
        </w:rPr>
      </w:pPr>
    </w:p>
    <w:p w14:paraId="6CCC6EFE" w14:textId="77777777" w:rsidR="00D41B15" w:rsidRDefault="00D41B15" w:rsidP="004C2B6D">
      <w:pPr>
        <w:pStyle w:val="1"/>
        <w:spacing w:line="276" w:lineRule="auto"/>
        <w:ind w:firstLine="0"/>
        <w:jc w:val="both"/>
        <w:rPr>
          <w:color w:val="000000"/>
          <w:lang w:val="uk-UA" w:eastAsia="uk-UA" w:bidi="uk-UA"/>
        </w:rPr>
      </w:pPr>
    </w:p>
    <w:p w14:paraId="79CAF59D" w14:textId="77777777" w:rsidR="00D41B15" w:rsidRDefault="00D41B15" w:rsidP="004C2B6D">
      <w:pPr>
        <w:pStyle w:val="1"/>
        <w:spacing w:line="276" w:lineRule="auto"/>
        <w:ind w:firstLine="0"/>
        <w:jc w:val="both"/>
        <w:rPr>
          <w:color w:val="000000"/>
          <w:lang w:val="uk-UA" w:eastAsia="uk-UA" w:bidi="uk-UA"/>
        </w:rPr>
      </w:pPr>
    </w:p>
    <w:p w14:paraId="7A3D853D" w14:textId="77777777" w:rsidR="00D41B15" w:rsidRDefault="00D41B15" w:rsidP="004C2B6D">
      <w:pPr>
        <w:pStyle w:val="1"/>
        <w:spacing w:line="276" w:lineRule="auto"/>
        <w:ind w:firstLine="0"/>
        <w:jc w:val="both"/>
        <w:rPr>
          <w:color w:val="000000"/>
          <w:lang w:val="uk-UA" w:eastAsia="uk-UA" w:bidi="uk-UA"/>
        </w:rPr>
      </w:pPr>
    </w:p>
    <w:p w14:paraId="252D6315" w14:textId="77777777" w:rsidR="00D41B15" w:rsidRDefault="00D41B15" w:rsidP="004C2B6D">
      <w:pPr>
        <w:pStyle w:val="1"/>
        <w:spacing w:line="276" w:lineRule="auto"/>
        <w:ind w:firstLine="0"/>
        <w:jc w:val="both"/>
        <w:rPr>
          <w:color w:val="000000"/>
          <w:lang w:val="uk-UA" w:eastAsia="uk-UA" w:bidi="uk-UA"/>
        </w:rPr>
      </w:pPr>
    </w:p>
    <w:p w14:paraId="593EE216" w14:textId="77777777" w:rsidR="00D41B15" w:rsidRDefault="00D41B15" w:rsidP="004C2B6D">
      <w:pPr>
        <w:pStyle w:val="1"/>
        <w:spacing w:line="276" w:lineRule="auto"/>
        <w:ind w:firstLine="0"/>
        <w:jc w:val="both"/>
        <w:rPr>
          <w:color w:val="000000"/>
          <w:lang w:val="uk-UA" w:eastAsia="uk-UA" w:bidi="uk-UA"/>
        </w:rPr>
      </w:pPr>
    </w:p>
    <w:p w14:paraId="5C744E71" w14:textId="77777777" w:rsidR="00D41B15" w:rsidRDefault="00D41B15" w:rsidP="004C2B6D">
      <w:pPr>
        <w:pStyle w:val="1"/>
        <w:spacing w:line="276" w:lineRule="auto"/>
        <w:ind w:firstLine="0"/>
        <w:jc w:val="both"/>
        <w:rPr>
          <w:color w:val="000000"/>
          <w:lang w:val="uk-UA" w:eastAsia="uk-UA" w:bidi="uk-UA"/>
        </w:rPr>
      </w:pPr>
    </w:p>
    <w:p w14:paraId="74F226D4" w14:textId="77777777" w:rsidR="00D41B15" w:rsidRDefault="00D41B15" w:rsidP="004C2B6D">
      <w:pPr>
        <w:pStyle w:val="1"/>
        <w:spacing w:line="276" w:lineRule="auto"/>
        <w:ind w:firstLine="0"/>
        <w:jc w:val="both"/>
        <w:rPr>
          <w:color w:val="000000"/>
          <w:lang w:val="uk-UA" w:eastAsia="uk-UA" w:bidi="uk-UA"/>
        </w:rPr>
      </w:pPr>
    </w:p>
    <w:p w14:paraId="08C894CC" w14:textId="77777777" w:rsidR="00D41B15" w:rsidRDefault="00D41B15" w:rsidP="004C2B6D">
      <w:pPr>
        <w:pStyle w:val="1"/>
        <w:spacing w:line="276" w:lineRule="auto"/>
        <w:ind w:firstLine="0"/>
        <w:jc w:val="both"/>
        <w:rPr>
          <w:color w:val="000000"/>
          <w:lang w:val="uk-UA" w:eastAsia="uk-UA" w:bidi="uk-UA"/>
        </w:rPr>
      </w:pPr>
    </w:p>
    <w:p w14:paraId="1200FA4E" w14:textId="77777777" w:rsidR="00D41B15" w:rsidRDefault="00D41B15" w:rsidP="004C2B6D">
      <w:pPr>
        <w:pStyle w:val="1"/>
        <w:spacing w:line="276" w:lineRule="auto"/>
        <w:ind w:firstLine="0"/>
        <w:jc w:val="both"/>
        <w:rPr>
          <w:color w:val="000000"/>
          <w:lang w:val="uk-UA" w:eastAsia="uk-UA" w:bidi="uk-UA"/>
        </w:rPr>
      </w:pPr>
    </w:p>
    <w:p w14:paraId="4A8F2B8C" w14:textId="77777777" w:rsidR="00D41B15" w:rsidRDefault="00D41B15" w:rsidP="004C2B6D">
      <w:pPr>
        <w:pStyle w:val="1"/>
        <w:spacing w:line="276" w:lineRule="auto"/>
        <w:ind w:firstLine="0"/>
        <w:jc w:val="both"/>
        <w:rPr>
          <w:color w:val="000000"/>
          <w:lang w:val="uk-UA" w:eastAsia="uk-UA" w:bidi="uk-UA"/>
        </w:rPr>
      </w:pPr>
    </w:p>
    <w:p w14:paraId="71866FF3" w14:textId="77777777" w:rsidR="00D41B15" w:rsidRDefault="00D41B15" w:rsidP="004C2B6D">
      <w:pPr>
        <w:pStyle w:val="1"/>
        <w:spacing w:line="276" w:lineRule="auto"/>
        <w:ind w:firstLine="0"/>
        <w:jc w:val="both"/>
        <w:rPr>
          <w:color w:val="000000"/>
          <w:lang w:val="uk-UA" w:eastAsia="uk-UA" w:bidi="uk-UA"/>
        </w:rPr>
      </w:pPr>
    </w:p>
    <w:p w14:paraId="4D81B22A" w14:textId="77777777" w:rsidR="00D41B15" w:rsidRDefault="00D41B15" w:rsidP="004C2B6D">
      <w:pPr>
        <w:pStyle w:val="1"/>
        <w:spacing w:line="276" w:lineRule="auto"/>
        <w:ind w:firstLine="0"/>
        <w:jc w:val="both"/>
        <w:rPr>
          <w:color w:val="000000"/>
          <w:lang w:val="uk-UA" w:eastAsia="uk-UA" w:bidi="uk-UA"/>
        </w:rPr>
      </w:pPr>
    </w:p>
    <w:p w14:paraId="039CDCE3" w14:textId="77777777" w:rsidR="00AA29A0" w:rsidRDefault="00AA29A0" w:rsidP="004C2B6D">
      <w:pPr>
        <w:pStyle w:val="1"/>
        <w:spacing w:line="276" w:lineRule="auto"/>
        <w:ind w:firstLine="0"/>
        <w:jc w:val="both"/>
        <w:rPr>
          <w:color w:val="000000"/>
          <w:lang w:val="uk-UA" w:eastAsia="uk-UA" w:bidi="uk-UA"/>
        </w:rPr>
      </w:pPr>
    </w:p>
    <w:p w14:paraId="33D2ABF5" w14:textId="77777777" w:rsidR="00AA29A0" w:rsidRDefault="00AA29A0" w:rsidP="004C2B6D">
      <w:pPr>
        <w:pStyle w:val="1"/>
        <w:spacing w:line="276" w:lineRule="auto"/>
        <w:ind w:firstLine="0"/>
        <w:jc w:val="both"/>
        <w:rPr>
          <w:color w:val="000000"/>
          <w:lang w:val="uk-UA" w:eastAsia="uk-UA" w:bidi="uk-UA"/>
        </w:rPr>
      </w:pPr>
    </w:p>
    <w:p w14:paraId="341BB863" w14:textId="77777777" w:rsidR="00AA29A0" w:rsidRDefault="00AA29A0" w:rsidP="004C2B6D">
      <w:pPr>
        <w:pStyle w:val="1"/>
        <w:spacing w:line="276" w:lineRule="auto"/>
        <w:ind w:firstLine="0"/>
        <w:jc w:val="both"/>
        <w:rPr>
          <w:color w:val="000000"/>
          <w:lang w:val="uk-UA" w:eastAsia="uk-UA" w:bidi="uk-UA"/>
        </w:rPr>
      </w:pPr>
    </w:p>
    <w:p w14:paraId="267D7466" w14:textId="77777777" w:rsidR="00D41B15" w:rsidRDefault="00D41B15" w:rsidP="004C2B6D">
      <w:pPr>
        <w:pStyle w:val="1"/>
        <w:spacing w:line="276" w:lineRule="auto"/>
        <w:ind w:firstLine="0"/>
        <w:jc w:val="both"/>
        <w:rPr>
          <w:color w:val="000000"/>
          <w:lang w:val="uk-UA" w:eastAsia="uk-UA" w:bidi="uk-UA"/>
        </w:rPr>
      </w:pPr>
    </w:p>
    <w:p w14:paraId="35E73D01" w14:textId="77777777" w:rsidR="00D41B15" w:rsidRDefault="00D41B15" w:rsidP="004C2B6D">
      <w:pPr>
        <w:pStyle w:val="1"/>
        <w:spacing w:line="276" w:lineRule="auto"/>
        <w:ind w:firstLine="0"/>
        <w:jc w:val="both"/>
        <w:rPr>
          <w:color w:val="000000"/>
          <w:lang w:val="uk-UA" w:eastAsia="uk-UA" w:bidi="uk-UA"/>
        </w:rPr>
      </w:pPr>
    </w:p>
    <w:p w14:paraId="031C21F0" w14:textId="77777777" w:rsidR="00D41B15" w:rsidRDefault="00D41B15" w:rsidP="004C2B6D">
      <w:pPr>
        <w:pStyle w:val="1"/>
        <w:spacing w:line="276" w:lineRule="auto"/>
        <w:ind w:firstLine="0"/>
        <w:jc w:val="both"/>
        <w:rPr>
          <w:color w:val="000000"/>
          <w:lang w:val="uk-UA" w:eastAsia="uk-UA" w:bidi="uk-UA"/>
        </w:rPr>
      </w:pPr>
    </w:p>
    <w:p w14:paraId="694EAE1B" w14:textId="77777777" w:rsidR="00D41B15" w:rsidRDefault="00D41B15" w:rsidP="004C2B6D">
      <w:pPr>
        <w:pStyle w:val="1"/>
        <w:spacing w:line="276" w:lineRule="auto"/>
        <w:ind w:firstLine="0"/>
        <w:jc w:val="both"/>
        <w:rPr>
          <w:color w:val="000000"/>
          <w:lang w:val="uk-UA" w:eastAsia="uk-UA" w:bidi="uk-UA"/>
        </w:rPr>
      </w:pPr>
    </w:p>
    <w:p w14:paraId="0A7A2B50" w14:textId="77777777" w:rsidR="00CF23BE" w:rsidRDefault="00D41B15" w:rsidP="00D41B15">
      <w:pPr>
        <w:pStyle w:val="1"/>
        <w:spacing w:line="276" w:lineRule="auto"/>
        <w:ind w:firstLine="0"/>
        <w:jc w:val="center"/>
        <w:rPr>
          <w:color w:val="000000"/>
          <w:lang w:val="uk-UA" w:eastAsia="uk-UA" w:bidi="uk-UA"/>
        </w:rPr>
      </w:pPr>
      <w:r w:rsidRPr="00C8148F">
        <w:rPr>
          <w:b/>
          <w:color w:val="000000"/>
          <w:lang w:val="uk-UA" w:eastAsia="uk-UA" w:bidi="uk-UA"/>
        </w:rPr>
        <w:t>СПИСОК ВИКОРИСТАНИХ ДЖЕРЕЛ</w:t>
      </w:r>
    </w:p>
    <w:p w14:paraId="0BDC5CF4" w14:textId="77777777" w:rsidR="00CF23BE" w:rsidRDefault="00CF23BE" w:rsidP="004C2B6D">
      <w:pPr>
        <w:pStyle w:val="1"/>
        <w:spacing w:line="276" w:lineRule="auto"/>
        <w:ind w:firstLine="0"/>
        <w:jc w:val="both"/>
        <w:rPr>
          <w:color w:val="000000"/>
          <w:lang w:val="uk-UA" w:eastAsia="uk-UA" w:bidi="uk-UA"/>
        </w:rPr>
      </w:pPr>
    </w:p>
    <w:p w14:paraId="1FE6BBA8" w14:textId="77777777" w:rsidR="00CF23BE" w:rsidRDefault="00CF23BE" w:rsidP="004C2B6D">
      <w:pPr>
        <w:pStyle w:val="1"/>
        <w:spacing w:line="276" w:lineRule="auto"/>
        <w:ind w:firstLine="0"/>
        <w:jc w:val="both"/>
        <w:rPr>
          <w:color w:val="000000"/>
          <w:lang w:val="uk-UA" w:eastAsia="uk-UA" w:bidi="uk-UA"/>
        </w:rPr>
      </w:pPr>
    </w:p>
    <w:p w14:paraId="71B9ECA7" w14:textId="77777777" w:rsidR="0032152D" w:rsidRDefault="0032152D" w:rsidP="00221AA9">
      <w:pPr>
        <w:pStyle w:val="1"/>
        <w:numPr>
          <w:ilvl w:val="0"/>
          <w:numId w:val="18"/>
        </w:numPr>
        <w:tabs>
          <w:tab w:val="left" w:pos="993"/>
        </w:tabs>
        <w:spacing w:line="360" w:lineRule="auto"/>
        <w:ind w:firstLine="567"/>
        <w:jc w:val="both"/>
      </w:pPr>
      <w:r w:rsidRPr="00A33B18">
        <w:rPr>
          <w:color w:val="000000"/>
          <w:lang w:val="uk-UA" w:eastAsia="ru-RU" w:bidi="ru-RU"/>
        </w:rPr>
        <w:t xml:space="preserve">Адаменко </w:t>
      </w:r>
      <w:r>
        <w:rPr>
          <w:color w:val="000000"/>
          <w:lang w:val="uk-UA" w:eastAsia="uk-UA" w:bidi="uk-UA"/>
        </w:rPr>
        <w:t xml:space="preserve">І. </w:t>
      </w:r>
      <w:r w:rsidRPr="00A33B18">
        <w:rPr>
          <w:color w:val="000000"/>
          <w:lang w:val="uk-UA" w:eastAsia="ru-RU" w:bidi="ru-RU"/>
        </w:rPr>
        <w:t xml:space="preserve">П., </w:t>
      </w:r>
      <w:r>
        <w:rPr>
          <w:color w:val="000000"/>
          <w:lang w:val="uk-UA" w:eastAsia="uk-UA" w:bidi="uk-UA"/>
        </w:rPr>
        <w:t xml:space="preserve">Тропіна </w:t>
      </w:r>
      <w:r w:rsidRPr="00A33B18">
        <w:rPr>
          <w:color w:val="000000"/>
          <w:lang w:val="uk-UA" w:eastAsia="ru-RU" w:bidi="ru-RU"/>
        </w:rPr>
        <w:t xml:space="preserve">В. Б. </w:t>
      </w:r>
      <w:r>
        <w:rPr>
          <w:color w:val="000000"/>
          <w:lang w:val="uk-UA" w:eastAsia="uk-UA" w:bidi="uk-UA"/>
        </w:rPr>
        <w:t xml:space="preserve">Фінансові </w:t>
      </w:r>
      <w:r w:rsidRPr="00A33B18">
        <w:rPr>
          <w:color w:val="000000"/>
          <w:lang w:val="uk-UA" w:eastAsia="ru-RU" w:bidi="ru-RU"/>
        </w:rPr>
        <w:t xml:space="preserve">аспекти </w:t>
      </w:r>
      <w:r>
        <w:rPr>
          <w:color w:val="000000"/>
          <w:lang w:val="uk-UA" w:eastAsia="uk-UA" w:bidi="uk-UA"/>
        </w:rPr>
        <w:t xml:space="preserve">нової регіональної політики// Економічний вісник університету: збірник </w:t>
      </w:r>
      <w:r w:rsidRPr="00A33B18">
        <w:rPr>
          <w:color w:val="000000"/>
          <w:lang w:val="uk-UA" w:eastAsia="ru-RU" w:bidi="ru-RU"/>
        </w:rPr>
        <w:t xml:space="preserve">наукових праць учених та </w:t>
      </w:r>
      <w:r>
        <w:rPr>
          <w:color w:val="000000"/>
          <w:lang w:val="uk-UA" w:eastAsia="uk-UA" w:bidi="uk-UA"/>
        </w:rPr>
        <w:t xml:space="preserve">аспірантів. </w:t>
      </w:r>
      <w:r>
        <w:rPr>
          <w:color w:val="000000"/>
          <w:lang w:eastAsia="ru-RU" w:bidi="ru-RU"/>
        </w:rPr>
        <w:t>Переяслав-Хмельницький, 2015. Вип. 26/2. С. 392-397.</w:t>
      </w:r>
    </w:p>
    <w:p w14:paraId="04B8AD98" w14:textId="77777777" w:rsidR="0032152D" w:rsidRDefault="0032152D" w:rsidP="00221AA9">
      <w:pPr>
        <w:pStyle w:val="1"/>
        <w:numPr>
          <w:ilvl w:val="0"/>
          <w:numId w:val="18"/>
        </w:numPr>
        <w:tabs>
          <w:tab w:val="left" w:pos="993"/>
        </w:tabs>
        <w:spacing w:line="360" w:lineRule="auto"/>
        <w:ind w:firstLine="567"/>
        <w:jc w:val="both"/>
      </w:pPr>
      <w:r>
        <w:rPr>
          <w:color w:val="000000"/>
          <w:lang w:val="uk-UA" w:eastAsia="uk-UA" w:bidi="uk-UA"/>
        </w:rPr>
        <w:t xml:space="preserve">Адміністративно-територіальна </w:t>
      </w:r>
      <w:r>
        <w:rPr>
          <w:color w:val="000000"/>
          <w:lang w:eastAsia="ru-RU" w:bidi="ru-RU"/>
        </w:rPr>
        <w:t xml:space="preserve">реформа зменшить </w:t>
      </w:r>
      <w:r>
        <w:rPr>
          <w:color w:val="000000"/>
          <w:lang w:val="uk-UA" w:eastAsia="uk-UA" w:bidi="uk-UA"/>
        </w:rPr>
        <w:t xml:space="preserve">кількість районів </w:t>
      </w:r>
      <w:r>
        <w:rPr>
          <w:color w:val="000000"/>
          <w:lang w:eastAsia="ru-RU" w:bidi="ru-RU"/>
        </w:rPr>
        <w:lastRenderedPageBreak/>
        <w:t xml:space="preserve">у 4 рази. 21.03.2014 // </w:t>
      </w:r>
      <w:r>
        <w:rPr>
          <w:color w:val="000000"/>
          <w:lang w:val="en-US" w:bidi="en-US"/>
        </w:rPr>
        <w:t>ZIK</w:t>
      </w:r>
      <w:r w:rsidRPr="00A33B18">
        <w:rPr>
          <w:color w:val="000000"/>
          <w:lang w:bidi="en-US"/>
        </w:rPr>
        <w:t xml:space="preserve">. </w:t>
      </w:r>
      <w:r>
        <w:rPr>
          <w:color w:val="000000"/>
          <w:lang w:val="uk-UA" w:eastAsia="uk-UA" w:bidi="uk-UA"/>
        </w:rPr>
        <w:t xml:space="preserve">Західна інформаційна корпорація. </w:t>
      </w:r>
      <w:r>
        <w:rPr>
          <w:color w:val="000000"/>
          <w:lang w:val="en-US" w:bidi="en-US"/>
        </w:rPr>
        <w:t>URL</w:t>
      </w:r>
      <w:r w:rsidRPr="00A33B18">
        <w:rPr>
          <w:color w:val="000000"/>
          <w:lang w:bidi="en-US"/>
        </w:rPr>
        <w:t xml:space="preserve">: </w:t>
      </w:r>
      <w:hyperlink r:id="rId19" w:history="1">
        <w:r>
          <w:rPr>
            <w:color w:val="000000"/>
            <w:lang w:val="en-US" w:bidi="en-US"/>
          </w:rPr>
          <w:t>http</w:t>
        </w:r>
        <w:r w:rsidRPr="00A33B18">
          <w:rPr>
            <w:color w:val="000000"/>
            <w:lang w:bidi="en-US"/>
          </w:rPr>
          <w:t>://</w:t>
        </w:r>
        <w:r>
          <w:rPr>
            <w:color w:val="000000"/>
            <w:lang w:val="en-US" w:bidi="en-US"/>
          </w:rPr>
          <w:t>zik</w:t>
        </w:r>
        <w:r w:rsidRPr="00A33B18">
          <w:rPr>
            <w:color w:val="000000"/>
            <w:lang w:bidi="en-US"/>
          </w:rPr>
          <w:t>.</w:t>
        </w:r>
        <w:r>
          <w:rPr>
            <w:color w:val="000000"/>
            <w:lang w:val="en-US" w:bidi="en-US"/>
          </w:rPr>
          <w:t>ua</w:t>
        </w:r>
        <w:r w:rsidRPr="00A33B18">
          <w:rPr>
            <w:color w:val="000000"/>
            <w:lang w:bidi="en-US"/>
          </w:rPr>
          <w:t>/</w:t>
        </w:r>
        <w:r>
          <w:rPr>
            <w:color w:val="000000"/>
            <w:lang w:val="en-US" w:bidi="en-US"/>
          </w:rPr>
          <w:t>news</w:t>
        </w:r>
        <w:r w:rsidRPr="00A33B18">
          <w:rPr>
            <w:color w:val="000000"/>
            <w:lang w:bidi="en-US"/>
          </w:rPr>
          <w:t>/2014/03/21/</w:t>
        </w:r>
        <w:r>
          <w:rPr>
            <w:color w:val="000000"/>
            <w:lang w:val="en-US" w:bidi="en-US"/>
          </w:rPr>
          <w:t>administratyvnoterytorialna</w:t>
        </w:r>
        <w:r w:rsidRPr="00A33B18">
          <w:rPr>
            <w:color w:val="000000"/>
            <w:lang w:bidi="en-US"/>
          </w:rPr>
          <w:t>_</w:t>
        </w:r>
        <w:r>
          <w:rPr>
            <w:color w:val="000000"/>
            <w:lang w:val="en-US" w:bidi="en-US"/>
          </w:rPr>
          <w:t>reforma</w:t>
        </w:r>
        <w:r w:rsidRPr="00A33B18">
          <w:rPr>
            <w:color w:val="000000"/>
            <w:lang w:bidi="en-US"/>
          </w:rPr>
          <w:t>_</w:t>
        </w:r>
        <w:r>
          <w:rPr>
            <w:color w:val="000000"/>
            <w:lang w:val="en-US" w:bidi="en-US"/>
          </w:rPr>
          <w:t>zmenshyt</w:t>
        </w:r>
        <w:r w:rsidRPr="00A33B18">
          <w:rPr>
            <w:color w:val="000000"/>
            <w:lang w:bidi="en-US"/>
          </w:rPr>
          <w:t>_</w:t>
        </w:r>
        <w:r>
          <w:rPr>
            <w:color w:val="000000"/>
            <w:lang w:val="en-US" w:bidi="en-US"/>
          </w:rPr>
          <w:t>kilki</w:t>
        </w:r>
      </w:hyperlink>
      <w:r w:rsidRPr="00A33B18">
        <w:rPr>
          <w:color w:val="000000"/>
          <w:lang w:bidi="en-US"/>
        </w:rPr>
        <w:t xml:space="preserve"> </w:t>
      </w:r>
      <w:r>
        <w:rPr>
          <w:color w:val="000000"/>
          <w:lang w:val="en-US" w:bidi="en-US"/>
        </w:rPr>
        <w:t>st</w:t>
      </w:r>
      <w:r w:rsidRPr="00A33B18">
        <w:rPr>
          <w:color w:val="000000"/>
          <w:lang w:bidi="en-US"/>
        </w:rPr>
        <w:t>_</w:t>
      </w:r>
      <w:r>
        <w:rPr>
          <w:color w:val="000000"/>
          <w:lang w:val="en-US" w:bidi="en-US"/>
        </w:rPr>
        <w:t>rayoniv</w:t>
      </w:r>
      <w:r w:rsidRPr="00A33B18">
        <w:rPr>
          <w:color w:val="000000"/>
          <w:lang w:bidi="en-US"/>
        </w:rPr>
        <w:t>_</w:t>
      </w:r>
      <w:r>
        <w:rPr>
          <w:color w:val="000000"/>
          <w:lang w:val="en-US" w:bidi="en-US"/>
        </w:rPr>
        <w:t>v</w:t>
      </w:r>
      <w:r w:rsidRPr="00A33B18">
        <w:rPr>
          <w:color w:val="000000"/>
          <w:lang w:bidi="en-US"/>
        </w:rPr>
        <w:t>_</w:t>
      </w:r>
      <w:r>
        <w:rPr>
          <w:color w:val="000000"/>
          <w:lang w:val="en-US" w:bidi="en-US"/>
        </w:rPr>
        <w:t>ukraini</w:t>
      </w:r>
      <w:r w:rsidRPr="00A33B18">
        <w:rPr>
          <w:color w:val="000000"/>
          <w:lang w:bidi="en-US"/>
        </w:rPr>
        <w:t>_</w:t>
      </w:r>
      <w:r>
        <w:rPr>
          <w:color w:val="000000"/>
          <w:lang w:val="en-US" w:bidi="en-US"/>
        </w:rPr>
        <w:t>u</w:t>
      </w:r>
      <w:r w:rsidRPr="00A33B18">
        <w:rPr>
          <w:color w:val="000000"/>
          <w:lang w:bidi="en-US"/>
        </w:rPr>
        <w:t>_4_</w:t>
      </w:r>
      <w:r>
        <w:rPr>
          <w:color w:val="000000"/>
          <w:lang w:val="en-US" w:bidi="en-US"/>
        </w:rPr>
        <w:t>razy</w:t>
      </w:r>
      <w:r w:rsidRPr="00A33B18">
        <w:rPr>
          <w:color w:val="000000"/>
          <w:lang w:bidi="en-US"/>
        </w:rPr>
        <w:t xml:space="preserve">_472848. </w:t>
      </w:r>
      <w:r>
        <w:rPr>
          <w:color w:val="000000"/>
          <w:lang w:eastAsia="ru-RU" w:bidi="ru-RU"/>
        </w:rPr>
        <w:t>(дата звернення: 25 липня 2015 р.).</w:t>
      </w:r>
    </w:p>
    <w:p w14:paraId="3BE85B7D" w14:textId="77777777" w:rsidR="0032152D" w:rsidRDefault="0032152D" w:rsidP="00221AA9">
      <w:pPr>
        <w:pStyle w:val="1"/>
        <w:numPr>
          <w:ilvl w:val="0"/>
          <w:numId w:val="18"/>
        </w:numPr>
        <w:tabs>
          <w:tab w:val="left" w:pos="993"/>
        </w:tabs>
        <w:spacing w:line="360" w:lineRule="auto"/>
        <w:ind w:firstLine="567"/>
        <w:jc w:val="both"/>
      </w:pPr>
      <w:r>
        <w:rPr>
          <w:color w:val="000000"/>
          <w:lang w:val="uk-UA" w:eastAsia="uk-UA" w:bidi="uk-UA"/>
        </w:rPr>
        <w:t xml:space="preserve">Адміністративно-територіальний устрій країн Європейського </w:t>
      </w:r>
      <w:r>
        <w:rPr>
          <w:color w:val="000000"/>
          <w:lang w:eastAsia="ru-RU" w:bidi="ru-RU"/>
        </w:rPr>
        <w:t>Союзу / за заг. ред. Ю.В. Ковбасюка, М.К. Орлатого. К.: НАДУ, 2015. 628 с.</w:t>
      </w:r>
    </w:p>
    <w:p w14:paraId="5C0A97E2" w14:textId="77777777" w:rsidR="0032152D" w:rsidRPr="0032152D" w:rsidRDefault="0032152D" w:rsidP="00221AA9">
      <w:pPr>
        <w:pStyle w:val="1"/>
        <w:numPr>
          <w:ilvl w:val="0"/>
          <w:numId w:val="18"/>
        </w:numPr>
        <w:tabs>
          <w:tab w:val="left" w:pos="993"/>
        </w:tabs>
        <w:spacing w:line="360" w:lineRule="auto"/>
        <w:ind w:firstLine="567"/>
        <w:jc w:val="both"/>
      </w:pPr>
      <w:r>
        <w:rPr>
          <w:color w:val="000000"/>
          <w:lang w:val="uk-UA" w:eastAsia="uk-UA" w:bidi="uk-UA"/>
        </w:rPr>
        <w:t xml:space="preserve">Адміністративно-територіальний устрій України: методологічні </w:t>
      </w:r>
      <w:r>
        <w:rPr>
          <w:color w:val="000000"/>
          <w:lang w:eastAsia="ru-RU" w:bidi="ru-RU"/>
        </w:rPr>
        <w:t xml:space="preserve">основи та практика реформування : </w:t>
      </w:r>
      <w:r>
        <w:rPr>
          <w:color w:val="000000"/>
          <w:lang w:val="uk-UA" w:eastAsia="uk-UA" w:bidi="uk-UA"/>
        </w:rPr>
        <w:t xml:space="preserve">монографія </w:t>
      </w:r>
      <w:r>
        <w:rPr>
          <w:color w:val="000000"/>
          <w:lang w:eastAsia="ru-RU" w:bidi="ru-RU"/>
        </w:rPr>
        <w:t xml:space="preserve">/ ДУ </w:t>
      </w:r>
      <w:r>
        <w:rPr>
          <w:color w:val="000000"/>
          <w:lang w:val="uk-UA" w:eastAsia="uk-UA" w:bidi="uk-UA"/>
        </w:rPr>
        <w:t xml:space="preserve">«Інститут регіональних досліджень імені М.І. Долішнього </w:t>
      </w:r>
      <w:r>
        <w:rPr>
          <w:color w:val="000000"/>
          <w:lang w:eastAsia="ru-RU" w:bidi="ru-RU"/>
        </w:rPr>
        <w:t xml:space="preserve">НАН </w:t>
      </w:r>
      <w:r>
        <w:rPr>
          <w:color w:val="000000"/>
          <w:lang w:val="uk-UA" w:eastAsia="uk-UA" w:bidi="uk-UA"/>
        </w:rPr>
        <w:t xml:space="preserve">України»; </w:t>
      </w:r>
      <w:r>
        <w:rPr>
          <w:color w:val="000000"/>
          <w:lang w:eastAsia="ru-RU" w:bidi="ru-RU"/>
        </w:rPr>
        <w:t xml:space="preserve">наук. ред. В.С. </w:t>
      </w:r>
      <w:r>
        <w:rPr>
          <w:color w:val="000000"/>
          <w:lang w:val="uk-UA" w:eastAsia="uk-UA" w:bidi="uk-UA"/>
        </w:rPr>
        <w:t xml:space="preserve">Кравців, Львів, </w:t>
      </w:r>
      <w:r>
        <w:rPr>
          <w:color w:val="000000"/>
          <w:lang w:eastAsia="ru-RU" w:bidi="ru-RU"/>
        </w:rPr>
        <w:t>2016. 264 с.</w:t>
      </w:r>
    </w:p>
    <w:p w14:paraId="1D71B243" w14:textId="77777777" w:rsidR="0032152D" w:rsidRDefault="0032152D" w:rsidP="00221AA9">
      <w:pPr>
        <w:pStyle w:val="1"/>
        <w:numPr>
          <w:ilvl w:val="0"/>
          <w:numId w:val="18"/>
        </w:numPr>
        <w:tabs>
          <w:tab w:val="left" w:pos="993"/>
          <w:tab w:val="left" w:pos="5676"/>
          <w:tab w:val="left" w:pos="7412"/>
        </w:tabs>
        <w:spacing w:line="360" w:lineRule="auto"/>
        <w:ind w:firstLine="567"/>
        <w:jc w:val="both"/>
      </w:pPr>
      <w:r>
        <w:rPr>
          <w:color w:val="000000"/>
          <w:lang w:val="uk-UA" w:eastAsia="uk-UA" w:bidi="uk-UA"/>
        </w:rPr>
        <w:t xml:space="preserve">Аналітична </w:t>
      </w:r>
      <w:r>
        <w:rPr>
          <w:color w:val="000000"/>
          <w:lang w:eastAsia="ru-RU" w:bidi="ru-RU"/>
        </w:rPr>
        <w:t xml:space="preserve">записка </w:t>
      </w:r>
      <w:r>
        <w:rPr>
          <w:color w:val="000000"/>
          <w:lang w:val="uk-UA" w:eastAsia="uk-UA" w:bidi="uk-UA"/>
        </w:rPr>
        <w:t xml:space="preserve">«Європейський досвід адміністративно- територіального </w:t>
      </w:r>
      <w:r>
        <w:rPr>
          <w:color w:val="000000"/>
          <w:lang w:eastAsia="ru-RU" w:bidi="ru-RU"/>
        </w:rPr>
        <w:t xml:space="preserve">реформування: </w:t>
      </w:r>
      <w:r>
        <w:rPr>
          <w:color w:val="000000"/>
          <w:lang w:val="uk-UA" w:eastAsia="uk-UA" w:bidi="uk-UA"/>
        </w:rPr>
        <w:t xml:space="preserve">політичний </w:t>
      </w:r>
      <w:r>
        <w:rPr>
          <w:color w:val="000000"/>
          <w:lang w:eastAsia="ru-RU" w:bidi="ru-RU"/>
        </w:rPr>
        <w:t xml:space="preserve">аспект» / Нац. </w:t>
      </w:r>
      <w:r>
        <w:rPr>
          <w:color w:val="000000"/>
          <w:lang w:val="uk-UA" w:eastAsia="uk-UA" w:bidi="uk-UA"/>
        </w:rPr>
        <w:t xml:space="preserve">ін-т стратегіч. досліджень </w:t>
      </w:r>
      <w:r>
        <w:rPr>
          <w:color w:val="000000"/>
          <w:lang w:eastAsia="ru-RU" w:bidi="ru-RU"/>
        </w:rPr>
        <w:t xml:space="preserve">при </w:t>
      </w:r>
      <w:r>
        <w:rPr>
          <w:color w:val="000000"/>
          <w:lang w:val="uk-UA" w:eastAsia="uk-UA" w:bidi="uk-UA"/>
        </w:rPr>
        <w:t>ПрезидентовіУкраїни.</w:t>
      </w:r>
      <w:r>
        <w:rPr>
          <w:color w:val="000000"/>
          <w:lang w:val="en-US" w:bidi="en-US"/>
        </w:rPr>
        <w:t>URL</w:t>
      </w:r>
      <w:r w:rsidRPr="00A33B18">
        <w:rPr>
          <w:color w:val="000000"/>
          <w:lang w:bidi="en-US"/>
        </w:rPr>
        <w:t xml:space="preserve">: </w:t>
      </w:r>
      <w:r>
        <w:rPr>
          <w:color w:val="000000"/>
          <w:lang w:val="en-US" w:bidi="en-US"/>
        </w:rPr>
        <w:t>http</w:t>
      </w:r>
      <w:r w:rsidRPr="00A33B18">
        <w:rPr>
          <w:color w:val="000000"/>
          <w:lang w:bidi="en-US"/>
        </w:rPr>
        <w:t>://</w:t>
      </w:r>
    </w:p>
    <w:p w14:paraId="2DD0832A" w14:textId="77777777" w:rsidR="0032152D" w:rsidRDefault="00BA6710" w:rsidP="00221AA9">
      <w:pPr>
        <w:pStyle w:val="1"/>
        <w:tabs>
          <w:tab w:val="left" w:pos="993"/>
        </w:tabs>
        <w:spacing w:line="360" w:lineRule="auto"/>
        <w:ind w:firstLine="567"/>
      </w:pPr>
      <w:hyperlink r:id="rId20" w:history="1">
        <w:r w:rsidR="0032152D">
          <w:rPr>
            <w:color w:val="000000"/>
            <w:lang w:val="en-US" w:bidi="en-US"/>
          </w:rPr>
          <w:t>www</w:t>
        </w:r>
        <w:r w:rsidR="0032152D" w:rsidRPr="00A33B18">
          <w:rPr>
            <w:color w:val="000000"/>
            <w:lang w:bidi="en-US"/>
          </w:rPr>
          <w:t>.</w:t>
        </w:r>
        <w:r w:rsidR="0032152D">
          <w:rPr>
            <w:color w:val="000000"/>
            <w:lang w:val="en-US" w:bidi="en-US"/>
          </w:rPr>
          <w:t>niss</w:t>
        </w:r>
        <w:r w:rsidR="0032152D" w:rsidRPr="00A33B18">
          <w:rPr>
            <w:color w:val="000000"/>
            <w:lang w:bidi="en-US"/>
          </w:rPr>
          <w:t>.</w:t>
        </w:r>
        <w:r w:rsidR="0032152D">
          <w:rPr>
            <w:color w:val="000000"/>
            <w:lang w:val="en-US" w:bidi="en-US"/>
          </w:rPr>
          <w:t>gov</w:t>
        </w:r>
        <w:r w:rsidR="0032152D" w:rsidRPr="00A33B18">
          <w:rPr>
            <w:color w:val="000000"/>
            <w:lang w:bidi="en-US"/>
          </w:rPr>
          <w:t>.</w:t>
        </w:r>
        <w:r w:rsidR="0032152D">
          <w:rPr>
            <w:color w:val="000000"/>
            <w:lang w:val="en-US" w:bidi="en-US"/>
          </w:rPr>
          <w:t>ua</w:t>
        </w:r>
        <w:r w:rsidR="0032152D" w:rsidRPr="00A33B18">
          <w:rPr>
            <w:color w:val="000000"/>
            <w:lang w:bidi="en-US"/>
          </w:rPr>
          <w:t>/</w:t>
        </w:r>
        <w:r w:rsidR="0032152D">
          <w:rPr>
            <w:color w:val="000000"/>
            <w:lang w:val="en-US" w:bidi="en-US"/>
          </w:rPr>
          <w:t>articles</w:t>
        </w:r>
        <w:r w:rsidR="0032152D" w:rsidRPr="00A33B18">
          <w:rPr>
            <w:color w:val="000000"/>
            <w:lang w:bidi="en-US"/>
          </w:rPr>
          <w:t>/844/</w:t>
        </w:r>
      </w:hyperlink>
      <w:r w:rsidR="0032152D" w:rsidRPr="00A33B18">
        <w:rPr>
          <w:color w:val="000000"/>
          <w:lang w:bidi="en-US"/>
        </w:rPr>
        <w:t xml:space="preserve"> </w:t>
      </w:r>
      <w:r w:rsidR="0032152D">
        <w:rPr>
          <w:color w:val="000000"/>
          <w:lang w:eastAsia="ru-RU" w:bidi="ru-RU"/>
        </w:rPr>
        <w:t>(дата звернення: 14 липня 2018 р.).</w:t>
      </w:r>
    </w:p>
    <w:p w14:paraId="3344BF65" w14:textId="77777777" w:rsidR="0032152D" w:rsidRPr="00A33B18" w:rsidRDefault="0032152D" w:rsidP="00221AA9">
      <w:pPr>
        <w:pStyle w:val="1"/>
        <w:numPr>
          <w:ilvl w:val="0"/>
          <w:numId w:val="18"/>
        </w:numPr>
        <w:tabs>
          <w:tab w:val="left" w:pos="993"/>
          <w:tab w:val="left" w:pos="2895"/>
          <w:tab w:val="left" w:pos="5676"/>
        </w:tabs>
        <w:spacing w:line="360" w:lineRule="auto"/>
        <w:ind w:firstLine="567"/>
        <w:jc w:val="both"/>
        <w:rPr>
          <w:lang w:val="en-US"/>
        </w:rPr>
      </w:pPr>
      <w:r>
        <w:rPr>
          <w:color w:val="000000"/>
          <w:lang w:val="uk-UA" w:eastAsia="uk-UA" w:bidi="uk-UA"/>
        </w:rPr>
        <w:t xml:space="preserve">Аналітичний звіт </w:t>
      </w:r>
      <w:r>
        <w:rPr>
          <w:color w:val="000000"/>
          <w:lang w:eastAsia="ru-RU" w:bidi="ru-RU"/>
        </w:rPr>
        <w:t xml:space="preserve">щодо практики використання </w:t>
      </w:r>
      <w:r>
        <w:rPr>
          <w:color w:val="000000"/>
          <w:lang w:val="uk-UA" w:eastAsia="uk-UA" w:bidi="uk-UA"/>
        </w:rPr>
        <w:t xml:space="preserve">потенційними суб’єктами співробітництва примірних </w:t>
      </w:r>
      <w:r>
        <w:rPr>
          <w:color w:val="000000"/>
          <w:lang w:eastAsia="ru-RU" w:bidi="ru-RU"/>
        </w:rPr>
        <w:t xml:space="preserve">форм </w:t>
      </w:r>
      <w:r>
        <w:rPr>
          <w:color w:val="000000"/>
          <w:lang w:val="uk-UA" w:eastAsia="uk-UA" w:bidi="uk-UA"/>
        </w:rPr>
        <w:t xml:space="preserve">договорів </w:t>
      </w:r>
      <w:r>
        <w:rPr>
          <w:color w:val="000000"/>
          <w:lang w:eastAsia="ru-RU" w:bidi="ru-RU"/>
        </w:rPr>
        <w:t xml:space="preserve">про </w:t>
      </w:r>
      <w:r>
        <w:rPr>
          <w:color w:val="000000"/>
          <w:lang w:val="uk-UA" w:eastAsia="uk-UA" w:bidi="uk-UA"/>
        </w:rPr>
        <w:t xml:space="preserve">співробітництво територіальних </w:t>
      </w:r>
      <w:r>
        <w:rPr>
          <w:color w:val="000000"/>
          <w:lang w:eastAsia="ru-RU" w:bidi="ru-RU"/>
        </w:rPr>
        <w:t xml:space="preserve">громад // </w:t>
      </w:r>
      <w:r>
        <w:rPr>
          <w:color w:val="000000"/>
          <w:lang w:val="uk-UA" w:eastAsia="uk-UA" w:bidi="uk-UA"/>
        </w:rPr>
        <w:t xml:space="preserve">Інститут </w:t>
      </w:r>
      <w:r>
        <w:rPr>
          <w:color w:val="000000"/>
          <w:lang w:eastAsia="ru-RU" w:bidi="ru-RU"/>
        </w:rPr>
        <w:t xml:space="preserve">Громадянського </w:t>
      </w:r>
      <w:r>
        <w:rPr>
          <w:color w:val="000000"/>
          <w:lang w:val="uk-UA" w:eastAsia="uk-UA" w:bidi="uk-UA"/>
        </w:rPr>
        <w:t xml:space="preserve">Суспільства. </w:t>
      </w:r>
      <w:r>
        <w:rPr>
          <w:color w:val="000000"/>
          <w:lang w:val="en-US" w:bidi="en-US"/>
        </w:rPr>
        <w:t xml:space="preserve">Council of Europe. </w:t>
      </w:r>
      <w:r>
        <w:rPr>
          <w:color w:val="000000"/>
          <w:lang w:eastAsia="ru-RU" w:bidi="ru-RU"/>
        </w:rPr>
        <w:t>К</w:t>
      </w:r>
      <w:r w:rsidRPr="00A33B18">
        <w:rPr>
          <w:color w:val="000000"/>
          <w:lang w:val="en-US" w:eastAsia="ru-RU" w:bidi="ru-RU"/>
        </w:rPr>
        <w:t xml:space="preserve">.,2016. </w:t>
      </w:r>
      <w:r>
        <w:rPr>
          <w:color w:val="000000"/>
          <w:lang w:val="en-US" w:bidi="en-US"/>
        </w:rPr>
        <w:t>URL:</w:t>
      </w:r>
      <w:r>
        <w:rPr>
          <w:color w:val="000000"/>
          <w:lang w:val="en-US" w:bidi="en-US"/>
        </w:rPr>
        <w:tab/>
      </w:r>
      <w:hyperlink r:id="rId21" w:history="1">
        <w:r>
          <w:rPr>
            <w:color w:val="000000"/>
            <w:lang w:val="en-US" w:bidi="en-US"/>
          </w:rPr>
          <w:t>http://www.minregion.gov.ua/wp-</w:t>
        </w:r>
      </w:hyperlink>
    </w:p>
    <w:p w14:paraId="6F6F5710" w14:textId="77777777" w:rsidR="0032152D" w:rsidRPr="00A33B18" w:rsidRDefault="0032152D" w:rsidP="00221AA9">
      <w:pPr>
        <w:pStyle w:val="1"/>
        <w:tabs>
          <w:tab w:val="left" w:pos="993"/>
        </w:tabs>
        <w:spacing w:line="360" w:lineRule="auto"/>
        <w:ind w:firstLine="567"/>
        <w:jc w:val="both"/>
        <w:rPr>
          <w:lang w:val="en-US"/>
        </w:rPr>
      </w:pPr>
      <w:r>
        <w:rPr>
          <w:color w:val="000000"/>
          <w:lang w:val="en-US" w:bidi="en-US"/>
        </w:rPr>
        <w:t xml:space="preserve">content/uploads/2017/06/Analit_Zvit_Spivrobitn.pdf. </w:t>
      </w:r>
      <w:r w:rsidRPr="00A33B18">
        <w:rPr>
          <w:color w:val="000000"/>
          <w:lang w:val="en-US" w:eastAsia="ru-RU" w:bidi="ru-RU"/>
        </w:rPr>
        <w:t>(</w:t>
      </w:r>
      <w:r>
        <w:rPr>
          <w:color w:val="000000"/>
          <w:lang w:eastAsia="ru-RU" w:bidi="ru-RU"/>
        </w:rPr>
        <w:t>дата</w:t>
      </w:r>
      <w:r w:rsidRPr="00A33B18">
        <w:rPr>
          <w:color w:val="000000"/>
          <w:lang w:val="en-US" w:eastAsia="ru-RU" w:bidi="ru-RU"/>
        </w:rPr>
        <w:t xml:space="preserve"> </w:t>
      </w:r>
      <w:r>
        <w:rPr>
          <w:color w:val="000000"/>
          <w:lang w:eastAsia="ru-RU" w:bidi="ru-RU"/>
        </w:rPr>
        <w:t>звернення</w:t>
      </w:r>
      <w:r w:rsidRPr="00A33B18">
        <w:rPr>
          <w:color w:val="000000"/>
          <w:lang w:val="en-US" w:eastAsia="ru-RU" w:bidi="ru-RU"/>
        </w:rPr>
        <w:t xml:space="preserve">: 12 </w:t>
      </w:r>
      <w:r>
        <w:rPr>
          <w:color w:val="000000"/>
          <w:lang w:eastAsia="ru-RU" w:bidi="ru-RU"/>
        </w:rPr>
        <w:t>липня</w:t>
      </w:r>
      <w:r w:rsidRPr="00A33B18">
        <w:rPr>
          <w:color w:val="000000"/>
          <w:lang w:val="en-US" w:eastAsia="ru-RU" w:bidi="ru-RU"/>
        </w:rPr>
        <w:t xml:space="preserve"> 2017 </w:t>
      </w:r>
      <w:r>
        <w:rPr>
          <w:color w:val="000000"/>
          <w:lang w:eastAsia="ru-RU" w:bidi="ru-RU"/>
        </w:rPr>
        <w:t>р</w:t>
      </w:r>
      <w:r w:rsidRPr="00A33B18">
        <w:rPr>
          <w:color w:val="000000"/>
          <w:lang w:val="en-US" w:eastAsia="ru-RU" w:bidi="ru-RU"/>
        </w:rPr>
        <w:t>.).</w:t>
      </w:r>
    </w:p>
    <w:p w14:paraId="1D6BE4B2" w14:textId="77777777" w:rsidR="0032152D" w:rsidRDefault="0032152D" w:rsidP="00221AA9">
      <w:pPr>
        <w:pStyle w:val="1"/>
        <w:numPr>
          <w:ilvl w:val="0"/>
          <w:numId w:val="19"/>
        </w:numPr>
        <w:tabs>
          <w:tab w:val="left" w:pos="993"/>
        </w:tabs>
        <w:spacing w:line="360" w:lineRule="auto"/>
        <w:ind w:firstLine="567"/>
        <w:jc w:val="both"/>
      </w:pPr>
      <w:r>
        <w:rPr>
          <w:color w:val="000000"/>
          <w:lang w:eastAsia="ru-RU" w:bidi="ru-RU"/>
        </w:rPr>
        <w:t>Андрущенко</w:t>
      </w:r>
      <w:r w:rsidRPr="00A33B18">
        <w:rPr>
          <w:color w:val="000000"/>
          <w:lang w:val="en-US" w:eastAsia="ru-RU" w:bidi="ru-RU"/>
        </w:rPr>
        <w:t xml:space="preserve"> </w:t>
      </w:r>
      <w:r>
        <w:rPr>
          <w:color w:val="000000"/>
          <w:lang w:eastAsia="ru-RU" w:bidi="ru-RU"/>
        </w:rPr>
        <w:t>В</w:t>
      </w:r>
      <w:r w:rsidRPr="00A33B18">
        <w:rPr>
          <w:color w:val="000000"/>
          <w:lang w:val="en-US" w:eastAsia="ru-RU" w:bidi="ru-RU"/>
        </w:rPr>
        <w:t xml:space="preserve">. </w:t>
      </w:r>
      <w:r>
        <w:rPr>
          <w:color w:val="000000"/>
          <w:lang w:eastAsia="ru-RU" w:bidi="ru-RU"/>
        </w:rPr>
        <w:t>Л</w:t>
      </w:r>
      <w:r w:rsidRPr="00A33B18">
        <w:rPr>
          <w:color w:val="000000"/>
          <w:lang w:val="en-US" w:eastAsia="ru-RU" w:bidi="ru-RU"/>
        </w:rPr>
        <w:t xml:space="preserve">. </w:t>
      </w:r>
      <w:r>
        <w:rPr>
          <w:color w:val="000000"/>
          <w:lang w:val="uk-UA" w:eastAsia="uk-UA" w:bidi="uk-UA"/>
        </w:rPr>
        <w:t xml:space="preserve">Міжбюджетні відносини </w:t>
      </w:r>
      <w:r>
        <w:rPr>
          <w:color w:val="000000"/>
          <w:lang w:eastAsia="ru-RU" w:bidi="ru-RU"/>
        </w:rPr>
        <w:t>в</w:t>
      </w:r>
      <w:r w:rsidRPr="00A33B18">
        <w:rPr>
          <w:color w:val="000000"/>
          <w:lang w:val="en-US" w:eastAsia="ru-RU" w:bidi="ru-RU"/>
        </w:rPr>
        <w:t xml:space="preserve"> </w:t>
      </w:r>
      <w:r>
        <w:rPr>
          <w:color w:val="000000"/>
          <w:lang w:val="uk-UA" w:eastAsia="uk-UA" w:bidi="uk-UA"/>
        </w:rPr>
        <w:t xml:space="preserve">Україні і міжнародний досвід </w:t>
      </w:r>
      <w:r w:rsidRPr="00A33B18">
        <w:rPr>
          <w:color w:val="000000"/>
          <w:lang w:val="en-US" w:eastAsia="ru-RU" w:bidi="ru-RU"/>
        </w:rPr>
        <w:t xml:space="preserve">// </w:t>
      </w:r>
      <w:r>
        <w:rPr>
          <w:color w:val="000000"/>
          <w:lang w:val="uk-UA" w:eastAsia="uk-UA" w:bidi="uk-UA"/>
        </w:rPr>
        <w:t xml:space="preserve">Збірник </w:t>
      </w:r>
      <w:r>
        <w:rPr>
          <w:color w:val="000000"/>
          <w:lang w:eastAsia="ru-RU" w:bidi="ru-RU"/>
        </w:rPr>
        <w:t>наукових</w:t>
      </w:r>
      <w:r w:rsidRPr="00A33B18">
        <w:rPr>
          <w:color w:val="000000"/>
          <w:lang w:val="en-US" w:eastAsia="ru-RU" w:bidi="ru-RU"/>
        </w:rPr>
        <w:t xml:space="preserve"> </w:t>
      </w:r>
      <w:r>
        <w:rPr>
          <w:color w:val="000000"/>
          <w:lang w:eastAsia="ru-RU" w:bidi="ru-RU"/>
        </w:rPr>
        <w:t>праць</w:t>
      </w:r>
      <w:r w:rsidRPr="00A33B18">
        <w:rPr>
          <w:color w:val="000000"/>
          <w:lang w:val="en-US" w:eastAsia="ru-RU" w:bidi="ru-RU"/>
        </w:rPr>
        <w:t xml:space="preserve"> </w:t>
      </w:r>
      <w:r>
        <w:rPr>
          <w:color w:val="000000"/>
          <w:lang w:val="uk-UA" w:eastAsia="uk-UA" w:bidi="uk-UA"/>
        </w:rPr>
        <w:t xml:space="preserve">Ірпінської фінансово-юридичної академії (економіка, </w:t>
      </w:r>
      <w:r>
        <w:rPr>
          <w:color w:val="000000"/>
          <w:lang w:eastAsia="ru-RU" w:bidi="ru-RU"/>
        </w:rPr>
        <w:t>право</w:t>
      </w:r>
      <w:r w:rsidRPr="00A33B18">
        <w:rPr>
          <w:color w:val="000000"/>
          <w:lang w:val="en-US" w:eastAsia="ru-RU" w:bidi="ru-RU"/>
        </w:rPr>
        <w:t xml:space="preserve">). </w:t>
      </w:r>
      <w:r>
        <w:rPr>
          <w:color w:val="000000"/>
          <w:lang w:eastAsia="ru-RU" w:bidi="ru-RU"/>
        </w:rPr>
        <w:t>2013. Вип. 2. С. 5-10.</w:t>
      </w:r>
    </w:p>
    <w:p w14:paraId="4F313916" w14:textId="77777777" w:rsidR="0032152D" w:rsidRDefault="0032152D" w:rsidP="00221AA9">
      <w:pPr>
        <w:pStyle w:val="1"/>
        <w:numPr>
          <w:ilvl w:val="0"/>
          <w:numId w:val="19"/>
        </w:numPr>
        <w:tabs>
          <w:tab w:val="left" w:pos="993"/>
        </w:tabs>
        <w:spacing w:line="360" w:lineRule="auto"/>
        <w:ind w:firstLine="567"/>
        <w:jc w:val="both"/>
      </w:pPr>
      <w:r>
        <w:rPr>
          <w:color w:val="000000"/>
          <w:lang w:eastAsia="ru-RU" w:bidi="ru-RU"/>
        </w:rPr>
        <w:t xml:space="preserve">Антикризова програма </w:t>
      </w:r>
      <w:r>
        <w:rPr>
          <w:color w:val="000000"/>
          <w:lang w:val="uk-UA" w:eastAsia="uk-UA" w:bidi="uk-UA"/>
        </w:rPr>
        <w:t xml:space="preserve">спільних дій </w:t>
      </w:r>
      <w:r>
        <w:rPr>
          <w:color w:val="000000"/>
          <w:lang w:eastAsia="ru-RU" w:bidi="ru-RU"/>
        </w:rPr>
        <w:t xml:space="preserve">влади та </w:t>
      </w:r>
      <w:r>
        <w:rPr>
          <w:color w:val="000000"/>
          <w:lang w:val="uk-UA" w:eastAsia="uk-UA" w:bidi="uk-UA"/>
        </w:rPr>
        <w:t xml:space="preserve">бізнесу. </w:t>
      </w:r>
      <w:r>
        <w:rPr>
          <w:color w:val="000000"/>
          <w:lang w:eastAsia="ru-RU" w:bidi="ru-RU"/>
        </w:rPr>
        <w:t xml:space="preserve">Програма ухвалена на </w:t>
      </w:r>
      <w:r>
        <w:rPr>
          <w:color w:val="000000"/>
          <w:lang w:val="uk-UA" w:eastAsia="uk-UA" w:bidi="uk-UA"/>
        </w:rPr>
        <w:t xml:space="preserve">засіданні Антикризової </w:t>
      </w:r>
      <w:r>
        <w:rPr>
          <w:color w:val="000000"/>
          <w:lang w:eastAsia="ru-RU" w:bidi="ru-RU"/>
        </w:rPr>
        <w:t xml:space="preserve">ради громадських </w:t>
      </w:r>
      <w:r>
        <w:rPr>
          <w:color w:val="000000"/>
          <w:lang w:val="uk-UA" w:eastAsia="uk-UA" w:bidi="uk-UA"/>
        </w:rPr>
        <w:t xml:space="preserve">організацій України </w:t>
      </w:r>
      <w:r>
        <w:rPr>
          <w:color w:val="000000"/>
          <w:lang w:eastAsia="ru-RU" w:bidi="ru-RU"/>
        </w:rPr>
        <w:t xml:space="preserve">у </w:t>
      </w:r>
      <w:r>
        <w:rPr>
          <w:color w:val="000000"/>
          <w:lang w:val="uk-UA" w:eastAsia="uk-UA" w:bidi="uk-UA"/>
        </w:rPr>
        <w:t xml:space="preserve">грудні </w:t>
      </w:r>
      <w:r>
        <w:rPr>
          <w:color w:val="000000"/>
          <w:lang w:eastAsia="ru-RU" w:bidi="ru-RU"/>
        </w:rPr>
        <w:t xml:space="preserve">2014 р., розширена та доповнена у </w:t>
      </w:r>
      <w:r>
        <w:rPr>
          <w:color w:val="000000"/>
          <w:lang w:val="uk-UA" w:eastAsia="uk-UA" w:bidi="uk-UA"/>
        </w:rPr>
        <w:t xml:space="preserve">квітні </w:t>
      </w:r>
      <w:r>
        <w:rPr>
          <w:color w:val="000000"/>
          <w:lang w:eastAsia="ru-RU" w:bidi="ru-RU"/>
        </w:rPr>
        <w:t xml:space="preserve">2015 р. </w:t>
      </w:r>
      <w:r>
        <w:rPr>
          <w:color w:val="000000"/>
          <w:lang w:val="en-US" w:bidi="en-US"/>
        </w:rPr>
        <w:t>URL</w:t>
      </w:r>
      <w:r w:rsidRPr="00A33B18">
        <w:rPr>
          <w:color w:val="000000"/>
          <w:lang w:bidi="en-US"/>
        </w:rPr>
        <w:t>:</w:t>
      </w:r>
      <w:hyperlink r:id="rId22" w:history="1">
        <w:r>
          <w:rPr>
            <w:color w:val="000000"/>
            <w:lang w:val="en-US" w:bidi="en-US"/>
          </w:rPr>
          <w:t>http</w:t>
        </w:r>
        <w:r w:rsidRPr="00A33B18">
          <w:rPr>
            <w:color w:val="000000"/>
            <w:lang w:bidi="en-US"/>
          </w:rPr>
          <w:t>://</w:t>
        </w:r>
        <w:r>
          <w:rPr>
            <w:color w:val="000000"/>
            <w:lang w:val="en-US" w:bidi="en-US"/>
          </w:rPr>
          <w:t>uspp</w:t>
        </w:r>
        <w:r w:rsidRPr="00A33B18">
          <w:rPr>
            <w:color w:val="000000"/>
            <w:lang w:bidi="en-US"/>
          </w:rPr>
          <w:t>.</w:t>
        </w:r>
        <w:r>
          <w:rPr>
            <w:color w:val="000000"/>
            <w:lang w:val="en-US" w:bidi="en-US"/>
          </w:rPr>
          <w:t>ua</w:t>
        </w:r>
        <w:r w:rsidRPr="00A33B18">
          <w:rPr>
            <w:color w:val="000000"/>
            <w:lang w:bidi="en-US"/>
          </w:rPr>
          <w:t>/</w:t>
        </w:r>
        <w:r>
          <w:rPr>
            <w:color w:val="000000"/>
            <w:lang w:val="en-US" w:bidi="en-US"/>
          </w:rPr>
          <w:t>st</w:t>
        </w:r>
        <w:r w:rsidRPr="00A33B18">
          <w:rPr>
            <w:color w:val="000000"/>
            <w:lang w:bidi="en-US"/>
          </w:rPr>
          <w:t>4</w:t>
        </w:r>
        <w:r>
          <w:rPr>
            <w:color w:val="000000"/>
            <w:lang w:val="en-US" w:bidi="en-US"/>
          </w:rPr>
          <w:t>serydrtyf</w:t>
        </w:r>
        <w:r w:rsidRPr="00A33B18">
          <w:rPr>
            <w:color w:val="000000"/>
            <w:lang w:bidi="en-US"/>
          </w:rPr>
          <w:t>.</w:t>
        </w:r>
        <w:r>
          <w:rPr>
            <w:color w:val="000000"/>
            <w:lang w:val="en-US" w:bidi="en-US"/>
          </w:rPr>
          <w:t>html</w:t>
        </w:r>
      </w:hyperlink>
      <w:r w:rsidRPr="00A33B18">
        <w:rPr>
          <w:color w:val="000000"/>
          <w:lang w:bidi="en-US"/>
        </w:rPr>
        <w:t xml:space="preserve">. </w:t>
      </w:r>
      <w:r>
        <w:rPr>
          <w:color w:val="000000"/>
          <w:lang w:eastAsia="ru-RU" w:bidi="ru-RU"/>
        </w:rPr>
        <w:t>(дата звернення: 2 червня 2018 р.)</w:t>
      </w:r>
    </w:p>
    <w:p w14:paraId="2E67D237" w14:textId="77777777" w:rsidR="0032152D" w:rsidRDefault="0032152D" w:rsidP="00221AA9">
      <w:pPr>
        <w:pStyle w:val="1"/>
        <w:numPr>
          <w:ilvl w:val="0"/>
          <w:numId w:val="19"/>
        </w:numPr>
        <w:tabs>
          <w:tab w:val="left" w:pos="993"/>
          <w:tab w:val="left" w:pos="1371"/>
        </w:tabs>
        <w:spacing w:line="360" w:lineRule="auto"/>
        <w:ind w:firstLine="567"/>
        <w:jc w:val="both"/>
      </w:pPr>
      <w:r>
        <w:rPr>
          <w:color w:val="000000"/>
          <w:lang w:eastAsia="ru-RU" w:bidi="ru-RU"/>
        </w:rPr>
        <w:t xml:space="preserve">Апатов Н. В. </w:t>
      </w:r>
      <w:r>
        <w:rPr>
          <w:color w:val="000000"/>
          <w:lang w:val="uk-UA" w:eastAsia="uk-UA" w:bidi="uk-UA"/>
        </w:rPr>
        <w:t xml:space="preserve">Оцінка ефективності місцевих бюджетів </w:t>
      </w:r>
      <w:r>
        <w:rPr>
          <w:color w:val="000000"/>
          <w:lang w:eastAsia="ru-RU" w:bidi="ru-RU"/>
        </w:rPr>
        <w:t xml:space="preserve">// </w:t>
      </w:r>
      <w:r>
        <w:rPr>
          <w:color w:val="000000"/>
          <w:lang w:val="uk-UA" w:eastAsia="uk-UA" w:bidi="uk-UA"/>
        </w:rPr>
        <w:t xml:space="preserve">Економіка регіонів. </w:t>
      </w:r>
      <w:r>
        <w:rPr>
          <w:color w:val="000000"/>
          <w:lang w:eastAsia="ru-RU" w:bidi="ru-RU"/>
        </w:rPr>
        <w:t>2010. № 4. С. 15-22.</w:t>
      </w:r>
    </w:p>
    <w:p w14:paraId="5FF85DEC" w14:textId="77777777" w:rsidR="0032152D" w:rsidRDefault="0032152D" w:rsidP="00221AA9">
      <w:pPr>
        <w:pStyle w:val="1"/>
        <w:numPr>
          <w:ilvl w:val="0"/>
          <w:numId w:val="19"/>
        </w:numPr>
        <w:tabs>
          <w:tab w:val="left" w:pos="993"/>
          <w:tab w:val="left" w:pos="1366"/>
        </w:tabs>
        <w:spacing w:line="360" w:lineRule="auto"/>
        <w:ind w:firstLine="567"/>
        <w:jc w:val="both"/>
      </w:pPr>
      <w:r>
        <w:rPr>
          <w:color w:val="000000"/>
          <w:lang w:val="uk-UA" w:eastAsia="uk-UA" w:bidi="uk-UA"/>
        </w:rPr>
        <w:t xml:space="preserve">Астіон </w:t>
      </w:r>
      <w:r>
        <w:rPr>
          <w:color w:val="000000"/>
          <w:lang w:eastAsia="ru-RU" w:bidi="ru-RU"/>
        </w:rPr>
        <w:t xml:space="preserve">С. Вдоскоанлення правового регулювання </w:t>
      </w:r>
      <w:r>
        <w:rPr>
          <w:color w:val="000000"/>
          <w:lang w:val="uk-UA" w:eastAsia="uk-UA" w:bidi="uk-UA"/>
        </w:rPr>
        <w:t xml:space="preserve">міжбюджетних відносин </w:t>
      </w:r>
      <w:r>
        <w:rPr>
          <w:color w:val="000000"/>
          <w:lang w:eastAsia="ru-RU" w:bidi="ru-RU"/>
        </w:rPr>
        <w:t xml:space="preserve">в </w:t>
      </w:r>
      <w:r>
        <w:rPr>
          <w:color w:val="000000"/>
          <w:lang w:val="uk-UA" w:eastAsia="uk-UA" w:bidi="uk-UA"/>
        </w:rPr>
        <w:t xml:space="preserve">Україні </w:t>
      </w:r>
      <w:r>
        <w:rPr>
          <w:color w:val="000000"/>
          <w:lang w:eastAsia="ru-RU" w:bidi="ru-RU"/>
        </w:rPr>
        <w:t xml:space="preserve">в сучасних умовах // Национальний юридический журнал: </w:t>
      </w:r>
      <w:r>
        <w:rPr>
          <w:color w:val="000000"/>
          <w:lang w:eastAsia="ru-RU" w:bidi="ru-RU"/>
        </w:rPr>
        <w:lastRenderedPageBreak/>
        <w:t>теория и практика. 2014. №2.С. 63-68.</w:t>
      </w:r>
    </w:p>
    <w:p w14:paraId="56380DAF" w14:textId="77777777" w:rsidR="0032152D" w:rsidRDefault="0032152D" w:rsidP="00221AA9">
      <w:pPr>
        <w:pStyle w:val="1"/>
        <w:numPr>
          <w:ilvl w:val="0"/>
          <w:numId w:val="19"/>
        </w:numPr>
        <w:tabs>
          <w:tab w:val="left" w:pos="993"/>
          <w:tab w:val="left" w:pos="1361"/>
        </w:tabs>
        <w:spacing w:line="360" w:lineRule="auto"/>
        <w:ind w:firstLine="567"/>
        <w:jc w:val="both"/>
      </w:pPr>
      <w:r>
        <w:rPr>
          <w:color w:val="000000"/>
          <w:lang w:eastAsia="ru-RU" w:bidi="ru-RU"/>
        </w:rPr>
        <w:t xml:space="preserve">Баженова Ю. Б. </w:t>
      </w:r>
      <w:r>
        <w:rPr>
          <w:color w:val="000000"/>
          <w:lang w:val="uk-UA" w:eastAsia="uk-UA" w:bidi="uk-UA"/>
        </w:rPr>
        <w:t xml:space="preserve">Стійкий </w:t>
      </w:r>
      <w:r>
        <w:rPr>
          <w:color w:val="000000"/>
          <w:lang w:eastAsia="ru-RU" w:bidi="ru-RU"/>
        </w:rPr>
        <w:t xml:space="preserve">розвиток </w:t>
      </w:r>
      <w:r>
        <w:rPr>
          <w:color w:val="000000"/>
          <w:lang w:val="uk-UA" w:eastAsia="uk-UA" w:bidi="uk-UA"/>
        </w:rPr>
        <w:t xml:space="preserve">економічних </w:t>
      </w:r>
      <w:r>
        <w:rPr>
          <w:color w:val="000000"/>
          <w:lang w:eastAsia="ru-RU" w:bidi="ru-RU"/>
        </w:rPr>
        <w:t xml:space="preserve">систем як основа </w:t>
      </w:r>
      <w:r>
        <w:rPr>
          <w:color w:val="000000"/>
          <w:lang w:val="uk-UA" w:eastAsia="uk-UA" w:bidi="uk-UA"/>
        </w:rPr>
        <w:t xml:space="preserve">макроекономічної стабільності </w:t>
      </w:r>
      <w:r>
        <w:rPr>
          <w:color w:val="000000"/>
          <w:lang w:eastAsia="ru-RU" w:bidi="ru-RU"/>
        </w:rPr>
        <w:t xml:space="preserve">// Формування ринкових </w:t>
      </w:r>
      <w:r>
        <w:rPr>
          <w:color w:val="000000"/>
          <w:lang w:val="uk-UA" w:eastAsia="uk-UA" w:bidi="uk-UA"/>
        </w:rPr>
        <w:t xml:space="preserve">відносин </w:t>
      </w:r>
      <w:r>
        <w:rPr>
          <w:color w:val="000000"/>
          <w:lang w:eastAsia="ru-RU" w:bidi="ru-RU"/>
        </w:rPr>
        <w:t xml:space="preserve">в </w:t>
      </w:r>
      <w:r>
        <w:rPr>
          <w:color w:val="000000"/>
          <w:lang w:val="uk-UA" w:eastAsia="uk-UA" w:bidi="uk-UA"/>
        </w:rPr>
        <w:t xml:space="preserve">Україні. </w:t>
      </w:r>
      <w:r>
        <w:rPr>
          <w:color w:val="000000"/>
          <w:lang w:eastAsia="ru-RU" w:bidi="ru-RU"/>
        </w:rPr>
        <w:t>2009. №1(92). С. 77-82.</w:t>
      </w:r>
    </w:p>
    <w:p w14:paraId="3F71E271" w14:textId="77777777" w:rsidR="0032152D" w:rsidRDefault="0032152D" w:rsidP="00221AA9">
      <w:pPr>
        <w:pStyle w:val="1"/>
        <w:numPr>
          <w:ilvl w:val="0"/>
          <w:numId w:val="19"/>
        </w:numPr>
        <w:tabs>
          <w:tab w:val="left" w:pos="993"/>
          <w:tab w:val="left" w:pos="1356"/>
        </w:tabs>
        <w:spacing w:line="360" w:lineRule="auto"/>
        <w:ind w:firstLine="567"/>
        <w:jc w:val="both"/>
      </w:pPr>
      <w:r>
        <w:rPr>
          <w:color w:val="000000"/>
          <w:lang w:eastAsia="ru-RU" w:bidi="ru-RU"/>
        </w:rPr>
        <w:t xml:space="preserve">Базилевич В. Д. Розвиток </w:t>
      </w:r>
      <w:r>
        <w:rPr>
          <w:color w:val="000000"/>
          <w:lang w:val="uk-UA" w:eastAsia="uk-UA" w:bidi="uk-UA"/>
        </w:rPr>
        <w:t xml:space="preserve">фінансового </w:t>
      </w:r>
      <w:r>
        <w:rPr>
          <w:color w:val="000000"/>
          <w:lang w:eastAsia="ru-RU" w:bidi="ru-RU"/>
        </w:rPr>
        <w:t xml:space="preserve">ринку в сучасних умовах // </w:t>
      </w:r>
      <w:r>
        <w:rPr>
          <w:color w:val="000000"/>
          <w:lang w:val="uk-UA" w:eastAsia="uk-UA" w:bidi="uk-UA"/>
        </w:rPr>
        <w:t xml:space="preserve">Фінанси України. </w:t>
      </w:r>
      <w:r>
        <w:rPr>
          <w:color w:val="000000"/>
          <w:lang w:eastAsia="ru-RU" w:bidi="ru-RU"/>
        </w:rPr>
        <w:t>2009. № 12. С. 5-12.</w:t>
      </w:r>
    </w:p>
    <w:p w14:paraId="0F08EA29" w14:textId="77777777" w:rsidR="0032152D" w:rsidRDefault="0032152D" w:rsidP="00221AA9">
      <w:pPr>
        <w:pStyle w:val="1"/>
        <w:numPr>
          <w:ilvl w:val="0"/>
          <w:numId w:val="19"/>
        </w:numPr>
        <w:tabs>
          <w:tab w:val="left" w:pos="993"/>
          <w:tab w:val="left" w:pos="1361"/>
        </w:tabs>
        <w:spacing w:line="360" w:lineRule="auto"/>
        <w:ind w:firstLine="567"/>
        <w:jc w:val="both"/>
      </w:pPr>
      <w:r>
        <w:rPr>
          <w:color w:val="000000"/>
          <w:lang w:eastAsia="ru-RU" w:bidi="ru-RU"/>
        </w:rPr>
        <w:t xml:space="preserve">Балдич Н. </w:t>
      </w:r>
      <w:r>
        <w:rPr>
          <w:color w:val="000000"/>
          <w:lang w:val="uk-UA" w:eastAsia="uk-UA" w:bidi="uk-UA"/>
        </w:rPr>
        <w:t xml:space="preserve">І. Концептуальні </w:t>
      </w:r>
      <w:r>
        <w:rPr>
          <w:color w:val="000000"/>
          <w:lang w:eastAsia="ru-RU" w:bidi="ru-RU"/>
        </w:rPr>
        <w:t xml:space="preserve">засади </w:t>
      </w:r>
      <w:r>
        <w:rPr>
          <w:color w:val="000000"/>
          <w:lang w:val="uk-UA" w:eastAsia="uk-UA" w:bidi="uk-UA"/>
        </w:rPr>
        <w:t xml:space="preserve">державної політики фінансового вирівнювання місцевих бюджетів </w:t>
      </w:r>
      <w:r>
        <w:rPr>
          <w:color w:val="000000"/>
          <w:lang w:eastAsia="ru-RU" w:bidi="ru-RU"/>
        </w:rPr>
        <w:t xml:space="preserve">// </w:t>
      </w:r>
      <w:r>
        <w:rPr>
          <w:color w:val="000000"/>
          <w:lang w:val="uk-UA" w:eastAsia="uk-UA" w:bidi="uk-UA"/>
        </w:rPr>
        <w:t xml:space="preserve">Вісник </w:t>
      </w:r>
      <w:r>
        <w:rPr>
          <w:color w:val="000000"/>
          <w:lang w:eastAsia="ru-RU" w:bidi="ru-RU"/>
        </w:rPr>
        <w:t>НАДУ. 2005. №1. С. 153-158.</w:t>
      </w:r>
    </w:p>
    <w:p w14:paraId="640BE9F4" w14:textId="77777777" w:rsidR="0032152D" w:rsidRDefault="0032152D" w:rsidP="00221AA9">
      <w:pPr>
        <w:pStyle w:val="1"/>
        <w:numPr>
          <w:ilvl w:val="0"/>
          <w:numId w:val="19"/>
        </w:numPr>
        <w:tabs>
          <w:tab w:val="left" w:pos="993"/>
          <w:tab w:val="left" w:pos="1361"/>
        </w:tabs>
        <w:spacing w:line="360" w:lineRule="auto"/>
        <w:ind w:firstLine="567"/>
        <w:jc w:val="both"/>
      </w:pPr>
      <w:r>
        <w:rPr>
          <w:color w:val="000000"/>
          <w:lang w:eastAsia="ru-RU" w:bidi="ru-RU"/>
        </w:rPr>
        <w:t xml:space="preserve">Батанов О.В. </w:t>
      </w:r>
      <w:r>
        <w:rPr>
          <w:color w:val="000000"/>
          <w:lang w:val="uk-UA" w:eastAsia="uk-UA" w:bidi="uk-UA"/>
        </w:rPr>
        <w:t xml:space="preserve">Муніципальна </w:t>
      </w:r>
      <w:r>
        <w:rPr>
          <w:color w:val="000000"/>
          <w:lang w:eastAsia="ru-RU" w:bidi="ru-RU"/>
        </w:rPr>
        <w:t xml:space="preserve">влада в </w:t>
      </w:r>
      <w:r>
        <w:rPr>
          <w:color w:val="000000"/>
          <w:lang w:val="uk-UA" w:eastAsia="uk-UA" w:bidi="uk-UA"/>
        </w:rPr>
        <w:t xml:space="preserve">Україні: </w:t>
      </w:r>
      <w:r>
        <w:rPr>
          <w:color w:val="000000"/>
          <w:lang w:eastAsia="ru-RU" w:bidi="ru-RU"/>
        </w:rPr>
        <w:t xml:space="preserve">проблеми </w:t>
      </w:r>
      <w:r>
        <w:rPr>
          <w:color w:val="000000"/>
          <w:lang w:val="uk-UA" w:eastAsia="uk-UA" w:bidi="uk-UA"/>
        </w:rPr>
        <w:t xml:space="preserve">теорії </w:t>
      </w:r>
      <w:r>
        <w:rPr>
          <w:color w:val="000000"/>
          <w:lang w:eastAsia="ru-RU" w:bidi="ru-RU"/>
        </w:rPr>
        <w:t>та практики. К.: “Юридична думка”, 2010. 656 с.</w:t>
      </w:r>
    </w:p>
    <w:p w14:paraId="381B2549" w14:textId="77777777" w:rsidR="0032152D" w:rsidRPr="00A33B18" w:rsidRDefault="0032152D" w:rsidP="00221AA9">
      <w:pPr>
        <w:pStyle w:val="1"/>
        <w:numPr>
          <w:ilvl w:val="0"/>
          <w:numId w:val="19"/>
        </w:numPr>
        <w:tabs>
          <w:tab w:val="left" w:pos="993"/>
          <w:tab w:val="left" w:pos="1366"/>
        </w:tabs>
        <w:spacing w:line="360" w:lineRule="auto"/>
        <w:ind w:firstLine="567"/>
        <w:jc w:val="both"/>
        <w:rPr>
          <w:lang w:val="uk-UA"/>
        </w:rPr>
      </w:pPr>
      <w:r>
        <w:rPr>
          <w:color w:val="000000"/>
          <w:lang w:eastAsia="ru-RU" w:bidi="ru-RU"/>
        </w:rPr>
        <w:t xml:space="preserve">Батанов О. В. </w:t>
      </w:r>
      <w:r>
        <w:rPr>
          <w:color w:val="000000"/>
          <w:lang w:val="uk-UA" w:eastAsia="uk-UA" w:bidi="uk-UA"/>
        </w:rPr>
        <w:t xml:space="preserve">Територіальна </w:t>
      </w:r>
      <w:r>
        <w:rPr>
          <w:color w:val="000000"/>
          <w:lang w:eastAsia="ru-RU" w:bidi="ru-RU"/>
        </w:rPr>
        <w:t xml:space="preserve">громада - </w:t>
      </w:r>
      <w:r>
        <w:rPr>
          <w:color w:val="000000"/>
          <w:lang w:val="uk-UA" w:eastAsia="uk-UA" w:bidi="uk-UA"/>
        </w:rPr>
        <w:t xml:space="preserve">первинний суб’єкт муніципальної влади в Україні: поняття та ознаки // Вісник Центральної виборчої комісії. 2008. № 2 (12). </w:t>
      </w:r>
      <w:r>
        <w:rPr>
          <w:color w:val="000000"/>
          <w:lang w:val="en-US" w:bidi="en-US"/>
        </w:rPr>
        <w:t>URL</w:t>
      </w:r>
      <w:r w:rsidRPr="00A33B18">
        <w:rPr>
          <w:color w:val="000000"/>
          <w:lang w:val="uk-UA" w:bidi="en-US"/>
        </w:rPr>
        <w:t xml:space="preserve">: </w:t>
      </w:r>
      <w:hyperlink r:id="rId23" w:history="1">
        <w:r>
          <w:rPr>
            <w:color w:val="000000"/>
            <w:lang w:val="en-US" w:bidi="en-US"/>
          </w:rPr>
          <w:t>http</w:t>
        </w:r>
        <w:r w:rsidRPr="00A33B18">
          <w:rPr>
            <w:color w:val="000000"/>
            <w:lang w:val="uk-UA" w:bidi="en-US"/>
          </w:rPr>
          <w:t>://</w:t>
        </w:r>
        <w:r>
          <w:rPr>
            <w:color w:val="000000"/>
            <w:lang w:val="en-US" w:bidi="en-US"/>
          </w:rPr>
          <w:t>www</w:t>
        </w:r>
        <w:r w:rsidRPr="00A33B18">
          <w:rPr>
            <w:color w:val="000000"/>
            <w:lang w:val="uk-UA" w:bidi="en-US"/>
          </w:rPr>
          <w:t>.</w:t>
        </w:r>
        <w:r>
          <w:rPr>
            <w:color w:val="000000"/>
            <w:lang w:val="en-US" w:bidi="en-US"/>
          </w:rPr>
          <w:t>cvk</w:t>
        </w:r>
        <w:r w:rsidRPr="00A33B18">
          <w:rPr>
            <w:color w:val="000000"/>
            <w:lang w:val="uk-UA" w:bidi="en-US"/>
          </w:rPr>
          <w:t>.</w:t>
        </w:r>
        <w:r>
          <w:rPr>
            <w:color w:val="000000"/>
            <w:lang w:val="en-US" w:bidi="en-US"/>
          </w:rPr>
          <w:t>gov</w:t>
        </w:r>
        <w:r w:rsidRPr="00A33B18">
          <w:rPr>
            <w:color w:val="000000"/>
            <w:lang w:val="uk-UA" w:bidi="en-US"/>
          </w:rPr>
          <w:t>.</w:t>
        </w:r>
        <w:r>
          <w:rPr>
            <w:color w:val="000000"/>
            <w:lang w:val="en-US" w:bidi="en-US"/>
          </w:rPr>
          <w:t>ua</w:t>
        </w:r>
        <w:r w:rsidRPr="00A33B18">
          <w:rPr>
            <w:color w:val="000000"/>
            <w:lang w:val="uk-UA" w:bidi="en-US"/>
          </w:rPr>
          <w:t>/</w:t>
        </w:r>
        <w:r>
          <w:rPr>
            <w:color w:val="000000"/>
            <w:lang w:val="en-US" w:bidi="en-US"/>
          </w:rPr>
          <w:t>visnyk</w:t>
        </w:r>
        <w:r w:rsidRPr="00A33B18">
          <w:rPr>
            <w:color w:val="000000"/>
            <w:lang w:val="uk-UA" w:bidi="en-US"/>
          </w:rPr>
          <w:t>/</w:t>
        </w:r>
        <w:r>
          <w:rPr>
            <w:color w:val="000000"/>
            <w:lang w:val="en-US" w:bidi="en-US"/>
          </w:rPr>
          <w:t>pdf</w:t>
        </w:r>
        <w:r w:rsidRPr="00A33B18">
          <w:rPr>
            <w:color w:val="000000"/>
            <w:lang w:val="uk-UA" w:bidi="en-US"/>
          </w:rPr>
          <w:t>/</w:t>
        </w:r>
      </w:hyperlink>
      <w:r w:rsidRPr="00A33B18">
        <w:rPr>
          <w:color w:val="000000"/>
          <w:lang w:val="uk-UA" w:bidi="en-US"/>
        </w:rPr>
        <w:t xml:space="preserve"> 2008_2/</w:t>
      </w:r>
      <w:r>
        <w:rPr>
          <w:color w:val="000000"/>
          <w:lang w:val="en-US" w:bidi="en-US"/>
        </w:rPr>
        <w:t>visnik</w:t>
      </w:r>
      <w:r w:rsidRPr="00A33B18">
        <w:rPr>
          <w:color w:val="000000"/>
          <w:lang w:val="uk-UA" w:bidi="en-US"/>
        </w:rPr>
        <w:t>_</w:t>
      </w:r>
      <w:r>
        <w:rPr>
          <w:color w:val="000000"/>
          <w:lang w:val="en-US" w:bidi="en-US"/>
        </w:rPr>
        <w:t>st</w:t>
      </w:r>
      <w:r w:rsidRPr="00A33B18">
        <w:rPr>
          <w:color w:val="000000"/>
          <w:lang w:val="uk-UA" w:bidi="en-US"/>
        </w:rPr>
        <w:t>_13.</w:t>
      </w:r>
      <w:r>
        <w:rPr>
          <w:color w:val="000000"/>
          <w:lang w:val="en-US" w:bidi="en-US"/>
        </w:rPr>
        <w:t>pdf</w:t>
      </w:r>
      <w:r w:rsidRPr="00A33B18">
        <w:rPr>
          <w:color w:val="000000"/>
          <w:lang w:val="uk-UA" w:bidi="en-US"/>
        </w:rPr>
        <w:t xml:space="preserve"> </w:t>
      </w:r>
      <w:r>
        <w:rPr>
          <w:color w:val="000000"/>
          <w:lang w:val="uk-UA" w:eastAsia="uk-UA" w:bidi="uk-UA"/>
        </w:rPr>
        <w:t>(дата звернення: 15 жовтня 2014).</w:t>
      </w:r>
    </w:p>
    <w:p w14:paraId="04722DBA" w14:textId="77777777" w:rsidR="0032152D" w:rsidRDefault="0032152D" w:rsidP="00221AA9">
      <w:pPr>
        <w:pStyle w:val="1"/>
        <w:numPr>
          <w:ilvl w:val="0"/>
          <w:numId w:val="19"/>
        </w:numPr>
        <w:tabs>
          <w:tab w:val="left" w:pos="993"/>
          <w:tab w:val="left" w:pos="1366"/>
        </w:tabs>
        <w:spacing w:line="360" w:lineRule="auto"/>
        <w:ind w:firstLine="567"/>
        <w:jc w:val="both"/>
      </w:pPr>
      <w:r>
        <w:rPr>
          <w:color w:val="000000"/>
          <w:lang w:eastAsia="ru-RU" w:bidi="ru-RU"/>
        </w:rPr>
        <w:t xml:space="preserve">Барилюк </w:t>
      </w:r>
      <w:r>
        <w:rPr>
          <w:color w:val="000000"/>
          <w:lang w:val="uk-UA" w:eastAsia="uk-UA" w:bidi="uk-UA"/>
        </w:rPr>
        <w:t xml:space="preserve">І. </w:t>
      </w:r>
      <w:r>
        <w:rPr>
          <w:color w:val="000000"/>
          <w:lang w:eastAsia="ru-RU" w:bidi="ru-RU"/>
        </w:rPr>
        <w:t xml:space="preserve">Рейтингова </w:t>
      </w:r>
      <w:r>
        <w:rPr>
          <w:color w:val="000000"/>
          <w:lang w:val="uk-UA" w:eastAsia="uk-UA" w:bidi="uk-UA"/>
        </w:rPr>
        <w:t xml:space="preserve">оцінка конкурентоспроможності економіки України // Вісник соціально-економічних досліджень : зб. наукових праць. Одеса: Одеський державний економічний університет. 2012. Вип. 47. С. </w:t>
      </w:r>
      <w:r>
        <w:rPr>
          <w:color w:val="000000"/>
          <w:lang w:eastAsia="ru-RU" w:bidi="ru-RU"/>
        </w:rPr>
        <w:t>134</w:t>
      </w:r>
      <w:r>
        <w:rPr>
          <w:color w:val="000000"/>
          <w:lang w:eastAsia="ru-RU" w:bidi="ru-RU"/>
        </w:rPr>
        <w:softHyphen/>
        <w:t>140.</w:t>
      </w:r>
    </w:p>
    <w:p w14:paraId="2B50E1A2" w14:textId="77777777" w:rsidR="0032152D" w:rsidRDefault="0032152D" w:rsidP="00221AA9">
      <w:pPr>
        <w:pStyle w:val="1"/>
        <w:numPr>
          <w:ilvl w:val="0"/>
          <w:numId w:val="19"/>
        </w:numPr>
        <w:tabs>
          <w:tab w:val="left" w:pos="993"/>
          <w:tab w:val="left" w:pos="1371"/>
        </w:tabs>
        <w:spacing w:line="360" w:lineRule="auto"/>
        <w:ind w:firstLine="567"/>
        <w:jc w:val="both"/>
      </w:pPr>
      <w:r>
        <w:rPr>
          <w:color w:val="000000"/>
          <w:lang w:val="uk-UA" w:eastAsia="uk-UA" w:bidi="uk-UA"/>
        </w:rPr>
        <w:t xml:space="preserve">Березіна </w:t>
      </w:r>
      <w:r>
        <w:rPr>
          <w:color w:val="000000"/>
          <w:lang w:eastAsia="ru-RU" w:bidi="ru-RU"/>
        </w:rPr>
        <w:t xml:space="preserve">О. Ю. Сучасний </w:t>
      </w:r>
      <w:r>
        <w:rPr>
          <w:color w:val="000000"/>
          <w:lang w:val="uk-UA" w:eastAsia="uk-UA" w:bidi="uk-UA"/>
        </w:rPr>
        <w:t xml:space="preserve">підхід </w:t>
      </w:r>
      <w:r>
        <w:rPr>
          <w:color w:val="000000"/>
          <w:lang w:eastAsia="ru-RU" w:bidi="ru-RU"/>
        </w:rPr>
        <w:t xml:space="preserve">до визначення </w:t>
      </w:r>
      <w:r>
        <w:rPr>
          <w:color w:val="000000"/>
          <w:lang w:val="uk-UA" w:eastAsia="uk-UA" w:bidi="uk-UA"/>
        </w:rPr>
        <w:t xml:space="preserve">суті капіталізації </w:t>
      </w:r>
      <w:r>
        <w:rPr>
          <w:color w:val="000000"/>
          <w:lang w:eastAsia="ru-RU" w:bidi="ru-RU"/>
        </w:rPr>
        <w:t xml:space="preserve">в рамках </w:t>
      </w:r>
      <w:r>
        <w:rPr>
          <w:color w:val="000000"/>
          <w:lang w:val="uk-UA" w:eastAsia="uk-UA" w:bidi="uk-UA"/>
        </w:rPr>
        <w:t xml:space="preserve">концепції стійкого </w:t>
      </w:r>
      <w:r>
        <w:rPr>
          <w:color w:val="000000"/>
          <w:lang w:eastAsia="ru-RU" w:bidi="ru-RU"/>
        </w:rPr>
        <w:t xml:space="preserve">розвитку // </w:t>
      </w:r>
      <w:r>
        <w:rPr>
          <w:color w:val="000000"/>
          <w:lang w:val="uk-UA" w:eastAsia="uk-UA" w:bidi="uk-UA"/>
        </w:rPr>
        <w:t xml:space="preserve">Економічний простір. </w:t>
      </w:r>
      <w:r>
        <w:rPr>
          <w:color w:val="000000"/>
          <w:lang w:eastAsia="ru-RU" w:bidi="ru-RU"/>
        </w:rPr>
        <w:t>№111. 2016. с. 73</w:t>
      </w:r>
      <w:r>
        <w:rPr>
          <w:color w:val="000000"/>
          <w:lang w:eastAsia="ru-RU" w:bidi="ru-RU"/>
        </w:rPr>
        <w:softHyphen/>
        <w:t>84.</w:t>
      </w:r>
    </w:p>
    <w:p w14:paraId="58ECCC02" w14:textId="77777777" w:rsidR="0032152D" w:rsidRDefault="0032152D" w:rsidP="00221AA9">
      <w:pPr>
        <w:pStyle w:val="1"/>
        <w:numPr>
          <w:ilvl w:val="0"/>
          <w:numId w:val="19"/>
        </w:numPr>
        <w:tabs>
          <w:tab w:val="left" w:pos="993"/>
          <w:tab w:val="left" w:pos="1361"/>
        </w:tabs>
        <w:spacing w:line="360" w:lineRule="auto"/>
        <w:ind w:firstLine="567"/>
        <w:jc w:val="both"/>
      </w:pPr>
      <w:r>
        <w:rPr>
          <w:color w:val="000000"/>
          <w:lang w:eastAsia="ru-RU" w:bidi="ru-RU"/>
        </w:rPr>
        <w:t xml:space="preserve">Бесчастний В.М. </w:t>
      </w:r>
      <w:r>
        <w:rPr>
          <w:color w:val="000000"/>
          <w:lang w:val="uk-UA" w:eastAsia="uk-UA" w:bidi="uk-UA"/>
        </w:rPr>
        <w:t xml:space="preserve">Місцеве </w:t>
      </w:r>
      <w:r>
        <w:rPr>
          <w:color w:val="000000"/>
          <w:lang w:eastAsia="ru-RU" w:bidi="ru-RU"/>
        </w:rPr>
        <w:t xml:space="preserve">самоврядування в </w:t>
      </w:r>
      <w:r>
        <w:rPr>
          <w:color w:val="000000"/>
          <w:lang w:val="uk-UA" w:eastAsia="uk-UA" w:bidi="uk-UA"/>
        </w:rPr>
        <w:t xml:space="preserve">Україні: </w:t>
      </w:r>
      <w:r>
        <w:rPr>
          <w:color w:val="000000"/>
          <w:lang w:eastAsia="ru-RU" w:bidi="ru-RU"/>
        </w:rPr>
        <w:t xml:space="preserve">проблеми та перспективи / за ред. В.М. Бесчастного. Донецьк: Донецький юридичний </w:t>
      </w:r>
      <w:r>
        <w:rPr>
          <w:color w:val="000000"/>
          <w:lang w:val="uk-UA" w:eastAsia="uk-UA" w:bidi="uk-UA"/>
        </w:rPr>
        <w:t xml:space="preserve">інститут </w:t>
      </w:r>
      <w:r>
        <w:rPr>
          <w:color w:val="000000"/>
          <w:lang w:eastAsia="ru-RU" w:bidi="ru-RU"/>
        </w:rPr>
        <w:t xml:space="preserve">при Донецькому </w:t>
      </w:r>
      <w:r>
        <w:rPr>
          <w:color w:val="000000"/>
          <w:lang w:val="uk-UA" w:eastAsia="uk-UA" w:bidi="uk-UA"/>
        </w:rPr>
        <w:t xml:space="preserve">національному університеті. </w:t>
      </w:r>
      <w:r>
        <w:rPr>
          <w:color w:val="000000"/>
          <w:lang w:eastAsia="ru-RU" w:bidi="ru-RU"/>
        </w:rPr>
        <w:t>2005. 579 с.</w:t>
      </w:r>
    </w:p>
    <w:p w14:paraId="0F5B3F7F" w14:textId="77777777" w:rsidR="0032152D" w:rsidRDefault="0032152D" w:rsidP="00221AA9">
      <w:pPr>
        <w:pStyle w:val="1"/>
        <w:numPr>
          <w:ilvl w:val="0"/>
          <w:numId w:val="19"/>
        </w:numPr>
        <w:tabs>
          <w:tab w:val="left" w:pos="993"/>
          <w:tab w:val="left" w:pos="1356"/>
        </w:tabs>
        <w:spacing w:line="360" w:lineRule="auto"/>
        <w:ind w:firstLine="567"/>
        <w:jc w:val="both"/>
      </w:pPr>
      <w:r>
        <w:rPr>
          <w:color w:val="000000"/>
          <w:lang w:eastAsia="ru-RU" w:bidi="ru-RU"/>
        </w:rPr>
        <w:t xml:space="preserve">Безчасний Л. К. Про </w:t>
      </w:r>
      <w:r>
        <w:rPr>
          <w:color w:val="000000"/>
          <w:lang w:val="uk-UA" w:eastAsia="uk-UA" w:bidi="uk-UA"/>
        </w:rPr>
        <w:t xml:space="preserve">методологію пізнання і управління </w:t>
      </w:r>
      <w:r>
        <w:rPr>
          <w:color w:val="000000"/>
          <w:lang w:eastAsia="ru-RU" w:bidi="ru-RU"/>
        </w:rPr>
        <w:t xml:space="preserve">процесом </w:t>
      </w:r>
      <w:r>
        <w:rPr>
          <w:color w:val="000000"/>
          <w:lang w:val="uk-UA" w:eastAsia="uk-UA" w:bidi="uk-UA"/>
        </w:rPr>
        <w:t xml:space="preserve">економічного </w:t>
      </w:r>
      <w:r>
        <w:rPr>
          <w:color w:val="000000"/>
          <w:lang w:eastAsia="ru-RU" w:bidi="ru-RU"/>
        </w:rPr>
        <w:t xml:space="preserve">розвитку // </w:t>
      </w:r>
      <w:r>
        <w:rPr>
          <w:color w:val="000000"/>
          <w:lang w:val="uk-UA" w:eastAsia="uk-UA" w:bidi="uk-UA"/>
        </w:rPr>
        <w:t xml:space="preserve">Актуальні </w:t>
      </w:r>
      <w:r>
        <w:rPr>
          <w:color w:val="000000"/>
          <w:lang w:eastAsia="ru-RU" w:bidi="ru-RU"/>
        </w:rPr>
        <w:t xml:space="preserve">проблеми </w:t>
      </w:r>
      <w:r>
        <w:rPr>
          <w:color w:val="000000"/>
          <w:lang w:val="uk-UA" w:eastAsia="uk-UA" w:bidi="uk-UA"/>
        </w:rPr>
        <w:t xml:space="preserve">економіки. </w:t>
      </w:r>
      <w:r>
        <w:rPr>
          <w:color w:val="000000"/>
          <w:lang w:eastAsia="ru-RU" w:bidi="ru-RU"/>
        </w:rPr>
        <w:t>2001. № 3-4. С. 2-9.</w:t>
      </w:r>
    </w:p>
    <w:p w14:paraId="3A9FABA7" w14:textId="77777777" w:rsidR="0032152D" w:rsidRDefault="0032152D" w:rsidP="00221AA9">
      <w:pPr>
        <w:pStyle w:val="1"/>
        <w:numPr>
          <w:ilvl w:val="0"/>
          <w:numId w:val="19"/>
        </w:numPr>
        <w:tabs>
          <w:tab w:val="left" w:pos="993"/>
          <w:tab w:val="left" w:pos="1366"/>
        </w:tabs>
        <w:spacing w:line="360" w:lineRule="auto"/>
        <w:ind w:firstLine="567"/>
        <w:jc w:val="both"/>
      </w:pPr>
      <w:r>
        <w:rPr>
          <w:color w:val="000000"/>
          <w:lang w:eastAsia="ru-RU" w:bidi="ru-RU"/>
        </w:rPr>
        <w:t xml:space="preserve">Бечко П.К., Боровик П. М., Яценко Я. В. </w:t>
      </w:r>
      <w:r>
        <w:rPr>
          <w:color w:val="000000"/>
          <w:lang w:val="uk-UA" w:eastAsia="uk-UA" w:bidi="uk-UA"/>
        </w:rPr>
        <w:t xml:space="preserve">Недоліки </w:t>
      </w:r>
      <w:r>
        <w:rPr>
          <w:color w:val="000000"/>
          <w:lang w:eastAsia="ru-RU" w:bidi="ru-RU"/>
        </w:rPr>
        <w:t xml:space="preserve">сучасного </w:t>
      </w:r>
      <w:r>
        <w:rPr>
          <w:color w:val="000000"/>
          <w:lang w:val="uk-UA" w:eastAsia="uk-UA" w:bidi="uk-UA"/>
        </w:rPr>
        <w:t xml:space="preserve">вітчизняного механізму </w:t>
      </w:r>
      <w:r>
        <w:rPr>
          <w:color w:val="000000"/>
          <w:lang w:eastAsia="ru-RU" w:bidi="ru-RU"/>
        </w:rPr>
        <w:t xml:space="preserve">справляння акцизного податку // </w:t>
      </w:r>
      <w:r>
        <w:rPr>
          <w:color w:val="000000"/>
          <w:lang w:val="uk-UA" w:eastAsia="uk-UA" w:bidi="uk-UA"/>
        </w:rPr>
        <w:t xml:space="preserve">Таврійський </w:t>
      </w:r>
      <w:r>
        <w:rPr>
          <w:color w:val="000000"/>
          <w:lang w:eastAsia="ru-RU" w:bidi="ru-RU"/>
        </w:rPr>
        <w:t xml:space="preserve">державний </w:t>
      </w:r>
      <w:r>
        <w:rPr>
          <w:color w:val="000000"/>
          <w:lang w:val="uk-UA" w:eastAsia="uk-UA" w:bidi="uk-UA"/>
        </w:rPr>
        <w:t xml:space="preserve">агротехнічний університет. </w:t>
      </w:r>
      <w:r>
        <w:rPr>
          <w:color w:val="000000"/>
          <w:lang w:eastAsia="ru-RU" w:bidi="ru-RU"/>
        </w:rPr>
        <w:t>2013. Т. 22. С. 73-81.</w:t>
      </w:r>
    </w:p>
    <w:p w14:paraId="1A88E835" w14:textId="77777777" w:rsidR="0032152D" w:rsidRDefault="0032152D" w:rsidP="00221AA9">
      <w:pPr>
        <w:pStyle w:val="1"/>
        <w:numPr>
          <w:ilvl w:val="0"/>
          <w:numId w:val="19"/>
        </w:numPr>
        <w:tabs>
          <w:tab w:val="left" w:pos="993"/>
          <w:tab w:val="left" w:pos="1366"/>
        </w:tabs>
        <w:spacing w:line="360" w:lineRule="auto"/>
        <w:ind w:firstLine="567"/>
        <w:jc w:val="both"/>
      </w:pPr>
      <w:r>
        <w:rPr>
          <w:color w:val="000000"/>
          <w:lang w:val="uk-UA" w:eastAsia="uk-UA" w:bidi="uk-UA"/>
        </w:rPr>
        <w:t xml:space="preserve">Біла </w:t>
      </w:r>
      <w:r>
        <w:rPr>
          <w:color w:val="000000"/>
          <w:lang w:eastAsia="ru-RU" w:bidi="ru-RU"/>
        </w:rPr>
        <w:t xml:space="preserve">С.О. Вплив </w:t>
      </w:r>
      <w:r>
        <w:rPr>
          <w:color w:val="000000"/>
          <w:lang w:val="uk-UA" w:eastAsia="uk-UA" w:bidi="uk-UA"/>
        </w:rPr>
        <w:t xml:space="preserve">децентралізації </w:t>
      </w:r>
      <w:r>
        <w:rPr>
          <w:color w:val="000000"/>
          <w:lang w:eastAsia="ru-RU" w:bidi="ru-RU"/>
        </w:rPr>
        <w:t xml:space="preserve">на стимулювання </w:t>
      </w:r>
      <w:r>
        <w:rPr>
          <w:color w:val="000000"/>
          <w:lang w:val="uk-UA" w:eastAsia="uk-UA" w:bidi="uk-UA"/>
        </w:rPr>
        <w:t xml:space="preserve">економічного </w:t>
      </w:r>
      <w:r>
        <w:rPr>
          <w:color w:val="000000"/>
          <w:lang w:eastAsia="ru-RU" w:bidi="ru-RU"/>
        </w:rPr>
        <w:lastRenderedPageBreak/>
        <w:t xml:space="preserve">зростання </w:t>
      </w:r>
      <w:r>
        <w:rPr>
          <w:color w:val="000000"/>
          <w:lang w:val="uk-UA" w:eastAsia="uk-UA" w:bidi="uk-UA"/>
        </w:rPr>
        <w:t xml:space="preserve">територіальних </w:t>
      </w:r>
      <w:r>
        <w:rPr>
          <w:color w:val="000000"/>
          <w:lang w:eastAsia="ru-RU" w:bidi="ru-RU"/>
        </w:rPr>
        <w:t xml:space="preserve">громад в </w:t>
      </w:r>
      <w:r>
        <w:rPr>
          <w:color w:val="000000"/>
          <w:lang w:val="uk-UA" w:eastAsia="uk-UA" w:bidi="uk-UA"/>
        </w:rPr>
        <w:t xml:space="preserve">Україні </w:t>
      </w:r>
      <w:r>
        <w:rPr>
          <w:color w:val="000000"/>
          <w:lang w:eastAsia="ru-RU" w:bidi="ru-RU"/>
        </w:rPr>
        <w:t xml:space="preserve">// </w:t>
      </w:r>
      <w:r>
        <w:rPr>
          <w:color w:val="000000"/>
          <w:lang w:val="uk-UA" w:eastAsia="uk-UA" w:bidi="uk-UA"/>
        </w:rPr>
        <w:t xml:space="preserve">Економіка і </w:t>
      </w:r>
      <w:r>
        <w:rPr>
          <w:color w:val="000000"/>
          <w:lang w:eastAsia="ru-RU" w:bidi="ru-RU"/>
        </w:rPr>
        <w:t>право. Вип. 27. 2015. С. 60-68.</w:t>
      </w:r>
    </w:p>
    <w:p w14:paraId="1140F81F" w14:textId="77777777" w:rsidR="0032152D" w:rsidRDefault="0032152D" w:rsidP="00221AA9">
      <w:pPr>
        <w:pStyle w:val="1"/>
        <w:numPr>
          <w:ilvl w:val="0"/>
          <w:numId w:val="19"/>
        </w:numPr>
        <w:tabs>
          <w:tab w:val="left" w:pos="993"/>
          <w:tab w:val="left" w:pos="1367"/>
        </w:tabs>
        <w:spacing w:line="360" w:lineRule="auto"/>
        <w:ind w:firstLine="567"/>
        <w:jc w:val="both"/>
      </w:pPr>
      <w:r>
        <w:rPr>
          <w:color w:val="000000"/>
          <w:lang w:val="uk-UA" w:eastAsia="uk-UA" w:bidi="uk-UA"/>
        </w:rPr>
        <w:t>Білінський Д. О. Місцеві бюджети як складова публічної фінансової системи // Університетські наукові записки. 2012. № 4 (44). С. 305-308.</w:t>
      </w:r>
    </w:p>
    <w:p w14:paraId="047B7FF4" w14:textId="77777777" w:rsidR="0032152D" w:rsidRDefault="0032152D" w:rsidP="00221AA9">
      <w:pPr>
        <w:pStyle w:val="1"/>
        <w:numPr>
          <w:ilvl w:val="0"/>
          <w:numId w:val="19"/>
        </w:numPr>
        <w:tabs>
          <w:tab w:val="left" w:pos="993"/>
          <w:tab w:val="left" w:pos="1367"/>
        </w:tabs>
        <w:spacing w:line="360" w:lineRule="auto"/>
        <w:ind w:firstLine="567"/>
        <w:jc w:val="both"/>
      </w:pPr>
      <w:r>
        <w:rPr>
          <w:color w:val="000000"/>
          <w:lang w:val="uk-UA" w:eastAsia="uk-UA" w:bidi="uk-UA"/>
        </w:rPr>
        <w:t>Благун І. Г. Генезис та еволюція фінансів у ринковому економічному середовищі // Науковий вісник НЛТУ України. 2013. Вип. 23.18. С. 265-277.</w:t>
      </w:r>
    </w:p>
    <w:p w14:paraId="10E85A15" w14:textId="77777777" w:rsidR="0032152D" w:rsidRDefault="0032152D" w:rsidP="00221AA9">
      <w:pPr>
        <w:pStyle w:val="1"/>
        <w:numPr>
          <w:ilvl w:val="0"/>
          <w:numId w:val="19"/>
        </w:numPr>
        <w:tabs>
          <w:tab w:val="left" w:pos="993"/>
          <w:tab w:val="left" w:pos="1367"/>
        </w:tabs>
        <w:spacing w:line="360" w:lineRule="auto"/>
        <w:ind w:firstLine="567"/>
        <w:jc w:val="both"/>
      </w:pPr>
      <w:r>
        <w:rPr>
          <w:color w:val="000000"/>
          <w:lang w:val="uk-UA" w:eastAsia="uk-UA" w:bidi="uk-UA"/>
        </w:rPr>
        <w:t>Благун І. Г. Генезис теорій податкових фінансів у парадигмі фіскально-бюджетної безпеки держави // Науковий вісник НЛТУ України. 2008. Вип. 19.4. С. 265-273.</w:t>
      </w:r>
    </w:p>
    <w:p w14:paraId="3CD49213" w14:textId="77777777" w:rsidR="0032152D" w:rsidRDefault="0032152D" w:rsidP="00221AA9">
      <w:pPr>
        <w:pStyle w:val="1"/>
        <w:numPr>
          <w:ilvl w:val="0"/>
          <w:numId w:val="19"/>
        </w:numPr>
        <w:tabs>
          <w:tab w:val="left" w:pos="993"/>
          <w:tab w:val="left" w:pos="1362"/>
        </w:tabs>
        <w:spacing w:line="360" w:lineRule="auto"/>
        <w:ind w:firstLine="567"/>
        <w:jc w:val="both"/>
      </w:pPr>
      <w:r>
        <w:rPr>
          <w:color w:val="000000"/>
          <w:lang w:val="uk-UA" w:eastAsia="uk-UA" w:bidi="uk-UA"/>
        </w:rPr>
        <w:t>Бланкарт Ш. Державні фінанси в умовах демократії: Вступ до фінансової науки. К.: Либідь, 2000. 654 с.</w:t>
      </w:r>
    </w:p>
    <w:p w14:paraId="41F4B074" w14:textId="77777777" w:rsidR="0032152D" w:rsidRDefault="0032152D" w:rsidP="00221AA9">
      <w:pPr>
        <w:pStyle w:val="1"/>
        <w:numPr>
          <w:ilvl w:val="0"/>
          <w:numId w:val="19"/>
        </w:numPr>
        <w:tabs>
          <w:tab w:val="left" w:pos="993"/>
          <w:tab w:val="left" w:pos="1372"/>
        </w:tabs>
        <w:spacing w:line="360" w:lineRule="auto"/>
        <w:ind w:firstLine="567"/>
        <w:jc w:val="both"/>
      </w:pPr>
      <w:r>
        <w:rPr>
          <w:color w:val="000000"/>
          <w:lang w:val="uk-UA" w:eastAsia="uk-UA" w:bidi="uk-UA"/>
        </w:rPr>
        <w:t>Бондаренко А. І. Вплив держави на формування місцевих бюджетів у країнах Європи // Теорія та практика державного управління. 2010. Вип. 4. С. 185-192.</w:t>
      </w:r>
    </w:p>
    <w:p w14:paraId="63222BE7" w14:textId="77777777" w:rsidR="0032152D" w:rsidRDefault="0032152D" w:rsidP="00221AA9">
      <w:pPr>
        <w:pStyle w:val="1"/>
        <w:numPr>
          <w:ilvl w:val="0"/>
          <w:numId w:val="19"/>
        </w:numPr>
        <w:tabs>
          <w:tab w:val="left" w:pos="993"/>
          <w:tab w:val="left" w:pos="1367"/>
        </w:tabs>
        <w:spacing w:line="360" w:lineRule="auto"/>
        <w:ind w:firstLine="567"/>
        <w:jc w:val="both"/>
      </w:pPr>
      <w:r>
        <w:rPr>
          <w:color w:val="000000"/>
          <w:lang w:val="uk-UA" w:eastAsia="uk-UA" w:bidi="uk-UA"/>
        </w:rPr>
        <w:t>Боднарук Т. Г. Ефективність трансфертної політики в системі міжбюджетних відносин // Актуальні проблеми економіки. 2008. № 5 (83). С. 146-153.</w:t>
      </w:r>
    </w:p>
    <w:p w14:paraId="30FB2DFC" w14:textId="77777777" w:rsidR="0032152D" w:rsidRDefault="0032152D" w:rsidP="00221AA9">
      <w:pPr>
        <w:pStyle w:val="1"/>
        <w:numPr>
          <w:ilvl w:val="0"/>
          <w:numId w:val="19"/>
        </w:numPr>
        <w:tabs>
          <w:tab w:val="left" w:pos="993"/>
          <w:tab w:val="left" w:pos="1367"/>
        </w:tabs>
        <w:spacing w:line="360" w:lineRule="auto"/>
        <w:ind w:firstLine="567"/>
        <w:jc w:val="both"/>
      </w:pPr>
      <w:r>
        <w:rPr>
          <w:color w:val="000000"/>
          <w:lang w:val="uk-UA" w:eastAsia="uk-UA" w:bidi="uk-UA"/>
        </w:rPr>
        <w:t>Бондарук Т. Г. Місцеве самоврядування та його фінансове забезпечення в Україні. К.: ІЕП НАН України, 2009. 608 с.</w:t>
      </w:r>
    </w:p>
    <w:p w14:paraId="2F1FFA0F" w14:textId="77777777" w:rsidR="0032152D" w:rsidRDefault="0032152D" w:rsidP="00221AA9">
      <w:pPr>
        <w:pStyle w:val="1"/>
        <w:numPr>
          <w:ilvl w:val="0"/>
          <w:numId w:val="19"/>
        </w:numPr>
        <w:tabs>
          <w:tab w:val="left" w:pos="993"/>
          <w:tab w:val="left" w:pos="1377"/>
        </w:tabs>
        <w:spacing w:line="360" w:lineRule="auto"/>
        <w:ind w:firstLine="567"/>
        <w:jc w:val="both"/>
      </w:pPr>
      <w:r>
        <w:rPr>
          <w:color w:val="000000"/>
          <w:lang w:eastAsia="ru-RU" w:bidi="ru-RU"/>
        </w:rPr>
        <w:t xml:space="preserve">Бондарук </w:t>
      </w:r>
      <w:r>
        <w:rPr>
          <w:color w:val="000000"/>
          <w:lang w:val="uk-UA" w:eastAsia="uk-UA" w:bidi="uk-UA"/>
        </w:rPr>
        <w:t>Т. Г. Доходи місцевих бюджетів в умовах децентралізації // Науковий вісник Національної академії статистики, обліку та аудиту. 2015. № 1. С. 51-56.</w:t>
      </w:r>
    </w:p>
    <w:p w14:paraId="78C8DF4C" w14:textId="77777777" w:rsidR="0032152D" w:rsidRDefault="0032152D" w:rsidP="00221AA9">
      <w:pPr>
        <w:pStyle w:val="1"/>
        <w:numPr>
          <w:ilvl w:val="0"/>
          <w:numId w:val="19"/>
        </w:numPr>
        <w:tabs>
          <w:tab w:val="left" w:pos="993"/>
          <w:tab w:val="left" w:pos="1377"/>
        </w:tabs>
        <w:spacing w:line="360" w:lineRule="auto"/>
        <w:ind w:firstLine="567"/>
        <w:jc w:val="both"/>
      </w:pPr>
      <w:r>
        <w:rPr>
          <w:color w:val="000000"/>
          <w:lang w:val="uk-UA" w:eastAsia="uk-UA" w:bidi="uk-UA"/>
        </w:rPr>
        <w:t>Борщевський В. В. Потенціал розвитку і перспективи відродження сільських територій в умовах сучасних реформ : науково-аналітична доповідь // ДУ “Інститут регіональних досліджень імені М.І. Долішнього НАН України”. Львів, 2017. 44 с.</w:t>
      </w:r>
    </w:p>
    <w:p w14:paraId="4D2B5C3F" w14:textId="77777777" w:rsidR="0032152D" w:rsidRDefault="0032152D" w:rsidP="00221AA9">
      <w:pPr>
        <w:pStyle w:val="1"/>
        <w:numPr>
          <w:ilvl w:val="0"/>
          <w:numId w:val="19"/>
        </w:numPr>
        <w:tabs>
          <w:tab w:val="left" w:pos="993"/>
          <w:tab w:val="left" w:pos="1367"/>
        </w:tabs>
        <w:spacing w:line="360" w:lineRule="auto"/>
        <w:ind w:firstLine="567"/>
        <w:jc w:val="both"/>
      </w:pPr>
      <w:r>
        <w:rPr>
          <w:color w:val="000000"/>
          <w:lang w:eastAsia="ru-RU" w:bidi="ru-RU"/>
        </w:rPr>
        <w:t xml:space="preserve">Бюджетний </w:t>
      </w:r>
      <w:r>
        <w:rPr>
          <w:color w:val="000000"/>
          <w:lang w:val="uk-UA" w:eastAsia="uk-UA" w:bidi="uk-UA"/>
        </w:rPr>
        <w:t xml:space="preserve">моніторинг: Аналіз </w:t>
      </w:r>
      <w:r>
        <w:rPr>
          <w:color w:val="000000"/>
          <w:lang w:eastAsia="ru-RU" w:bidi="ru-RU"/>
        </w:rPr>
        <w:t xml:space="preserve">виконання бюджету за 2014 </w:t>
      </w:r>
      <w:r>
        <w:rPr>
          <w:color w:val="000000"/>
          <w:lang w:val="uk-UA" w:eastAsia="uk-UA" w:bidi="uk-UA"/>
        </w:rPr>
        <w:t xml:space="preserve">рік/ </w:t>
      </w:r>
      <w:r>
        <w:rPr>
          <w:color w:val="000000"/>
          <w:lang w:eastAsia="ru-RU" w:bidi="ru-RU"/>
        </w:rPr>
        <w:t xml:space="preserve">Зубенко В.В., Самчинська </w:t>
      </w:r>
      <w:r>
        <w:rPr>
          <w:color w:val="000000"/>
          <w:lang w:val="uk-UA" w:eastAsia="uk-UA" w:bidi="uk-UA"/>
        </w:rPr>
        <w:t xml:space="preserve">І.В., </w:t>
      </w:r>
      <w:r>
        <w:rPr>
          <w:color w:val="000000"/>
          <w:lang w:eastAsia="ru-RU" w:bidi="ru-RU"/>
        </w:rPr>
        <w:t xml:space="preserve">Рудик А.Ю. та </w:t>
      </w:r>
      <w:r>
        <w:rPr>
          <w:color w:val="000000"/>
          <w:lang w:val="uk-UA" w:eastAsia="uk-UA" w:bidi="uk-UA"/>
        </w:rPr>
        <w:t xml:space="preserve">ін. ІБСЕД, </w:t>
      </w:r>
      <w:r w:rsidRPr="00A33B18">
        <w:rPr>
          <w:color w:val="000000"/>
          <w:lang w:val="uk-UA" w:eastAsia="ru-RU" w:bidi="ru-RU"/>
        </w:rPr>
        <w:t xml:space="preserve">Проект </w:t>
      </w:r>
      <w:r>
        <w:rPr>
          <w:color w:val="000000"/>
          <w:lang w:val="uk-UA" w:eastAsia="uk-UA" w:bidi="uk-UA"/>
        </w:rPr>
        <w:t xml:space="preserve">«Зміцнення місцевої фінансової ініціативи (ЗМФІ І-ІІ) </w:t>
      </w:r>
      <w:r w:rsidRPr="00A33B18">
        <w:rPr>
          <w:color w:val="000000"/>
          <w:lang w:val="uk-UA" w:eastAsia="ru-RU" w:bidi="ru-RU"/>
        </w:rPr>
        <w:t xml:space="preserve">впровадження, </w:t>
      </w:r>
      <w:r>
        <w:rPr>
          <w:color w:val="000000"/>
          <w:lang w:val="en-US" w:bidi="en-US"/>
        </w:rPr>
        <w:t>USAID</w:t>
      </w:r>
      <w:r w:rsidRPr="00A33B18">
        <w:rPr>
          <w:color w:val="000000"/>
          <w:lang w:val="uk-UA" w:bidi="en-US"/>
        </w:rPr>
        <w:t xml:space="preserve">. </w:t>
      </w:r>
      <w:r>
        <w:rPr>
          <w:color w:val="000000"/>
          <w:lang w:eastAsia="ru-RU" w:bidi="ru-RU"/>
        </w:rPr>
        <w:t>К., 2015. 84 с.</w:t>
      </w:r>
    </w:p>
    <w:p w14:paraId="137EBD9F" w14:textId="77777777" w:rsidR="0032152D" w:rsidRDefault="0032152D" w:rsidP="00221AA9">
      <w:pPr>
        <w:pStyle w:val="1"/>
        <w:numPr>
          <w:ilvl w:val="0"/>
          <w:numId w:val="19"/>
        </w:numPr>
        <w:tabs>
          <w:tab w:val="left" w:pos="993"/>
          <w:tab w:val="left" w:pos="1367"/>
        </w:tabs>
        <w:spacing w:line="360" w:lineRule="auto"/>
        <w:ind w:firstLine="567"/>
        <w:jc w:val="both"/>
      </w:pPr>
      <w:r>
        <w:rPr>
          <w:color w:val="000000"/>
          <w:lang w:eastAsia="ru-RU" w:bidi="ru-RU"/>
        </w:rPr>
        <w:lastRenderedPageBreak/>
        <w:t xml:space="preserve">Бюджетний </w:t>
      </w:r>
      <w:r>
        <w:rPr>
          <w:color w:val="000000"/>
          <w:lang w:val="uk-UA" w:eastAsia="uk-UA" w:bidi="uk-UA"/>
        </w:rPr>
        <w:t xml:space="preserve">моніторинг: Аналіз </w:t>
      </w:r>
      <w:r>
        <w:rPr>
          <w:color w:val="000000"/>
          <w:lang w:eastAsia="ru-RU" w:bidi="ru-RU"/>
        </w:rPr>
        <w:t xml:space="preserve">виконання бюджету за 2016 </w:t>
      </w:r>
      <w:r>
        <w:rPr>
          <w:color w:val="000000"/>
          <w:lang w:val="uk-UA" w:eastAsia="uk-UA" w:bidi="uk-UA"/>
        </w:rPr>
        <w:t xml:space="preserve">рік </w:t>
      </w:r>
      <w:r>
        <w:rPr>
          <w:color w:val="000000"/>
          <w:lang w:eastAsia="ru-RU" w:bidi="ru-RU"/>
        </w:rPr>
        <w:t xml:space="preserve">/ Зубенко В.В., Самчинська </w:t>
      </w:r>
      <w:r>
        <w:rPr>
          <w:color w:val="000000"/>
          <w:lang w:val="uk-UA" w:eastAsia="uk-UA" w:bidi="uk-UA"/>
        </w:rPr>
        <w:t xml:space="preserve">І.В., </w:t>
      </w:r>
      <w:r>
        <w:rPr>
          <w:color w:val="000000"/>
          <w:lang w:eastAsia="ru-RU" w:bidi="ru-RU"/>
        </w:rPr>
        <w:t xml:space="preserve">Рудик А.Ю. та </w:t>
      </w:r>
      <w:r>
        <w:rPr>
          <w:color w:val="000000"/>
          <w:lang w:val="uk-UA" w:eastAsia="uk-UA" w:bidi="uk-UA"/>
        </w:rPr>
        <w:t xml:space="preserve">ін. ІБСЕД, </w:t>
      </w:r>
      <w:r w:rsidRPr="00A33B18">
        <w:rPr>
          <w:color w:val="000000"/>
          <w:lang w:val="uk-UA" w:eastAsia="ru-RU" w:bidi="ru-RU"/>
        </w:rPr>
        <w:t xml:space="preserve">Проект </w:t>
      </w:r>
      <w:r>
        <w:rPr>
          <w:color w:val="000000"/>
          <w:lang w:val="uk-UA" w:eastAsia="uk-UA" w:bidi="uk-UA"/>
        </w:rPr>
        <w:t xml:space="preserve">«Зміцнення місцевої фінансової ініціативи (ЗМФІ І-ІІ) </w:t>
      </w:r>
      <w:r w:rsidRPr="00A33B18">
        <w:rPr>
          <w:color w:val="000000"/>
          <w:lang w:val="uk-UA" w:eastAsia="ru-RU" w:bidi="ru-RU"/>
        </w:rPr>
        <w:t xml:space="preserve">впровадження, </w:t>
      </w:r>
      <w:r>
        <w:rPr>
          <w:color w:val="000000"/>
          <w:lang w:val="en-US" w:bidi="en-US"/>
        </w:rPr>
        <w:t>USAID</w:t>
      </w:r>
      <w:r w:rsidRPr="00A33B18">
        <w:rPr>
          <w:color w:val="000000"/>
          <w:lang w:val="uk-UA" w:bidi="en-US"/>
        </w:rPr>
        <w:t xml:space="preserve">. </w:t>
      </w:r>
      <w:r>
        <w:rPr>
          <w:color w:val="000000"/>
          <w:lang w:eastAsia="ru-RU" w:bidi="ru-RU"/>
        </w:rPr>
        <w:t>К., 2017. 92 с.</w:t>
      </w:r>
    </w:p>
    <w:p w14:paraId="003D4359" w14:textId="77777777" w:rsidR="0032152D" w:rsidRDefault="0032152D" w:rsidP="00221AA9">
      <w:pPr>
        <w:pStyle w:val="1"/>
        <w:numPr>
          <w:ilvl w:val="0"/>
          <w:numId w:val="19"/>
        </w:numPr>
        <w:tabs>
          <w:tab w:val="left" w:pos="993"/>
          <w:tab w:val="left" w:pos="1372"/>
        </w:tabs>
        <w:spacing w:line="360" w:lineRule="auto"/>
        <w:ind w:firstLine="567"/>
        <w:jc w:val="both"/>
      </w:pPr>
      <w:r>
        <w:rPr>
          <w:color w:val="000000"/>
          <w:lang w:eastAsia="ru-RU" w:bidi="ru-RU"/>
        </w:rPr>
        <w:t xml:space="preserve">Бюджет </w:t>
      </w:r>
      <w:r>
        <w:rPr>
          <w:color w:val="000000"/>
          <w:lang w:val="uk-UA" w:eastAsia="uk-UA" w:bidi="uk-UA"/>
        </w:rPr>
        <w:t xml:space="preserve">України </w:t>
      </w:r>
      <w:r>
        <w:rPr>
          <w:color w:val="000000"/>
          <w:lang w:eastAsia="ru-RU" w:bidi="ru-RU"/>
        </w:rPr>
        <w:t xml:space="preserve">2014. Статистичний </w:t>
      </w:r>
      <w:r>
        <w:rPr>
          <w:color w:val="000000"/>
          <w:lang w:val="uk-UA" w:eastAsia="uk-UA" w:bidi="uk-UA"/>
        </w:rPr>
        <w:t xml:space="preserve">збірник. Міністерство фінансів України. </w:t>
      </w:r>
      <w:r>
        <w:rPr>
          <w:color w:val="000000"/>
          <w:lang w:eastAsia="ru-RU" w:bidi="ru-RU"/>
        </w:rPr>
        <w:t>К.: 2015. 308 с.</w:t>
      </w:r>
    </w:p>
    <w:p w14:paraId="494D64DB" w14:textId="77777777" w:rsidR="0032152D" w:rsidRDefault="0032152D" w:rsidP="00221AA9">
      <w:pPr>
        <w:pStyle w:val="1"/>
        <w:numPr>
          <w:ilvl w:val="0"/>
          <w:numId w:val="19"/>
        </w:numPr>
        <w:tabs>
          <w:tab w:val="left" w:pos="993"/>
          <w:tab w:val="left" w:pos="1372"/>
        </w:tabs>
        <w:spacing w:line="360" w:lineRule="auto"/>
        <w:ind w:firstLine="567"/>
        <w:jc w:val="both"/>
      </w:pPr>
      <w:r>
        <w:rPr>
          <w:color w:val="000000"/>
          <w:lang w:eastAsia="ru-RU" w:bidi="ru-RU"/>
        </w:rPr>
        <w:t xml:space="preserve">Бюджет </w:t>
      </w:r>
      <w:r>
        <w:rPr>
          <w:color w:val="000000"/>
          <w:lang w:val="uk-UA" w:eastAsia="uk-UA" w:bidi="uk-UA"/>
        </w:rPr>
        <w:t xml:space="preserve">України </w:t>
      </w:r>
      <w:r>
        <w:rPr>
          <w:color w:val="000000"/>
          <w:lang w:eastAsia="ru-RU" w:bidi="ru-RU"/>
        </w:rPr>
        <w:t xml:space="preserve">2015. Статистичний </w:t>
      </w:r>
      <w:r>
        <w:rPr>
          <w:color w:val="000000"/>
          <w:lang w:val="uk-UA" w:eastAsia="uk-UA" w:bidi="uk-UA"/>
        </w:rPr>
        <w:t xml:space="preserve">збірник. Міністерство фінансів України. </w:t>
      </w:r>
      <w:r>
        <w:rPr>
          <w:color w:val="000000"/>
          <w:lang w:eastAsia="ru-RU" w:bidi="ru-RU"/>
        </w:rPr>
        <w:t>К.: 2016. 308 с.</w:t>
      </w:r>
    </w:p>
    <w:p w14:paraId="3922EFE4" w14:textId="77777777" w:rsidR="0032152D" w:rsidRPr="00A33B18" w:rsidRDefault="0032152D" w:rsidP="00221AA9">
      <w:pPr>
        <w:pStyle w:val="1"/>
        <w:numPr>
          <w:ilvl w:val="0"/>
          <w:numId w:val="19"/>
        </w:numPr>
        <w:tabs>
          <w:tab w:val="left" w:pos="993"/>
          <w:tab w:val="left" w:pos="1327"/>
        </w:tabs>
        <w:spacing w:line="360" w:lineRule="auto"/>
        <w:ind w:firstLine="567"/>
        <w:jc w:val="both"/>
        <w:rPr>
          <w:lang w:val="uk-UA"/>
        </w:rPr>
      </w:pPr>
      <w:r>
        <w:rPr>
          <w:color w:val="000000"/>
          <w:lang w:val="uk-UA" w:eastAsia="uk-UA" w:bidi="uk-UA"/>
        </w:rPr>
        <w:t xml:space="preserve">Децентралізація. </w:t>
      </w:r>
      <w:r>
        <w:rPr>
          <w:color w:val="000000"/>
          <w:lang w:eastAsia="ru-RU" w:bidi="ru-RU"/>
        </w:rPr>
        <w:t xml:space="preserve">Виконання </w:t>
      </w:r>
      <w:r>
        <w:rPr>
          <w:color w:val="000000"/>
          <w:lang w:val="uk-UA" w:eastAsia="uk-UA" w:bidi="uk-UA"/>
        </w:rPr>
        <w:t xml:space="preserve">доходів місцевих бюджетів </w:t>
      </w:r>
      <w:r>
        <w:rPr>
          <w:color w:val="000000"/>
          <w:lang w:eastAsia="ru-RU" w:bidi="ru-RU"/>
        </w:rPr>
        <w:t xml:space="preserve">за 2016 </w:t>
      </w:r>
      <w:r>
        <w:rPr>
          <w:color w:val="000000"/>
          <w:lang w:val="uk-UA" w:eastAsia="uk-UA" w:bidi="uk-UA"/>
        </w:rPr>
        <w:t xml:space="preserve">рік. Кабінет міністрів України. Міністерство регіонального </w:t>
      </w:r>
      <w:r>
        <w:rPr>
          <w:color w:val="000000"/>
          <w:lang w:eastAsia="ru-RU" w:bidi="ru-RU"/>
        </w:rPr>
        <w:t xml:space="preserve">розвитку, </w:t>
      </w:r>
      <w:r>
        <w:rPr>
          <w:color w:val="000000"/>
          <w:lang w:val="uk-UA" w:eastAsia="uk-UA" w:bidi="uk-UA"/>
        </w:rPr>
        <w:t xml:space="preserve">будівництва </w:t>
      </w:r>
      <w:r>
        <w:rPr>
          <w:color w:val="000000"/>
          <w:lang w:eastAsia="ru-RU" w:bidi="ru-RU"/>
        </w:rPr>
        <w:t xml:space="preserve">та житлово-комунального господарства </w:t>
      </w:r>
      <w:r>
        <w:rPr>
          <w:color w:val="000000"/>
          <w:lang w:val="uk-UA" w:eastAsia="uk-UA" w:bidi="uk-UA"/>
        </w:rPr>
        <w:t xml:space="preserve">України. Міністерство фінансів України. </w:t>
      </w:r>
      <w:r>
        <w:rPr>
          <w:color w:val="000000"/>
          <w:lang w:val="en-US" w:bidi="en-US"/>
        </w:rPr>
        <w:t>URL</w:t>
      </w:r>
      <w:r w:rsidRPr="00A33B18">
        <w:rPr>
          <w:color w:val="000000"/>
          <w:lang w:val="uk-UA" w:bidi="en-US"/>
        </w:rPr>
        <w:t xml:space="preserve">: </w:t>
      </w:r>
      <w:hyperlink r:id="rId24" w:history="1">
        <w:r>
          <w:rPr>
            <w:color w:val="000000"/>
            <w:lang w:val="en-US" w:bidi="en-US"/>
          </w:rPr>
          <w:t>http</w:t>
        </w:r>
        <w:r w:rsidRPr="00A33B18">
          <w:rPr>
            <w:color w:val="000000"/>
            <w:lang w:val="uk-UA" w:bidi="en-US"/>
          </w:rPr>
          <w:t>://</w:t>
        </w:r>
        <w:r>
          <w:rPr>
            <w:color w:val="000000"/>
            <w:lang w:val="en-US" w:bidi="en-US"/>
          </w:rPr>
          <w:t>decentralization</w:t>
        </w:r>
        <w:r w:rsidRPr="00A33B18">
          <w:rPr>
            <w:color w:val="000000"/>
            <w:lang w:val="uk-UA" w:bidi="en-US"/>
          </w:rPr>
          <w:t>.</w:t>
        </w:r>
        <w:r>
          <w:rPr>
            <w:color w:val="000000"/>
            <w:lang w:val="en-US" w:bidi="en-US"/>
          </w:rPr>
          <w:t>gov</w:t>
        </w:r>
        <w:r w:rsidRPr="00A33B18">
          <w:rPr>
            <w:color w:val="000000"/>
            <w:lang w:val="uk-UA" w:bidi="en-US"/>
          </w:rPr>
          <w:t>.</w:t>
        </w:r>
        <w:r>
          <w:rPr>
            <w:color w:val="000000"/>
            <w:lang w:val="en-US" w:bidi="en-US"/>
          </w:rPr>
          <w:t>ua</w:t>
        </w:r>
        <w:r w:rsidRPr="00A33B18">
          <w:rPr>
            <w:color w:val="000000"/>
            <w:lang w:val="uk-UA" w:bidi="en-US"/>
          </w:rPr>
          <w:t>/</w:t>
        </w:r>
        <w:r>
          <w:rPr>
            <w:color w:val="000000"/>
            <w:lang w:val="en-US" w:bidi="en-US"/>
          </w:rPr>
          <w:t>pics</w:t>
        </w:r>
        <w:r w:rsidRPr="00A33B18">
          <w:rPr>
            <w:color w:val="000000"/>
            <w:lang w:val="uk-UA" w:bidi="en-US"/>
          </w:rPr>
          <w:t>/</w:t>
        </w:r>
        <w:r>
          <w:rPr>
            <w:color w:val="000000"/>
            <w:lang w:val="en-US" w:bidi="en-US"/>
          </w:rPr>
          <w:t>attachments</w:t>
        </w:r>
        <w:r w:rsidRPr="00A33B18">
          <w:rPr>
            <w:color w:val="000000"/>
            <w:lang w:val="uk-UA" w:bidi="en-US"/>
          </w:rPr>
          <w:t>/</w:t>
        </w:r>
        <w:r>
          <w:rPr>
            <w:color w:val="000000"/>
            <w:lang w:val="en-US" w:bidi="en-US"/>
          </w:rPr>
          <w:t>MinReg</w:t>
        </w:r>
        <w:r w:rsidRPr="00A33B18">
          <w:rPr>
            <w:color w:val="000000"/>
            <w:lang w:val="uk-UA" w:bidi="en-US"/>
          </w:rPr>
          <w:t>_</w:t>
        </w:r>
        <w:r>
          <w:rPr>
            <w:color w:val="000000"/>
            <w:lang w:val="en-US" w:bidi="en-US"/>
          </w:rPr>
          <w:t>FEB</w:t>
        </w:r>
        <w:r w:rsidRPr="00A33B18">
          <w:rPr>
            <w:color w:val="000000"/>
            <w:lang w:val="uk-UA" w:bidi="en-US"/>
          </w:rPr>
          <w:t xml:space="preserve">-2017- </w:t>
        </w:r>
        <w:r>
          <w:rPr>
            <w:color w:val="000000"/>
            <w:lang w:val="en-US" w:bidi="en-US"/>
          </w:rPr>
          <w:t>mini</w:t>
        </w:r>
        <w:r w:rsidRPr="00A33B18">
          <w:rPr>
            <w:color w:val="000000"/>
            <w:lang w:val="uk-UA" w:bidi="en-US"/>
          </w:rPr>
          <w:t>_(1).</w:t>
        </w:r>
        <w:r>
          <w:rPr>
            <w:color w:val="000000"/>
            <w:lang w:val="en-US" w:bidi="en-US"/>
          </w:rPr>
          <w:t>pdf</w:t>
        </w:r>
      </w:hyperlink>
      <w:r w:rsidRPr="00A33B18">
        <w:rPr>
          <w:color w:val="000000"/>
          <w:lang w:val="uk-UA" w:bidi="en-US"/>
        </w:rPr>
        <w:t xml:space="preserve"> </w:t>
      </w:r>
      <w:r w:rsidRPr="00A33B18">
        <w:rPr>
          <w:color w:val="000000"/>
          <w:lang w:val="uk-UA" w:eastAsia="ru-RU" w:bidi="ru-RU"/>
        </w:rPr>
        <w:t xml:space="preserve">(дата звернення: 5 </w:t>
      </w:r>
      <w:r>
        <w:rPr>
          <w:color w:val="000000"/>
          <w:lang w:val="uk-UA" w:eastAsia="uk-UA" w:bidi="uk-UA"/>
        </w:rPr>
        <w:t xml:space="preserve">квітня </w:t>
      </w:r>
      <w:r w:rsidRPr="00A33B18">
        <w:rPr>
          <w:color w:val="000000"/>
          <w:lang w:val="uk-UA" w:eastAsia="ru-RU" w:bidi="ru-RU"/>
        </w:rPr>
        <w:t>2017).</w:t>
      </w:r>
    </w:p>
    <w:p w14:paraId="0C59C6E3" w14:textId="77777777" w:rsidR="0032152D" w:rsidRDefault="0032152D" w:rsidP="00221AA9">
      <w:pPr>
        <w:pStyle w:val="1"/>
        <w:numPr>
          <w:ilvl w:val="0"/>
          <w:numId w:val="19"/>
        </w:numPr>
        <w:tabs>
          <w:tab w:val="left" w:pos="993"/>
          <w:tab w:val="left" w:pos="1327"/>
        </w:tabs>
        <w:spacing w:line="360" w:lineRule="auto"/>
        <w:ind w:firstLine="567"/>
        <w:jc w:val="both"/>
      </w:pPr>
      <w:r>
        <w:rPr>
          <w:color w:val="000000"/>
          <w:lang w:val="uk-UA" w:eastAsia="uk-UA" w:bidi="uk-UA"/>
        </w:rPr>
        <w:t xml:space="preserve">Децентралізація. Місцеві </w:t>
      </w:r>
      <w:r>
        <w:rPr>
          <w:color w:val="000000"/>
          <w:lang w:eastAsia="ru-RU" w:bidi="ru-RU"/>
        </w:rPr>
        <w:t xml:space="preserve">бюджети 159 </w:t>
      </w:r>
      <w:r>
        <w:rPr>
          <w:color w:val="000000"/>
          <w:lang w:val="uk-UA" w:eastAsia="uk-UA" w:bidi="uk-UA"/>
        </w:rPr>
        <w:t xml:space="preserve">об’єднаних територіальних </w:t>
      </w:r>
      <w:r>
        <w:rPr>
          <w:color w:val="000000"/>
          <w:lang w:eastAsia="ru-RU" w:bidi="ru-RU"/>
        </w:rPr>
        <w:t xml:space="preserve">громад за 2015 </w:t>
      </w:r>
      <w:r>
        <w:rPr>
          <w:color w:val="000000"/>
          <w:lang w:val="uk-UA" w:eastAsia="uk-UA" w:bidi="uk-UA"/>
        </w:rPr>
        <w:t xml:space="preserve">рік. Фінансово-аналітичні матеріали. Кабінет Міністрів України. Міністерство регіонального </w:t>
      </w:r>
      <w:r>
        <w:rPr>
          <w:color w:val="000000"/>
          <w:lang w:eastAsia="ru-RU" w:bidi="ru-RU"/>
        </w:rPr>
        <w:t xml:space="preserve">розвитку, </w:t>
      </w:r>
      <w:r>
        <w:rPr>
          <w:color w:val="000000"/>
          <w:lang w:val="uk-UA" w:eastAsia="uk-UA" w:bidi="uk-UA"/>
        </w:rPr>
        <w:t xml:space="preserve">будівництва </w:t>
      </w:r>
      <w:r>
        <w:rPr>
          <w:color w:val="000000"/>
          <w:lang w:eastAsia="ru-RU" w:bidi="ru-RU"/>
        </w:rPr>
        <w:t xml:space="preserve">та житлово- комунального господарства </w:t>
      </w:r>
      <w:r>
        <w:rPr>
          <w:color w:val="000000"/>
          <w:lang w:val="uk-UA" w:eastAsia="uk-UA" w:bidi="uk-UA"/>
        </w:rPr>
        <w:t xml:space="preserve">України. </w:t>
      </w:r>
      <w:r>
        <w:rPr>
          <w:color w:val="000000"/>
          <w:lang w:eastAsia="ru-RU" w:bidi="ru-RU"/>
        </w:rPr>
        <w:t>282 с.</w:t>
      </w:r>
    </w:p>
    <w:p w14:paraId="6B2FA9C2" w14:textId="77777777" w:rsidR="0032152D" w:rsidRDefault="0032152D" w:rsidP="00221AA9">
      <w:pPr>
        <w:pStyle w:val="1"/>
        <w:numPr>
          <w:ilvl w:val="0"/>
          <w:numId w:val="19"/>
        </w:numPr>
        <w:tabs>
          <w:tab w:val="left" w:pos="993"/>
          <w:tab w:val="left" w:pos="1327"/>
        </w:tabs>
        <w:spacing w:line="360" w:lineRule="auto"/>
        <w:ind w:firstLine="567"/>
        <w:jc w:val="both"/>
      </w:pPr>
      <w:r>
        <w:rPr>
          <w:color w:val="000000"/>
          <w:lang w:val="uk-UA" w:eastAsia="uk-UA" w:bidi="uk-UA"/>
        </w:rPr>
        <w:t xml:space="preserve">Децентралізація. Місцеві </w:t>
      </w:r>
      <w:r>
        <w:rPr>
          <w:color w:val="000000"/>
          <w:lang w:eastAsia="ru-RU" w:bidi="ru-RU"/>
        </w:rPr>
        <w:t xml:space="preserve">бюджети 159 </w:t>
      </w:r>
      <w:r>
        <w:rPr>
          <w:color w:val="000000"/>
          <w:lang w:val="uk-UA" w:eastAsia="uk-UA" w:bidi="uk-UA"/>
        </w:rPr>
        <w:t xml:space="preserve">об’єднаних територіальних </w:t>
      </w:r>
      <w:r>
        <w:rPr>
          <w:color w:val="000000"/>
          <w:lang w:eastAsia="ru-RU" w:bidi="ru-RU"/>
        </w:rPr>
        <w:t xml:space="preserve">громад за 2016 </w:t>
      </w:r>
      <w:r>
        <w:rPr>
          <w:color w:val="000000"/>
          <w:lang w:val="uk-UA" w:eastAsia="uk-UA" w:bidi="uk-UA"/>
        </w:rPr>
        <w:t xml:space="preserve">рік. Фінансово-аналітичні матеріали. Кабінет Міністрів України. Міністерство регіонального </w:t>
      </w:r>
      <w:r>
        <w:rPr>
          <w:color w:val="000000"/>
          <w:lang w:eastAsia="ru-RU" w:bidi="ru-RU"/>
        </w:rPr>
        <w:t xml:space="preserve">розвитку, </w:t>
      </w:r>
      <w:r>
        <w:rPr>
          <w:color w:val="000000"/>
          <w:lang w:val="uk-UA" w:eastAsia="uk-UA" w:bidi="uk-UA"/>
        </w:rPr>
        <w:t xml:space="preserve">будівництва </w:t>
      </w:r>
      <w:r>
        <w:rPr>
          <w:color w:val="000000"/>
          <w:lang w:eastAsia="ru-RU" w:bidi="ru-RU"/>
        </w:rPr>
        <w:t xml:space="preserve">та житлово- комунального господарства </w:t>
      </w:r>
      <w:r>
        <w:rPr>
          <w:color w:val="000000"/>
          <w:lang w:val="uk-UA" w:eastAsia="uk-UA" w:bidi="uk-UA"/>
        </w:rPr>
        <w:t xml:space="preserve">України. </w:t>
      </w:r>
      <w:r>
        <w:rPr>
          <w:color w:val="000000"/>
          <w:lang w:eastAsia="ru-RU" w:bidi="ru-RU"/>
        </w:rPr>
        <w:t>282 с.</w:t>
      </w:r>
    </w:p>
    <w:p w14:paraId="1E9079A1" w14:textId="77777777" w:rsidR="0032152D" w:rsidRDefault="0032152D" w:rsidP="00221AA9">
      <w:pPr>
        <w:pStyle w:val="1"/>
        <w:numPr>
          <w:ilvl w:val="0"/>
          <w:numId w:val="19"/>
        </w:numPr>
        <w:tabs>
          <w:tab w:val="left" w:pos="993"/>
          <w:tab w:val="left" w:pos="1322"/>
        </w:tabs>
        <w:spacing w:line="360" w:lineRule="auto"/>
        <w:ind w:firstLine="567"/>
        <w:jc w:val="both"/>
      </w:pPr>
      <w:r>
        <w:rPr>
          <w:color w:val="000000"/>
          <w:lang w:val="uk-UA" w:eastAsia="uk-UA" w:bidi="uk-UA"/>
        </w:rPr>
        <w:t xml:space="preserve">Децентралізація публічної </w:t>
      </w:r>
      <w:r>
        <w:rPr>
          <w:color w:val="000000"/>
          <w:lang w:eastAsia="ru-RU" w:bidi="ru-RU"/>
        </w:rPr>
        <w:t xml:space="preserve">влади: </w:t>
      </w:r>
      <w:r>
        <w:rPr>
          <w:color w:val="000000"/>
          <w:lang w:val="uk-UA" w:eastAsia="uk-UA" w:bidi="uk-UA"/>
        </w:rPr>
        <w:t xml:space="preserve">досвід європейських країн </w:t>
      </w:r>
      <w:r>
        <w:rPr>
          <w:color w:val="000000"/>
          <w:lang w:eastAsia="ru-RU" w:bidi="ru-RU"/>
        </w:rPr>
        <w:t xml:space="preserve">та перспективи </w:t>
      </w:r>
      <w:r>
        <w:rPr>
          <w:color w:val="000000"/>
          <w:lang w:val="uk-UA" w:eastAsia="uk-UA" w:bidi="uk-UA"/>
        </w:rPr>
        <w:t xml:space="preserve">України </w:t>
      </w:r>
      <w:r>
        <w:rPr>
          <w:color w:val="000000"/>
          <w:lang w:eastAsia="ru-RU" w:bidi="ru-RU"/>
        </w:rPr>
        <w:t xml:space="preserve">/ Бориславська О. М., Заверуха </w:t>
      </w:r>
      <w:r>
        <w:rPr>
          <w:color w:val="000000"/>
          <w:lang w:val="uk-UA" w:eastAsia="uk-UA" w:bidi="uk-UA"/>
        </w:rPr>
        <w:t xml:space="preserve">І. </w:t>
      </w:r>
      <w:r>
        <w:rPr>
          <w:color w:val="000000"/>
          <w:lang w:eastAsia="ru-RU" w:bidi="ru-RU"/>
        </w:rPr>
        <w:t xml:space="preserve">Б., Школик А. М. та </w:t>
      </w:r>
      <w:r>
        <w:rPr>
          <w:color w:val="000000"/>
          <w:lang w:val="uk-UA" w:eastAsia="uk-UA" w:bidi="uk-UA"/>
        </w:rPr>
        <w:t xml:space="preserve">ін.; </w:t>
      </w:r>
      <w:r>
        <w:rPr>
          <w:color w:val="000000"/>
          <w:lang w:eastAsia="ru-RU" w:bidi="ru-RU"/>
        </w:rPr>
        <w:t xml:space="preserve">Центр </w:t>
      </w:r>
      <w:r>
        <w:rPr>
          <w:color w:val="000000"/>
          <w:lang w:val="uk-UA" w:eastAsia="uk-UA" w:bidi="uk-UA"/>
        </w:rPr>
        <w:t xml:space="preserve">політико-правових </w:t>
      </w:r>
      <w:r>
        <w:rPr>
          <w:color w:val="000000"/>
          <w:lang w:eastAsia="ru-RU" w:bidi="ru-RU"/>
        </w:rPr>
        <w:t>реформ. К., Москаленко О. М., 2012. 212 с.</w:t>
      </w:r>
    </w:p>
    <w:p w14:paraId="2796DC99" w14:textId="77777777" w:rsidR="0032152D" w:rsidRDefault="0032152D" w:rsidP="00221AA9">
      <w:pPr>
        <w:pStyle w:val="1"/>
        <w:numPr>
          <w:ilvl w:val="0"/>
          <w:numId w:val="19"/>
        </w:numPr>
        <w:tabs>
          <w:tab w:val="left" w:pos="993"/>
          <w:tab w:val="left" w:pos="1341"/>
        </w:tabs>
        <w:spacing w:line="360" w:lineRule="auto"/>
        <w:ind w:firstLine="567"/>
        <w:jc w:val="both"/>
      </w:pPr>
      <w:r>
        <w:rPr>
          <w:color w:val="000000"/>
          <w:lang w:val="uk-UA" w:eastAsia="uk-UA" w:bidi="uk-UA"/>
        </w:rPr>
        <w:t xml:space="preserve">Деякі </w:t>
      </w:r>
      <w:r>
        <w:rPr>
          <w:color w:val="000000"/>
          <w:lang w:eastAsia="ru-RU" w:bidi="ru-RU"/>
        </w:rPr>
        <w:t xml:space="preserve">питання зарахування частини акцизного податку з виробленого в </w:t>
      </w:r>
      <w:r>
        <w:rPr>
          <w:color w:val="000000"/>
          <w:lang w:val="uk-UA" w:eastAsia="uk-UA" w:bidi="uk-UA"/>
        </w:rPr>
        <w:t xml:space="preserve">Україні </w:t>
      </w:r>
      <w:r>
        <w:rPr>
          <w:color w:val="000000"/>
          <w:lang w:eastAsia="ru-RU" w:bidi="ru-RU"/>
        </w:rPr>
        <w:t xml:space="preserve">та ввезеного на митну </w:t>
      </w:r>
      <w:r>
        <w:rPr>
          <w:color w:val="000000"/>
          <w:lang w:val="uk-UA" w:eastAsia="uk-UA" w:bidi="uk-UA"/>
        </w:rPr>
        <w:t xml:space="preserve">територію України </w:t>
      </w:r>
      <w:r>
        <w:rPr>
          <w:color w:val="000000"/>
          <w:lang w:eastAsia="ru-RU" w:bidi="ru-RU"/>
        </w:rPr>
        <w:t xml:space="preserve">пального до </w:t>
      </w:r>
      <w:r>
        <w:rPr>
          <w:color w:val="000000"/>
          <w:lang w:val="uk-UA" w:eastAsia="uk-UA" w:bidi="uk-UA"/>
        </w:rPr>
        <w:t xml:space="preserve">бюджетів місцевого </w:t>
      </w:r>
      <w:r>
        <w:rPr>
          <w:color w:val="000000"/>
          <w:lang w:eastAsia="ru-RU" w:bidi="ru-RU"/>
        </w:rPr>
        <w:t xml:space="preserve">самоврядування.Постанова </w:t>
      </w:r>
      <w:r>
        <w:rPr>
          <w:color w:val="000000"/>
          <w:lang w:val="uk-UA" w:eastAsia="uk-UA" w:bidi="uk-UA"/>
        </w:rPr>
        <w:t xml:space="preserve">Кабінету міністрів України від </w:t>
      </w:r>
      <w:r>
        <w:rPr>
          <w:color w:val="000000"/>
          <w:lang w:eastAsia="ru-RU" w:bidi="ru-RU"/>
        </w:rPr>
        <w:t xml:space="preserve">8 лютого 2017 р. №96. </w:t>
      </w:r>
      <w:r>
        <w:rPr>
          <w:color w:val="000000"/>
          <w:lang w:val="en-US" w:bidi="en-US"/>
        </w:rPr>
        <w:t>URL</w:t>
      </w:r>
      <w:r w:rsidRPr="00A33B18">
        <w:rPr>
          <w:color w:val="000000"/>
          <w:lang w:bidi="en-US"/>
        </w:rPr>
        <w:t xml:space="preserve">: </w:t>
      </w:r>
      <w:hyperlink r:id="rId25" w:history="1">
        <w:r>
          <w:rPr>
            <w:color w:val="000000"/>
            <w:lang w:val="en-US" w:bidi="en-US"/>
          </w:rPr>
          <w:t>www</w:t>
        </w:r>
        <w:r w:rsidRPr="00A33B18">
          <w:rPr>
            <w:color w:val="000000"/>
            <w:lang w:bidi="en-US"/>
          </w:rPr>
          <w:t>.</w:t>
        </w:r>
        <w:r>
          <w:rPr>
            <w:color w:val="000000"/>
            <w:lang w:val="en-US" w:bidi="en-US"/>
          </w:rPr>
          <w:t>kmu</w:t>
        </w:r>
        <w:r w:rsidRPr="00A33B18">
          <w:rPr>
            <w:color w:val="000000"/>
            <w:lang w:bidi="en-US"/>
          </w:rPr>
          <w:t>.</w:t>
        </w:r>
        <w:r>
          <w:rPr>
            <w:color w:val="000000"/>
            <w:lang w:val="en-US" w:bidi="en-US"/>
          </w:rPr>
          <w:t>gov</w:t>
        </w:r>
        <w:r w:rsidRPr="00A33B18">
          <w:rPr>
            <w:color w:val="000000"/>
            <w:lang w:bidi="en-US"/>
          </w:rPr>
          <w:t>.</w:t>
        </w:r>
        <w:r>
          <w:rPr>
            <w:color w:val="000000"/>
            <w:lang w:val="en-US" w:bidi="en-US"/>
          </w:rPr>
          <w:t>ua</w:t>
        </w:r>
      </w:hyperlink>
      <w:r w:rsidRPr="00A33B18">
        <w:rPr>
          <w:color w:val="000000"/>
          <w:lang w:bidi="en-US"/>
        </w:rPr>
        <w:t xml:space="preserve"> /</w:t>
      </w:r>
      <w:r>
        <w:rPr>
          <w:color w:val="000000"/>
          <w:lang w:val="en-US" w:bidi="en-US"/>
        </w:rPr>
        <w:t>control</w:t>
      </w:r>
      <w:r w:rsidRPr="00A33B18">
        <w:rPr>
          <w:color w:val="000000"/>
          <w:lang w:bidi="en-US"/>
        </w:rPr>
        <w:t>/</w:t>
      </w:r>
      <w:r>
        <w:rPr>
          <w:color w:val="000000"/>
          <w:lang w:val="en-US" w:bidi="en-US"/>
        </w:rPr>
        <w:t>uk</w:t>
      </w:r>
      <w:r w:rsidRPr="00A33B18">
        <w:rPr>
          <w:color w:val="000000"/>
          <w:lang w:bidi="en-US"/>
        </w:rPr>
        <w:t>/</w:t>
      </w:r>
      <w:r>
        <w:rPr>
          <w:color w:val="000000"/>
          <w:lang w:val="en-US" w:bidi="en-US"/>
        </w:rPr>
        <w:t>cardnpd</w:t>
      </w:r>
      <w:r w:rsidRPr="00A33B18">
        <w:rPr>
          <w:color w:val="000000"/>
          <w:lang w:bidi="en-US"/>
        </w:rPr>
        <w:t>?</w:t>
      </w:r>
      <w:r>
        <w:rPr>
          <w:color w:val="000000"/>
          <w:lang w:val="en-US" w:bidi="en-US"/>
        </w:rPr>
        <w:t>docid</w:t>
      </w:r>
      <w:r w:rsidRPr="00A33B18">
        <w:rPr>
          <w:color w:val="000000"/>
          <w:lang w:bidi="en-US"/>
        </w:rPr>
        <w:t xml:space="preserve">=249781472. </w:t>
      </w:r>
      <w:r>
        <w:rPr>
          <w:color w:val="000000"/>
          <w:lang w:eastAsia="ru-RU" w:bidi="ru-RU"/>
        </w:rPr>
        <w:t>(дата звернення: 22 липня 2018 р.).</w:t>
      </w:r>
    </w:p>
    <w:p w14:paraId="61999B84" w14:textId="77777777" w:rsidR="0032152D" w:rsidRDefault="0032152D" w:rsidP="00221AA9">
      <w:pPr>
        <w:pStyle w:val="1"/>
        <w:numPr>
          <w:ilvl w:val="0"/>
          <w:numId w:val="19"/>
        </w:numPr>
        <w:tabs>
          <w:tab w:val="left" w:pos="993"/>
          <w:tab w:val="left" w:pos="1346"/>
        </w:tabs>
        <w:spacing w:line="360" w:lineRule="auto"/>
        <w:ind w:firstLine="567"/>
        <w:jc w:val="both"/>
      </w:pPr>
      <w:r>
        <w:rPr>
          <w:color w:val="000000"/>
          <w:lang w:val="uk-UA" w:eastAsia="uk-UA" w:bidi="uk-UA"/>
        </w:rPr>
        <w:t xml:space="preserve">Деякі питання надання у 2016 році субвенції з державного бюджету </w:t>
      </w:r>
      <w:r>
        <w:rPr>
          <w:color w:val="000000"/>
          <w:lang w:val="uk-UA" w:eastAsia="uk-UA" w:bidi="uk-UA"/>
        </w:rPr>
        <w:lastRenderedPageBreak/>
        <w:t xml:space="preserve">місцевим бюджетам на здійснення заходів щодо соціально-економічного розвитку окремих територій. Кабінет Міністрів України; Постанова, Розподіл, Перелік від 24.06.2016 № 395. </w:t>
      </w:r>
      <w:r>
        <w:rPr>
          <w:color w:val="000000"/>
          <w:lang w:val="en-US" w:bidi="en-US"/>
        </w:rPr>
        <w:t>URL</w:t>
      </w:r>
      <w:r w:rsidRPr="00A33B18">
        <w:rPr>
          <w:color w:val="000000"/>
          <w:lang w:val="uk-UA" w:bidi="en-US"/>
        </w:rPr>
        <w:t xml:space="preserve">: </w:t>
      </w:r>
      <w:hyperlink r:id="rId26" w:history="1">
        <w:r>
          <w:rPr>
            <w:color w:val="000000"/>
            <w:lang w:val="en-US" w:bidi="en-US"/>
          </w:rPr>
          <w:t>http</w:t>
        </w:r>
        <w:r w:rsidRPr="00A33B18">
          <w:rPr>
            <w:color w:val="000000"/>
            <w:lang w:val="uk-UA" w:bidi="en-US"/>
          </w:rPr>
          <w:t>://</w:t>
        </w:r>
        <w:r>
          <w:rPr>
            <w:color w:val="000000"/>
            <w:lang w:val="en-US" w:bidi="en-US"/>
          </w:rPr>
          <w:t>zakon</w:t>
        </w:r>
        <w:r w:rsidRPr="00A33B18">
          <w:rPr>
            <w:color w:val="000000"/>
            <w:lang w:val="uk-UA" w:bidi="en-US"/>
          </w:rPr>
          <w:t>3.</w:t>
        </w:r>
        <w:r>
          <w:rPr>
            <w:color w:val="000000"/>
            <w:lang w:val="en-US" w:bidi="en-US"/>
          </w:rPr>
          <w:t>rada</w:t>
        </w:r>
        <w:r w:rsidRPr="00A33B18">
          <w:rPr>
            <w:color w:val="000000"/>
            <w:lang w:val="uk-UA" w:bidi="en-US"/>
          </w:rPr>
          <w:t>.</w:t>
        </w:r>
        <w:r>
          <w:rPr>
            <w:color w:val="000000"/>
            <w:lang w:val="en-US" w:bidi="en-US"/>
          </w:rPr>
          <w:t>gov</w:t>
        </w:r>
        <w:r w:rsidRPr="00A33B18">
          <w:rPr>
            <w:color w:val="000000"/>
            <w:lang w:val="uk-UA" w:bidi="en-US"/>
          </w:rPr>
          <w:t>.</w:t>
        </w:r>
        <w:r>
          <w:rPr>
            <w:color w:val="000000"/>
            <w:lang w:val="en-US" w:bidi="en-US"/>
          </w:rPr>
          <w:t>ua</w:t>
        </w:r>
      </w:hyperlink>
      <w:r w:rsidRPr="00A33B18">
        <w:rPr>
          <w:color w:val="000000"/>
          <w:lang w:val="uk-UA" w:bidi="en-US"/>
        </w:rPr>
        <w:t xml:space="preserve"> /</w:t>
      </w:r>
      <w:r>
        <w:rPr>
          <w:color w:val="000000"/>
          <w:lang w:val="en-US" w:bidi="en-US"/>
        </w:rPr>
        <w:t>laws</w:t>
      </w:r>
      <w:r w:rsidRPr="00A33B18">
        <w:rPr>
          <w:color w:val="000000"/>
          <w:lang w:val="uk-UA" w:bidi="en-US"/>
        </w:rPr>
        <w:t>/</w:t>
      </w:r>
      <w:r>
        <w:rPr>
          <w:color w:val="000000"/>
          <w:lang w:val="en-US" w:bidi="en-US"/>
        </w:rPr>
        <w:t>show</w:t>
      </w:r>
      <w:r w:rsidRPr="00A33B18">
        <w:rPr>
          <w:color w:val="000000"/>
          <w:lang w:val="uk-UA" w:bidi="en-US"/>
        </w:rPr>
        <w:t xml:space="preserve">/395- </w:t>
      </w:r>
      <w:r>
        <w:rPr>
          <w:color w:val="000000"/>
          <w:lang w:val="uk-UA" w:eastAsia="uk-UA" w:bidi="uk-UA"/>
        </w:rPr>
        <w:t>2016-п/раде. (дата звернення: 4 липня 2018 р.).</w:t>
      </w:r>
    </w:p>
    <w:p w14:paraId="5CF01129" w14:textId="77777777" w:rsidR="0032152D" w:rsidRDefault="0032152D" w:rsidP="00221AA9">
      <w:pPr>
        <w:pStyle w:val="1"/>
        <w:numPr>
          <w:ilvl w:val="0"/>
          <w:numId w:val="19"/>
        </w:numPr>
        <w:tabs>
          <w:tab w:val="left" w:pos="993"/>
          <w:tab w:val="left" w:pos="1336"/>
        </w:tabs>
        <w:spacing w:line="360" w:lineRule="auto"/>
        <w:ind w:firstLine="567"/>
        <w:jc w:val="both"/>
      </w:pPr>
      <w:r>
        <w:rPr>
          <w:color w:val="000000"/>
          <w:lang w:val="uk-UA" w:eastAsia="uk-UA" w:bidi="uk-UA"/>
        </w:rPr>
        <w:t>Джошуа Л. Трансферти вирівнювання та надання соціальних послуг: програма змін // Часопис Парламент. 2006. №2. С. 19-24.</w:t>
      </w:r>
    </w:p>
    <w:p w14:paraId="00CF358E" w14:textId="77777777" w:rsidR="0032152D" w:rsidRDefault="0032152D" w:rsidP="00221AA9">
      <w:pPr>
        <w:pStyle w:val="1"/>
        <w:numPr>
          <w:ilvl w:val="0"/>
          <w:numId w:val="19"/>
        </w:numPr>
        <w:tabs>
          <w:tab w:val="left" w:pos="993"/>
          <w:tab w:val="left" w:pos="1341"/>
        </w:tabs>
        <w:spacing w:line="360" w:lineRule="auto"/>
        <w:ind w:firstLine="567"/>
        <w:jc w:val="both"/>
      </w:pPr>
      <w:r>
        <w:rPr>
          <w:color w:val="000000"/>
          <w:lang w:val="uk-UA" w:eastAsia="uk-UA" w:bidi="uk-UA"/>
        </w:rPr>
        <w:t>Диверсифікація доходів місцевих бюджетів: Монографія. / за ред. д- ра екон. наук І. О. Луніної; НАН України; Ін-т екон. та прогнозув. К., 2010. 320 с.</w:t>
      </w:r>
    </w:p>
    <w:p w14:paraId="28462C07" w14:textId="77777777" w:rsidR="0032152D" w:rsidRDefault="0032152D" w:rsidP="00221AA9">
      <w:pPr>
        <w:pStyle w:val="1"/>
        <w:numPr>
          <w:ilvl w:val="0"/>
          <w:numId w:val="19"/>
        </w:numPr>
        <w:tabs>
          <w:tab w:val="left" w:pos="993"/>
          <w:tab w:val="left" w:pos="1341"/>
        </w:tabs>
        <w:spacing w:line="360" w:lineRule="auto"/>
        <w:ind w:firstLine="567"/>
        <w:jc w:val="both"/>
      </w:pPr>
      <w:r>
        <w:rPr>
          <w:color w:val="000000"/>
          <w:lang w:val="uk-UA" w:eastAsia="uk-UA" w:bidi="uk-UA"/>
        </w:rPr>
        <w:t>Длугопольський О. В. Концептуальні засади функціонування державного сектору у глобальній економіці // Фінанси України. 2008. № 4. С. 11-22.</w:t>
      </w:r>
    </w:p>
    <w:p w14:paraId="2713DF2A" w14:textId="77777777" w:rsidR="0032152D" w:rsidRDefault="0032152D" w:rsidP="00221AA9">
      <w:pPr>
        <w:pStyle w:val="1"/>
        <w:numPr>
          <w:ilvl w:val="0"/>
          <w:numId w:val="19"/>
        </w:numPr>
        <w:tabs>
          <w:tab w:val="left" w:pos="993"/>
          <w:tab w:val="left" w:pos="1341"/>
        </w:tabs>
        <w:spacing w:line="360" w:lineRule="auto"/>
        <w:ind w:firstLine="567"/>
        <w:jc w:val="both"/>
      </w:pPr>
      <w:r>
        <w:rPr>
          <w:color w:val="000000"/>
          <w:lang w:val="uk-UA" w:eastAsia="uk-UA" w:bidi="uk-UA"/>
        </w:rPr>
        <w:t>Долішній М. Деякі підходи до розв’язання проблем удосконалення адміністративно-територіального устрою України // Економіка України. 2006. № 11. С. 4-11.</w:t>
      </w:r>
    </w:p>
    <w:p w14:paraId="40650C56" w14:textId="77777777" w:rsidR="0032152D" w:rsidRDefault="0032152D" w:rsidP="00221AA9">
      <w:pPr>
        <w:pStyle w:val="1"/>
        <w:numPr>
          <w:ilvl w:val="0"/>
          <w:numId w:val="19"/>
        </w:numPr>
        <w:tabs>
          <w:tab w:val="left" w:pos="993"/>
          <w:tab w:val="left" w:pos="1557"/>
        </w:tabs>
        <w:spacing w:line="360" w:lineRule="auto"/>
        <w:ind w:firstLine="567"/>
        <w:jc w:val="both"/>
      </w:pPr>
      <w:r>
        <w:rPr>
          <w:color w:val="000000"/>
          <w:lang w:eastAsia="ru-RU" w:bidi="ru-RU"/>
        </w:rPr>
        <w:t xml:space="preserve">Кириленко О. Етапи розвитку </w:t>
      </w:r>
      <w:r>
        <w:rPr>
          <w:color w:val="000000"/>
          <w:lang w:val="uk-UA" w:eastAsia="uk-UA" w:bidi="uk-UA"/>
        </w:rPr>
        <w:t xml:space="preserve">місцевих бюджетів України </w:t>
      </w:r>
      <w:r>
        <w:rPr>
          <w:color w:val="000000"/>
          <w:lang w:eastAsia="ru-RU" w:bidi="ru-RU"/>
        </w:rPr>
        <w:t xml:space="preserve">/ О. Кириленко // </w:t>
      </w:r>
      <w:r>
        <w:rPr>
          <w:color w:val="000000"/>
          <w:lang w:val="uk-UA" w:eastAsia="uk-UA" w:bidi="uk-UA"/>
        </w:rPr>
        <w:t xml:space="preserve">Фінанси України. - 2006. - №4. - </w:t>
      </w:r>
      <w:r>
        <w:rPr>
          <w:color w:val="000000"/>
          <w:lang w:eastAsia="ru-RU" w:bidi="ru-RU"/>
        </w:rPr>
        <w:t xml:space="preserve">С. </w:t>
      </w:r>
      <w:r>
        <w:rPr>
          <w:color w:val="000000"/>
          <w:lang w:val="uk-UA" w:eastAsia="uk-UA" w:bidi="uk-UA"/>
        </w:rPr>
        <w:t>22-28.</w:t>
      </w:r>
    </w:p>
    <w:p w14:paraId="7F9718AA" w14:textId="77777777" w:rsidR="0032152D" w:rsidRDefault="0032152D" w:rsidP="00221AA9">
      <w:pPr>
        <w:pStyle w:val="1"/>
        <w:numPr>
          <w:ilvl w:val="0"/>
          <w:numId w:val="19"/>
        </w:numPr>
        <w:tabs>
          <w:tab w:val="left" w:pos="993"/>
          <w:tab w:val="left" w:pos="1557"/>
        </w:tabs>
        <w:spacing w:line="360" w:lineRule="auto"/>
        <w:ind w:firstLine="567"/>
        <w:jc w:val="both"/>
      </w:pPr>
      <w:r>
        <w:rPr>
          <w:color w:val="000000"/>
          <w:lang w:eastAsia="ru-RU" w:bidi="ru-RU"/>
        </w:rPr>
        <w:t xml:space="preserve">Кириленко О. П. </w:t>
      </w:r>
      <w:r>
        <w:rPr>
          <w:color w:val="000000"/>
          <w:lang w:val="uk-UA" w:eastAsia="uk-UA" w:bidi="uk-UA"/>
        </w:rPr>
        <w:t xml:space="preserve">Місцеві </w:t>
      </w:r>
      <w:r>
        <w:rPr>
          <w:color w:val="000000"/>
          <w:lang w:eastAsia="ru-RU" w:bidi="ru-RU"/>
        </w:rPr>
        <w:t xml:space="preserve">бюджети </w:t>
      </w:r>
      <w:r>
        <w:rPr>
          <w:color w:val="000000"/>
          <w:lang w:val="uk-UA" w:eastAsia="uk-UA" w:bidi="uk-UA"/>
        </w:rPr>
        <w:t xml:space="preserve">України (історія, теорія, </w:t>
      </w:r>
      <w:r>
        <w:rPr>
          <w:color w:val="000000"/>
          <w:lang w:eastAsia="ru-RU" w:bidi="ru-RU"/>
        </w:rPr>
        <w:t xml:space="preserve">практика). К.: </w:t>
      </w:r>
      <w:r>
        <w:rPr>
          <w:color w:val="000000"/>
          <w:lang w:val="uk-UA" w:eastAsia="uk-UA" w:bidi="uk-UA"/>
        </w:rPr>
        <w:t xml:space="preserve">НІОС, </w:t>
      </w:r>
      <w:r>
        <w:rPr>
          <w:color w:val="000000"/>
          <w:lang w:eastAsia="ru-RU" w:bidi="ru-RU"/>
        </w:rPr>
        <w:t>2000. С. 322.</w:t>
      </w:r>
    </w:p>
    <w:p w14:paraId="629A3CF9" w14:textId="77777777" w:rsidR="0032152D" w:rsidRDefault="0032152D" w:rsidP="00221AA9">
      <w:pPr>
        <w:pStyle w:val="1"/>
        <w:numPr>
          <w:ilvl w:val="0"/>
          <w:numId w:val="19"/>
        </w:numPr>
        <w:tabs>
          <w:tab w:val="left" w:pos="993"/>
          <w:tab w:val="left" w:pos="1557"/>
        </w:tabs>
        <w:spacing w:line="360" w:lineRule="auto"/>
        <w:ind w:firstLine="567"/>
        <w:jc w:val="both"/>
      </w:pPr>
      <w:r>
        <w:rPr>
          <w:color w:val="000000"/>
          <w:lang w:val="uk-UA" w:eastAsia="uk-UA" w:bidi="uk-UA"/>
        </w:rPr>
        <w:t xml:space="preserve">Класифікація організаційно-правових </w:t>
      </w:r>
      <w:r>
        <w:rPr>
          <w:color w:val="000000"/>
          <w:lang w:eastAsia="ru-RU" w:bidi="ru-RU"/>
        </w:rPr>
        <w:t xml:space="preserve">форм господарювання. Наказ Держспоживстандарту </w:t>
      </w:r>
      <w:r>
        <w:rPr>
          <w:color w:val="000000"/>
          <w:lang w:val="uk-UA" w:eastAsia="uk-UA" w:bidi="uk-UA"/>
        </w:rPr>
        <w:t xml:space="preserve">України </w:t>
      </w:r>
      <w:r>
        <w:rPr>
          <w:color w:val="000000"/>
          <w:lang w:eastAsia="ru-RU" w:bidi="ru-RU"/>
        </w:rPr>
        <w:t xml:space="preserve">№ 97 </w:t>
      </w:r>
      <w:r>
        <w:rPr>
          <w:color w:val="000000"/>
          <w:lang w:val="uk-UA" w:eastAsia="uk-UA" w:bidi="uk-UA"/>
        </w:rPr>
        <w:t xml:space="preserve">від </w:t>
      </w:r>
      <w:r>
        <w:rPr>
          <w:color w:val="000000"/>
          <w:lang w:eastAsia="ru-RU" w:bidi="ru-RU"/>
        </w:rPr>
        <w:t xml:space="preserve">28.05.2004 р. </w:t>
      </w:r>
      <w:r>
        <w:rPr>
          <w:color w:val="000000"/>
          <w:lang w:val="en-US" w:bidi="en-US"/>
        </w:rPr>
        <w:t>URL</w:t>
      </w:r>
      <w:r w:rsidRPr="00A33B18">
        <w:rPr>
          <w:color w:val="000000"/>
          <w:lang w:bidi="en-US"/>
        </w:rPr>
        <w:t xml:space="preserve">: </w:t>
      </w:r>
      <w:hyperlink r:id="rId27" w:history="1">
        <w:r>
          <w:rPr>
            <w:color w:val="000000"/>
            <w:lang w:val="en-US" w:bidi="en-US"/>
          </w:rPr>
          <w:t>http</w:t>
        </w:r>
        <w:r w:rsidRPr="00A33B18">
          <w:rPr>
            <w:color w:val="000000"/>
            <w:lang w:bidi="en-US"/>
          </w:rPr>
          <w:t>://</w:t>
        </w:r>
        <w:r>
          <w:rPr>
            <w:color w:val="000000"/>
            <w:lang w:val="en-US" w:bidi="en-US"/>
          </w:rPr>
          <w:t>www</w:t>
        </w:r>
        <w:r w:rsidRPr="00A33B18">
          <w:rPr>
            <w:color w:val="000000"/>
            <w:lang w:bidi="en-US"/>
          </w:rPr>
          <w:t>.</w:t>
        </w:r>
        <w:r>
          <w:rPr>
            <w:color w:val="000000"/>
            <w:lang w:val="en-US" w:bidi="en-US"/>
          </w:rPr>
          <w:t>ukrstat</w:t>
        </w:r>
        <w:r w:rsidRPr="00A33B18">
          <w:rPr>
            <w:color w:val="000000"/>
            <w:lang w:bidi="en-US"/>
          </w:rPr>
          <w:t>.</w:t>
        </w:r>
        <w:r>
          <w:rPr>
            <w:color w:val="000000"/>
            <w:lang w:val="en-US" w:bidi="en-US"/>
          </w:rPr>
          <w:t>gov</w:t>
        </w:r>
        <w:r w:rsidRPr="00A33B18">
          <w:rPr>
            <w:color w:val="000000"/>
            <w:lang w:bidi="en-US"/>
          </w:rPr>
          <w:t>.</w:t>
        </w:r>
        <w:r>
          <w:rPr>
            <w:color w:val="000000"/>
            <w:lang w:val="en-US" w:bidi="en-US"/>
          </w:rPr>
          <w:t>ua</w:t>
        </w:r>
        <w:r w:rsidRPr="00A33B18">
          <w:rPr>
            <w:color w:val="000000"/>
            <w:lang w:bidi="en-US"/>
          </w:rPr>
          <w:t>/</w:t>
        </w:r>
        <w:r>
          <w:rPr>
            <w:color w:val="000000"/>
            <w:lang w:val="en-US" w:bidi="en-US"/>
          </w:rPr>
          <w:t>klasf</w:t>
        </w:r>
        <w:r w:rsidRPr="00A33B18">
          <w:rPr>
            <w:color w:val="000000"/>
            <w:lang w:bidi="en-US"/>
          </w:rPr>
          <w:t>/</w:t>
        </w:r>
        <w:r>
          <w:rPr>
            <w:color w:val="000000"/>
            <w:lang w:val="en-US" w:bidi="en-US"/>
          </w:rPr>
          <w:t>nac</w:t>
        </w:r>
        <w:r w:rsidRPr="00A33B18">
          <w:rPr>
            <w:color w:val="000000"/>
            <w:lang w:bidi="en-US"/>
          </w:rPr>
          <w:t>_</w:t>
        </w:r>
        <w:r>
          <w:rPr>
            <w:color w:val="000000"/>
            <w:lang w:val="en-US" w:bidi="en-US"/>
          </w:rPr>
          <w:t>kls</w:t>
        </w:r>
        <w:r w:rsidRPr="00A33B18">
          <w:rPr>
            <w:color w:val="000000"/>
            <w:lang w:bidi="en-US"/>
          </w:rPr>
          <w:t>/</w:t>
        </w:r>
        <w:r>
          <w:rPr>
            <w:color w:val="000000"/>
            <w:lang w:val="en-US" w:bidi="en-US"/>
          </w:rPr>
          <w:t>op</w:t>
        </w:r>
        <w:r w:rsidRPr="00A33B18">
          <w:rPr>
            <w:color w:val="000000"/>
            <w:lang w:bidi="en-US"/>
          </w:rPr>
          <w:t>_</w:t>
        </w:r>
        <w:r>
          <w:rPr>
            <w:color w:val="000000"/>
            <w:lang w:val="en-US" w:bidi="en-US"/>
          </w:rPr>
          <w:t>dk</w:t>
        </w:r>
        <w:r w:rsidRPr="00A33B18">
          <w:rPr>
            <w:color w:val="000000"/>
            <w:lang w:bidi="en-US"/>
          </w:rPr>
          <w:t>002_2016.</w:t>
        </w:r>
        <w:r>
          <w:rPr>
            <w:color w:val="000000"/>
            <w:lang w:val="en-US" w:bidi="en-US"/>
          </w:rPr>
          <w:t>htm</w:t>
        </w:r>
      </w:hyperlink>
      <w:r w:rsidRPr="00A33B18">
        <w:rPr>
          <w:color w:val="000000"/>
          <w:lang w:bidi="en-US"/>
        </w:rPr>
        <w:t xml:space="preserve">. </w:t>
      </w:r>
      <w:r>
        <w:rPr>
          <w:color w:val="000000"/>
          <w:lang w:eastAsia="ru-RU" w:bidi="ru-RU"/>
        </w:rPr>
        <w:t>(дата звернення: 12 липня 2016 р.).</w:t>
      </w:r>
    </w:p>
    <w:p w14:paraId="5222092D" w14:textId="77777777" w:rsidR="0032152D" w:rsidRDefault="0032152D" w:rsidP="00221AA9">
      <w:pPr>
        <w:pStyle w:val="1"/>
        <w:numPr>
          <w:ilvl w:val="0"/>
          <w:numId w:val="19"/>
        </w:numPr>
        <w:tabs>
          <w:tab w:val="left" w:pos="993"/>
          <w:tab w:val="left" w:pos="1557"/>
        </w:tabs>
        <w:spacing w:line="360" w:lineRule="auto"/>
        <w:ind w:firstLine="567"/>
        <w:jc w:val="both"/>
      </w:pPr>
      <w:r>
        <w:rPr>
          <w:color w:val="000000"/>
          <w:lang w:val="uk-UA" w:eastAsia="uk-UA" w:bidi="uk-UA"/>
        </w:rPr>
        <w:t xml:space="preserve">Кміть В.М. Роль фіскальної політики України в умовах глобалізації // Науковий вісник Чернівецького національного університету: Збірник наукових праць. Вип. 650-652., 2013. </w:t>
      </w:r>
      <w:r>
        <w:rPr>
          <w:color w:val="000000"/>
          <w:lang w:val="en-US" w:bidi="en-US"/>
        </w:rPr>
        <w:t xml:space="preserve">C. </w:t>
      </w:r>
      <w:r>
        <w:rPr>
          <w:color w:val="000000"/>
          <w:lang w:val="uk-UA" w:eastAsia="uk-UA" w:bidi="uk-UA"/>
        </w:rPr>
        <w:t>118-128.</w:t>
      </w:r>
    </w:p>
    <w:p w14:paraId="7EC6F2B0" w14:textId="77777777" w:rsidR="0032152D" w:rsidRDefault="0032152D" w:rsidP="00221AA9">
      <w:pPr>
        <w:pStyle w:val="1"/>
        <w:numPr>
          <w:ilvl w:val="0"/>
          <w:numId w:val="19"/>
        </w:numPr>
        <w:tabs>
          <w:tab w:val="left" w:pos="993"/>
          <w:tab w:val="left" w:pos="1557"/>
        </w:tabs>
        <w:spacing w:line="360" w:lineRule="auto"/>
        <w:ind w:firstLine="567"/>
        <w:jc w:val="both"/>
      </w:pPr>
      <w:r>
        <w:rPr>
          <w:color w:val="000000"/>
          <w:lang w:val="uk-UA" w:eastAsia="uk-UA" w:bidi="uk-UA"/>
        </w:rPr>
        <w:t>Кміть В.М. Оцінка національної системи адміністрування податків та шляхи її оптимізації // Вісник Львівського університету. Серія економічна. Випуск 47. Львів: ЛНУ імені Івана Франка, 2012. С. 217-231.</w:t>
      </w:r>
    </w:p>
    <w:p w14:paraId="315946FE" w14:textId="77777777" w:rsidR="0032152D" w:rsidRDefault="0032152D" w:rsidP="00221AA9">
      <w:pPr>
        <w:pStyle w:val="1"/>
        <w:numPr>
          <w:ilvl w:val="0"/>
          <w:numId w:val="19"/>
        </w:numPr>
        <w:tabs>
          <w:tab w:val="left" w:pos="993"/>
          <w:tab w:val="left" w:pos="1557"/>
        </w:tabs>
        <w:spacing w:line="360" w:lineRule="auto"/>
        <w:ind w:firstLine="567"/>
        <w:jc w:val="both"/>
      </w:pPr>
      <w:r>
        <w:rPr>
          <w:color w:val="000000"/>
          <w:lang w:val="uk-UA" w:eastAsia="uk-UA" w:bidi="uk-UA"/>
        </w:rPr>
        <w:t xml:space="preserve">Коваленко В.М., Нестор О.Ю. Бюджетування як інструмент </w:t>
      </w:r>
      <w:r>
        <w:rPr>
          <w:color w:val="000000"/>
          <w:lang w:val="uk-UA" w:eastAsia="uk-UA" w:bidi="uk-UA"/>
        </w:rPr>
        <w:lastRenderedPageBreak/>
        <w:t>підвищення ефективності управління підприємством // Культура народов Причерноморья. 2012. № 248. С. 72-75.</w:t>
      </w:r>
    </w:p>
    <w:p w14:paraId="49055E42" w14:textId="77777777" w:rsidR="0032152D" w:rsidRDefault="0032152D" w:rsidP="00221AA9">
      <w:pPr>
        <w:pStyle w:val="1"/>
        <w:numPr>
          <w:ilvl w:val="0"/>
          <w:numId w:val="19"/>
        </w:numPr>
        <w:tabs>
          <w:tab w:val="left" w:pos="993"/>
          <w:tab w:val="left" w:pos="1557"/>
        </w:tabs>
        <w:spacing w:line="360" w:lineRule="auto"/>
        <w:ind w:firstLine="567"/>
        <w:jc w:val="both"/>
      </w:pPr>
      <w:r>
        <w:rPr>
          <w:color w:val="000000"/>
          <w:lang w:val="uk-UA" w:eastAsia="uk-UA" w:bidi="uk-UA"/>
        </w:rPr>
        <w:t xml:space="preserve">Новіков О.Є., </w:t>
      </w:r>
      <w:r>
        <w:rPr>
          <w:color w:val="000000"/>
          <w:lang w:eastAsia="ru-RU" w:bidi="ru-RU"/>
        </w:rPr>
        <w:t xml:space="preserve">Ключник А.В. </w:t>
      </w:r>
      <w:r>
        <w:rPr>
          <w:color w:val="000000"/>
          <w:lang w:val="uk-UA" w:eastAsia="uk-UA" w:bidi="uk-UA"/>
        </w:rPr>
        <w:t xml:space="preserve">Економічний потенціал сільських територій: </w:t>
      </w:r>
      <w:r>
        <w:rPr>
          <w:color w:val="000000"/>
          <w:lang w:eastAsia="ru-RU" w:bidi="ru-RU"/>
        </w:rPr>
        <w:t xml:space="preserve">теоретичний аспект // </w:t>
      </w:r>
      <w:r>
        <w:rPr>
          <w:color w:val="000000"/>
          <w:lang w:val="uk-UA" w:eastAsia="uk-UA" w:bidi="uk-UA"/>
        </w:rPr>
        <w:t xml:space="preserve">Вісник аграрної </w:t>
      </w:r>
      <w:r>
        <w:rPr>
          <w:color w:val="000000"/>
          <w:lang w:eastAsia="ru-RU" w:bidi="ru-RU"/>
        </w:rPr>
        <w:t>науки Причорномор’я. 2015.Вип. 2. Т. 1. С. 12-19.</w:t>
      </w:r>
    </w:p>
    <w:p w14:paraId="6DFDD79A" w14:textId="77777777" w:rsidR="0032152D" w:rsidRDefault="0032152D" w:rsidP="00221AA9">
      <w:pPr>
        <w:pStyle w:val="1"/>
        <w:numPr>
          <w:ilvl w:val="0"/>
          <w:numId w:val="19"/>
        </w:numPr>
        <w:tabs>
          <w:tab w:val="left" w:pos="993"/>
          <w:tab w:val="left" w:pos="1557"/>
        </w:tabs>
        <w:spacing w:line="360" w:lineRule="auto"/>
        <w:ind w:firstLine="567"/>
        <w:jc w:val="both"/>
      </w:pPr>
      <w:r>
        <w:rPr>
          <w:color w:val="000000"/>
          <w:lang w:val="uk-UA" w:eastAsia="uk-UA" w:bidi="uk-UA"/>
        </w:rPr>
        <w:t>Опарін В.М. Публічні фінанси: ґенеза, теоретичні колізії та практична концептуалізація // Фінанси України. 2017. № 2. С. 110-128.</w:t>
      </w:r>
    </w:p>
    <w:p w14:paraId="3E450FAE" w14:textId="77777777" w:rsidR="0032152D" w:rsidRDefault="0032152D" w:rsidP="00221AA9">
      <w:pPr>
        <w:pStyle w:val="1"/>
        <w:numPr>
          <w:ilvl w:val="0"/>
          <w:numId w:val="19"/>
        </w:numPr>
        <w:tabs>
          <w:tab w:val="left" w:pos="993"/>
          <w:tab w:val="left" w:pos="1561"/>
        </w:tabs>
        <w:spacing w:line="360" w:lineRule="auto"/>
        <w:ind w:firstLine="567"/>
        <w:jc w:val="both"/>
      </w:pPr>
      <w:r>
        <w:rPr>
          <w:color w:val="000000"/>
          <w:lang w:val="uk-UA" w:eastAsia="uk-UA" w:bidi="uk-UA"/>
        </w:rPr>
        <w:t>Планування та управління фінансовими ресурсами територіальної громади / О.Кириленко, Б.Малиняк, В.Письменний, В.Русін. Асоціація міст України. К., ТОВ «Підприємство «ВІ ЕН ЕЙ», 2015. 396 с.</w:t>
      </w:r>
    </w:p>
    <w:p w14:paraId="7A774CDD" w14:textId="77777777" w:rsidR="0032152D" w:rsidRDefault="0032152D" w:rsidP="00221AA9">
      <w:pPr>
        <w:pStyle w:val="1"/>
        <w:numPr>
          <w:ilvl w:val="0"/>
          <w:numId w:val="19"/>
        </w:numPr>
        <w:tabs>
          <w:tab w:val="left" w:pos="993"/>
          <w:tab w:val="left" w:pos="1561"/>
        </w:tabs>
        <w:spacing w:line="360" w:lineRule="auto"/>
        <w:ind w:firstLine="567"/>
        <w:jc w:val="both"/>
      </w:pPr>
      <w:r>
        <w:rPr>
          <w:color w:val="000000"/>
          <w:lang w:val="uk-UA" w:eastAsia="uk-UA" w:bidi="uk-UA"/>
        </w:rPr>
        <w:t>Планування розвитку територіальних громад:навчальний посібник для посадових осіб місцевого самоврядування / Г. Васильченко, І. Парасюк, Н. Єременко. Асоціація міст України. Київ: ТОВ «ПІДПРИЄМСТВО «ВІ ЕН ЕЙ», 2015. 256 с.</w:t>
      </w:r>
    </w:p>
    <w:p w14:paraId="4DCCC580" w14:textId="77777777" w:rsidR="0032152D" w:rsidRDefault="0032152D" w:rsidP="00221AA9">
      <w:pPr>
        <w:pStyle w:val="1"/>
        <w:numPr>
          <w:ilvl w:val="0"/>
          <w:numId w:val="19"/>
        </w:numPr>
        <w:tabs>
          <w:tab w:val="left" w:pos="993"/>
          <w:tab w:val="left" w:pos="1561"/>
        </w:tabs>
        <w:spacing w:line="360" w:lineRule="auto"/>
        <w:ind w:firstLine="567"/>
        <w:jc w:val="both"/>
      </w:pPr>
      <w:r>
        <w:rPr>
          <w:color w:val="000000"/>
          <w:lang w:val="uk-UA" w:eastAsia="uk-UA" w:bidi="uk-UA"/>
        </w:rPr>
        <w:t xml:space="preserve">Плата за землю. Вісник. Офіційне видання Державної фіскальної служби України. 30.01.2015. № 4. </w:t>
      </w:r>
      <w:r>
        <w:rPr>
          <w:color w:val="000000"/>
          <w:lang w:val="en-US" w:bidi="en-US"/>
        </w:rPr>
        <w:t>URL</w:t>
      </w:r>
      <w:r w:rsidRPr="00A33B18">
        <w:rPr>
          <w:color w:val="000000"/>
          <w:lang w:bidi="en-US"/>
        </w:rPr>
        <w:t xml:space="preserve">: </w:t>
      </w:r>
      <w:hyperlink r:id="rId28" w:history="1">
        <w:r>
          <w:rPr>
            <w:color w:val="000000"/>
            <w:lang w:val="en-US" w:bidi="en-US"/>
          </w:rPr>
          <w:t>http</w:t>
        </w:r>
        <w:r w:rsidRPr="00A33B18">
          <w:rPr>
            <w:color w:val="000000"/>
            <w:lang w:bidi="en-US"/>
          </w:rPr>
          <w:t>://</w:t>
        </w:r>
        <w:r>
          <w:rPr>
            <w:color w:val="000000"/>
            <w:lang w:val="en-US" w:bidi="en-US"/>
          </w:rPr>
          <w:t>www</w:t>
        </w:r>
        <w:r w:rsidRPr="00A33B18">
          <w:rPr>
            <w:color w:val="000000"/>
            <w:lang w:bidi="en-US"/>
          </w:rPr>
          <w:t>.</w:t>
        </w:r>
        <w:r>
          <w:rPr>
            <w:color w:val="000000"/>
            <w:lang w:val="en-US" w:bidi="en-US"/>
          </w:rPr>
          <w:t>visnuk</w:t>
        </w:r>
        <w:r w:rsidRPr="00A33B18">
          <w:rPr>
            <w:color w:val="000000"/>
            <w:lang w:bidi="en-US"/>
          </w:rPr>
          <w:t>.</w:t>
        </w:r>
        <w:r>
          <w:rPr>
            <w:color w:val="000000"/>
            <w:lang w:val="en-US" w:bidi="en-US"/>
          </w:rPr>
          <w:t>com</w:t>
        </w:r>
        <w:r w:rsidRPr="00A33B18">
          <w:rPr>
            <w:color w:val="000000"/>
            <w:lang w:bidi="en-US"/>
          </w:rPr>
          <w:t>.</w:t>
        </w:r>
        <w:r>
          <w:rPr>
            <w:color w:val="000000"/>
            <w:lang w:val="en-US" w:bidi="en-US"/>
          </w:rPr>
          <w:t>ua</w:t>
        </w:r>
        <w:r w:rsidRPr="00A33B18">
          <w:rPr>
            <w:color w:val="000000"/>
            <w:lang w:bidi="en-US"/>
          </w:rPr>
          <w:t>/</w:t>
        </w:r>
        <w:r>
          <w:rPr>
            <w:color w:val="000000"/>
            <w:lang w:val="en-US" w:bidi="en-US"/>
          </w:rPr>
          <w:t>ua</w:t>
        </w:r>
      </w:hyperlink>
      <w:r w:rsidRPr="00A33B18">
        <w:rPr>
          <w:color w:val="000000"/>
          <w:lang w:bidi="en-US"/>
        </w:rPr>
        <w:t xml:space="preserve"> /</w:t>
      </w:r>
      <w:r>
        <w:rPr>
          <w:color w:val="000000"/>
          <w:lang w:val="en-US" w:bidi="en-US"/>
        </w:rPr>
        <w:t>pubs</w:t>
      </w:r>
      <w:r w:rsidRPr="00A33B18">
        <w:rPr>
          <w:color w:val="000000"/>
          <w:lang w:bidi="en-US"/>
        </w:rPr>
        <w:t>/</w:t>
      </w:r>
      <w:r>
        <w:rPr>
          <w:color w:val="000000"/>
          <w:lang w:val="en-US" w:bidi="en-US"/>
        </w:rPr>
        <w:t>id</w:t>
      </w:r>
      <w:r w:rsidRPr="00A33B18">
        <w:rPr>
          <w:color w:val="000000"/>
          <w:lang w:bidi="en-US"/>
        </w:rPr>
        <w:t xml:space="preserve">/8022 </w:t>
      </w:r>
      <w:r>
        <w:rPr>
          <w:color w:val="000000"/>
          <w:lang w:val="uk-UA" w:eastAsia="uk-UA" w:bidi="uk-UA"/>
        </w:rPr>
        <w:t>(дата звернення: 26 березня 2016 р.).</w:t>
      </w:r>
    </w:p>
    <w:p w14:paraId="43C1AC39" w14:textId="77777777" w:rsidR="0032152D" w:rsidRDefault="0032152D" w:rsidP="00221AA9">
      <w:pPr>
        <w:pStyle w:val="1"/>
        <w:numPr>
          <w:ilvl w:val="0"/>
          <w:numId w:val="19"/>
        </w:numPr>
        <w:tabs>
          <w:tab w:val="left" w:pos="993"/>
          <w:tab w:val="left" w:pos="1561"/>
        </w:tabs>
        <w:spacing w:line="360" w:lineRule="auto"/>
        <w:ind w:firstLine="567"/>
        <w:jc w:val="both"/>
      </w:pPr>
      <w:r>
        <w:rPr>
          <w:color w:val="000000"/>
          <w:lang w:val="uk-UA" w:eastAsia="uk-UA" w:bidi="uk-UA"/>
        </w:rPr>
        <w:t xml:space="preserve">Плата за землю як місцевий податок. ВГО Асоціація платників податків України. </w:t>
      </w:r>
      <w:r w:rsidRPr="00A33B18">
        <w:rPr>
          <w:color w:val="000000"/>
          <w:lang w:bidi="en-US"/>
        </w:rPr>
        <w:t>16.01.2015.</w:t>
      </w:r>
      <w:r>
        <w:rPr>
          <w:color w:val="000000"/>
          <w:lang w:val="en-US" w:bidi="en-US"/>
        </w:rPr>
        <w:t>URL</w:t>
      </w:r>
      <w:r w:rsidRPr="00A33B18">
        <w:rPr>
          <w:color w:val="000000"/>
          <w:lang w:bidi="en-US"/>
        </w:rPr>
        <w:t xml:space="preserve">: </w:t>
      </w:r>
      <w:hyperlink r:id="rId29" w:history="1">
        <w:r>
          <w:rPr>
            <w:color w:val="000000"/>
            <w:lang w:val="en-US" w:bidi="en-US"/>
          </w:rPr>
          <w:t>http</w:t>
        </w:r>
        <w:r w:rsidRPr="00A33B18">
          <w:rPr>
            <w:color w:val="000000"/>
            <w:lang w:bidi="en-US"/>
          </w:rPr>
          <w:t>://</w:t>
        </w:r>
        <w:r>
          <w:rPr>
            <w:color w:val="000000"/>
            <w:lang w:val="en-US" w:bidi="en-US"/>
          </w:rPr>
          <w:t>appu</w:t>
        </w:r>
        <w:r w:rsidRPr="00A33B18">
          <w:rPr>
            <w:color w:val="000000"/>
            <w:lang w:bidi="en-US"/>
          </w:rPr>
          <w:t>.</w:t>
        </w:r>
        <w:r>
          <w:rPr>
            <w:color w:val="000000"/>
            <w:lang w:val="en-US" w:bidi="en-US"/>
          </w:rPr>
          <w:t>org</w:t>
        </w:r>
        <w:r w:rsidRPr="00A33B18">
          <w:rPr>
            <w:color w:val="000000"/>
            <w:lang w:bidi="en-US"/>
          </w:rPr>
          <w:t>.</w:t>
        </w:r>
        <w:r>
          <w:rPr>
            <w:color w:val="000000"/>
            <w:lang w:val="en-US" w:bidi="en-US"/>
          </w:rPr>
          <w:t>ua</w:t>
        </w:r>
        <w:r w:rsidRPr="00A33B18">
          <w:rPr>
            <w:color w:val="000000"/>
            <w:lang w:bidi="en-US"/>
          </w:rPr>
          <w:t>/</w:t>
        </w:r>
        <w:r>
          <w:rPr>
            <w:color w:val="000000"/>
            <w:lang w:val="en-US" w:bidi="en-US"/>
          </w:rPr>
          <w:t>news</w:t>
        </w:r>
        <w:r w:rsidRPr="00A33B18">
          <w:rPr>
            <w:color w:val="000000"/>
            <w:lang w:bidi="en-US"/>
          </w:rPr>
          <w:t>/</w:t>
        </w:r>
        <w:r>
          <w:rPr>
            <w:color w:val="000000"/>
            <w:lang w:val="uk-UA" w:eastAsia="uk-UA" w:bidi="uk-UA"/>
          </w:rPr>
          <w:t>--03451</w:t>
        </w:r>
      </w:hyperlink>
      <w:r>
        <w:rPr>
          <w:color w:val="000000"/>
          <w:lang w:val="uk-UA" w:eastAsia="uk-UA" w:bidi="uk-UA"/>
        </w:rPr>
        <w:t xml:space="preserve"> (дата звернення: 26 березня 2016 р.).</w:t>
      </w:r>
    </w:p>
    <w:p w14:paraId="77F8CFAF" w14:textId="77777777" w:rsidR="0032152D" w:rsidRDefault="0032152D" w:rsidP="00221AA9">
      <w:pPr>
        <w:pStyle w:val="1"/>
        <w:numPr>
          <w:ilvl w:val="0"/>
          <w:numId w:val="19"/>
        </w:numPr>
        <w:tabs>
          <w:tab w:val="left" w:pos="993"/>
          <w:tab w:val="left" w:pos="1561"/>
          <w:tab w:val="left" w:pos="1882"/>
          <w:tab w:val="left" w:pos="3361"/>
        </w:tabs>
        <w:spacing w:line="360" w:lineRule="auto"/>
        <w:ind w:firstLine="567"/>
        <w:jc w:val="both"/>
      </w:pPr>
      <w:r>
        <w:rPr>
          <w:color w:val="000000"/>
          <w:lang w:val="uk-UA" w:eastAsia="uk-UA" w:bidi="uk-UA"/>
        </w:rPr>
        <w:t>Податковий кодекс України. Верховна Рада України; Кодекс України,</w:t>
      </w:r>
      <w:r>
        <w:rPr>
          <w:color w:val="000000"/>
          <w:lang w:val="uk-UA" w:eastAsia="uk-UA" w:bidi="uk-UA"/>
        </w:rPr>
        <w:tab/>
        <w:t>Закон,</w:t>
      </w:r>
      <w:r>
        <w:rPr>
          <w:color w:val="000000"/>
          <w:lang w:val="uk-UA" w:eastAsia="uk-UA" w:bidi="uk-UA"/>
        </w:rPr>
        <w:tab/>
        <w:t xml:space="preserve">Кодекс від 02.12.2010 № </w:t>
      </w:r>
      <w:r w:rsidRPr="00A33B18">
        <w:rPr>
          <w:color w:val="000000"/>
          <w:lang w:bidi="en-US"/>
        </w:rPr>
        <w:t>2755-</w:t>
      </w:r>
      <w:r>
        <w:rPr>
          <w:color w:val="000000"/>
          <w:lang w:val="en-US" w:bidi="en-US"/>
        </w:rPr>
        <w:t>VI</w:t>
      </w:r>
      <w:r w:rsidRPr="00A33B18">
        <w:rPr>
          <w:color w:val="000000"/>
          <w:lang w:bidi="en-US"/>
        </w:rPr>
        <w:t xml:space="preserve">. </w:t>
      </w:r>
      <w:r>
        <w:rPr>
          <w:color w:val="000000"/>
          <w:lang w:val="en-US" w:bidi="en-US"/>
        </w:rPr>
        <w:t>URL:</w:t>
      </w:r>
    </w:p>
    <w:p w14:paraId="1F4469A2" w14:textId="77777777" w:rsidR="0032152D" w:rsidRDefault="00BA6710" w:rsidP="00221AA9">
      <w:pPr>
        <w:pStyle w:val="1"/>
        <w:tabs>
          <w:tab w:val="left" w:pos="993"/>
        </w:tabs>
        <w:spacing w:line="360" w:lineRule="auto"/>
        <w:ind w:firstLine="567"/>
      </w:pPr>
      <w:hyperlink r:id="rId30" w:history="1">
        <w:r w:rsidR="0032152D">
          <w:rPr>
            <w:color w:val="000000"/>
            <w:lang w:val="en-US" w:bidi="en-US"/>
          </w:rPr>
          <w:t>http</w:t>
        </w:r>
        <w:r w:rsidR="0032152D" w:rsidRPr="00A33B18">
          <w:rPr>
            <w:color w:val="000000"/>
            <w:lang w:bidi="en-US"/>
          </w:rPr>
          <w:t>://</w:t>
        </w:r>
        <w:r w:rsidR="0032152D">
          <w:rPr>
            <w:color w:val="000000"/>
            <w:lang w:val="en-US" w:bidi="en-US"/>
          </w:rPr>
          <w:t>zakon</w:t>
        </w:r>
        <w:r w:rsidR="0032152D" w:rsidRPr="00A33B18">
          <w:rPr>
            <w:color w:val="000000"/>
            <w:lang w:bidi="en-US"/>
          </w:rPr>
          <w:t>3.</w:t>
        </w:r>
        <w:r w:rsidR="0032152D">
          <w:rPr>
            <w:color w:val="000000"/>
            <w:lang w:val="en-US" w:bidi="en-US"/>
          </w:rPr>
          <w:t>rada</w:t>
        </w:r>
        <w:r w:rsidR="0032152D" w:rsidRPr="00A33B18">
          <w:rPr>
            <w:color w:val="000000"/>
            <w:lang w:bidi="en-US"/>
          </w:rPr>
          <w:t>.</w:t>
        </w:r>
        <w:r w:rsidR="0032152D">
          <w:rPr>
            <w:color w:val="000000"/>
            <w:lang w:val="en-US" w:bidi="en-US"/>
          </w:rPr>
          <w:t>gov</w:t>
        </w:r>
        <w:r w:rsidR="0032152D" w:rsidRPr="00A33B18">
          <w:rPr>
            <w:color w:val="000000"/>
            <w:lang w:bidi="en-US"/>
          </w:rPr>
          <w:t>.</w:t>
        </w:r>
        <w:r w:rsidR="0032152D">
          <w:rPr>
            <w:color w:val="000000"/>
            <w:lang w:val="en-US" w:bidi="en-US"/>
          </w:rPr>
          <w:t>ua</w:t>
        </w:r>
        <w:r w:rsidR="0032152D" w:rsidRPr="00A33B18">
          <w:rPr>
            <w:color w:val="000000"/>
            <w:lang w:bidi="en-US"/>
          </w:rPr>
          <w:t>/</w:t>
        </w:r>
        <w:r w:rsidR="0032152D">
          <w:rPr>
            <w:color w:val="000000"/>
            <w:lang w:val="en-US" w:bidi="en-US"/>
          </w:rPr>
          <w:t>laws</w:t>
        </w:r>
        <w:r w:rsidR="0032152D" w:rsidRPr="00A33B18">
          <w:rPr>
            <w:color w:val="000000"/>
            <w:lang w:bidi="en-US"/>
          </w:rPr>
          <w:t>/</w:t>
        </w:r>
        <w:r w:rsidR="0032152D">
          <w:rPr>
            <w:color w:val="000000"/>
            <w:lang w:val="en-US" w:bidi="en-US"/>
          </w:rPr>
          <w:t>show</w:t>
        </w:r>
        <w:r w:rsidR="0032152D" w:rsidRPr="00A33B18">
          <w:rPr>
            <w:color w:val="000000"/>
            <w:lang w:bidi="en-US"/>
          </w:rPr>
          <w:t>/2755-17</w:t>
        </w:r>
      </w:hyperlink>
      <w:r w:rsidR="0032152D" w:rsidRPr="00A33B18">
        <w:rPr>
          <w:color w:val="000000"/>
          <w:lang w:bidi="en-US"/>
        </w:rPr>
        <w:t xml:space="preserve">. </w:t>
      </w:r>
      <w:r w:rsidR="0032152D">
        <w:rPr>
          <w:color w:val="000000"/>
          <w:lang w:val="uk-UA" w:eastAsia="uk-UA" w:bidi="uk-UA"/>
        </w:rPr>
        <w:t>(дата звернення: 25 січня 2017.р.).</w:t>
      </w:r>
    </w:p>
    <w:p w14:paraId="1E952579" w14:textId="77777777" w:rsidR="0032152D" w:rsidRDefault="0032152D" w:rsidP="00221AA9">
      <w:pPr>
        <w:pStyle w:val="1"/>
        <w:numPr>
          <w:ilvl w:val="0"/>
          <w:numId w:val="19"/>
        </w:numPr>
        <w:tabs>
          <w:tab w:val="left" w:pos="993"/>
          <w:tab w:val="left" w:pos="1561"/>
        </w:tabs>
        <w:spacing w:line="360" w:lineRule="auto"/>
        <w:ind w:firstLine="567"/>
        <w:jc w:val="both"/>
      </w:pPr>
      <w:r>
        <w:rPr>
          <w:color w:val="000000"/>
          <w:lang w:val="uk-UA" w:eastAsia="uk-UA" w:bidi="uk-UA"/>
        </w:rPr>
        <w:t>Полинюк Н.І. Зарубіжний досвід міжбюджетних відносин та можливість його використання в Україні // Науковий вісник НЛТУ України. 2016. Вип. 26.6. С. 269-275.</w:t>
      </w:r>
    </w:p>
    <w:p w14:paraId="5ACB6095" w14:textId="77777777" w:rsidR="0032152D" w:rsidRDefault="0032152D" w:rsidP="00221AA9">
      <w:pPr>
        <w:pStyle w:val="1"/>
        <w:numPr>
          <w:ilvl w:val="0"/>
          <w:numId w:val="19"/>
        </w:numPr>
        <w:tabs>
          <w:tab w:val="left" w:pos="993"/>
          <w:tab w:val="left" w:pos="1561"/>
        </w:tabs>
        <w:spacing w:line="360" w:lineRule="auto"/>
        <w:ind w:firstLine="567"/>
        <w:jc w:val="both"/>
      </w:pPr>
      <w:r>
        <w:rPr>
          <w:color w:val="000000"/>
          <w:lang w:val="uk-UA" w:eastAsia="uk-UA" w:bidi="uk-UA"/>
        </w:rPr>
        <w:t>Поліщук В.Г., Вахновська Н.А., Іванова І.О. Концептуальна модель фінансової спроможності регіонів держави // Економічний форум: наук. журн. Луцьк: РВВ ЛНТУ, 2016. № 3. С.131-137.</w:t>
      </w:r>
    </w:p>
    <w:p w14:paraId="474514DC" w14:textId="77777777" w:rsidR="0032152D" w:rsidRDefault="0032152D" w:rsidP="00221AA9">
      <w:pPr>
        <w:pStyle w:val="1"/>
        <w:numPr>
          <w:ilvl w:val="0"/>
          <w:numId w:val="19"/>
        </w:numPr>
        <w:tabs>
          <w:tab w:val="left" w:pos="993"/>
          <w:tab w:val="left" w:pos="1561"/>
        </w:tabs>
        <w:spacing w:line="360" w:lineRule="auto"/>
        <w:ind w:firstLine="567"/>
        <w:jc w:val="both"/>
      </w:pPr>
      <w:r>
        <w:rPr>
          <w:color w:val="000000"/>
          <w:lang w:val="uk-UA" w:eastAsia="uk-UA" w:bidi="uk-UA"/>
        </w:rPr>
        <w:lastRenderedPageBreak/>
        <w:t xml:space="preserve">Полтавець В.Д. Міжмуніципальне співробітництво у Франції. Досвід та уроки // Державне управління: теорія і практика. 2013. № 2. С. </w:t>
      </w:r>
      <w:r>
        <w:rPr>
          <w:color w:val="000000"/>
          <w:lang w:eastAsia="ru-RU" w:bidi="ru-RU"/>
        </w:rPr>
        <w:t>214</w:t>
      </w:r>
      <w:r>
        <w:rPr>
          <w:color w:val="000000"/>
          <w:lang w:eastAsia="ru-RU" w:bidi="ru-RU"/>
        </w:rPr>
        <w:softHyphen/>
        <w:t>218.</w:t>
      </w:r>
    </w:p>
    <w:p w14:paraId="403E28DE" w14:textId="77777777" w:rsidR="0032152D" w:rsidRDefault="0032152D" w:rsidP="00221AA9">
      <w:pPr>
        <w:pStyle w:val="1"/>
        <w:numPr>
          <w:ilvl w:val="0"/>
          <w:numId w:val="19"/>
        </w:numPr>
        <w:tabs>
          <w:tab w:val="left" w:pos="993"/>
          <w:tab w:val="left" w:pos="1561"/>
        </w:tabs>
        <w:spacing w:line="360" w:lineRule="auto"/>
        <w:ind w:firstLine="567"/>
        <w:jc w:val="both"/>
      </w:pPr>
      <w:r>
        <w:rPr>
          <w:color w:val="000000"/>
          <w:lang w:val="uk-UA" w:eastAsia="uk-UA" w:bidi="uk-UA"/>
        </w:rPr>
        <w:t>Попова Л.Г. Деякі питання надання субвенції з державного бюджету місцевим бюджетам на формування інфраструктури об’єднаних територіальних громад. Міністерство регіонального розвитку, будівництва та житлово-комунального господарства України. 11 с.</w:t>
      </w:r>
    </w:p>
    <w:p w14:paraId="2BB2AA89" w14:textId="77777777" w:rsidR="0032152D" w:rsidRDefault="0032152D" w:rsidP="00221AA9">
      <w:pPr>
        <w:pStyle w:val="1"/>
        <w:numPr>
          <w:ilvl w:val="0"/>
          <w:numId w:val="19"/>
        </w:numPr>
        <w:tabs>
          <w:tab w:val="left" w:pos="993"/>
          <w:tab w:val="left" w:pos="1561"/>
        </w:tabs>
        <w:spacing w:line="360" w:lineRule="auto"/>
        <w:ind w:firstLine="567"/>
        <w:jc w:val="both"/>
      </w:pPr>
      <w:r>
        <w:rPr>
          <w:color w:val="000000"/>
          <w:lang w:val="uk-UA" w:eastAsia="uk-UA" w:bidi="uk-UA"/>
        </w:rPr>
        <w:t xml:space="preserve">Попова М.Ф. Децентралізація влади як механізм розвитку громад // Актуальні проблеми політики. 2015. Вип. 54. С. 258-264. </w:t>
      </w:r>
      <w:r>
        <w:rPr>
          <w:color w:val="000000"/>
          <w:lang w:val="en-US" w:bidi="en-US"/>
        </w:rPr>
        <w:t>URL</w:t>
      </w:r>
      <w:r w:rsidRPr="00A33B18">
        <w:rPr>
          <w:color w:val="000000"/>
          <w:lang w:bidi="en-US"/>
        </w:rPr>
        <w:t xml:space="preserve">: </w:t>
      </w:r>
      <w:hyperlink r:id="rId31" w:history="1">
        <w:r>
          <w:rPr>
            <w:color w:val="000000"/>
            <w:lang w:val="en-US" w:bidi="en-US"/>
          </w:rPr>
          <w:t>http</w:t>
        </w:r>
        <w:r w:rsidRPr="00A33B18">
          <w:rPr>
            <w:color w:val="000000"/>
            <w:lang w:bidi="en-US"/>
          </w:rPr>
          <w:t>://</w:t>
        </w:r>
        <w:r>
          <w:rPr>
            <w:color w:val="000000"/>
            <w:lang w:val="en-US" w:bidi="en-US"/>
          </w:rPr>
          <w:t>nbuv</w:t>
        </w:r>
        <w:r w:rsidRPr="00A33B18">
          <w:rPr>
            <w:color w:val="000000"/>
            <w:lang w:bidi="en-US"/>
          </w:rPr>
          <w:t>.</w:t>
        </w:r>
        <w:r>
          <w:rPr>
            <w:color w:val="000000"/>
            <w:lang w:val="en-US" w:bidi="en-US"/>
          </w:rPr>
          <w:t>gov</w:t>
        </w:r>
        <w:r w:rsidRPr="00A33B18">
          <w:rPr>
            <w:color w:val="000000"/>
            <w:lang w:bidi="en-US"/>
          </w:rPr>
          <w:t>.</w:t>
        </w:r>
        <w:r>
          <w:rPr>
            <w:color w:val="000000"/>
            <w:lang w:val="en-US" w:bidi="en-US"/>
          </w:rPr>
          <w:t>ua</w:t>
        </w:r>
        <w:r w:rsidRPr="00A33B18">
          <w:rPr>
            <w:color w:val="000000"/>
            <w:lang w:bidi="en-US"/>
          </w:rPr>
          <w:t>/</w:t>
        </w:r>
        <w:r>
          <w:rPr>
            <w:color w:val="000000"/>
            <w:lang w:val="en-US" w:bidi="en-US"/>
          </w:rPr>
          <w:t>j</w:t>
        </w:r>
        <w:r w:rsidRPr="00A33B18">
          <w:rPr>
            <w:color w:val="000000"/>
            <w:lang w:bidi="en-US"/>
          </w:rPr>
          <w:t>-</w:t>
        </w:r>
        <w:r>
          <w:rPr>
            <w:color w:val="000000"/>
            <w:lang w:val="en-US" w:bidi="en-US"/>
          </w:rPr>
          <w:t>pdf</w:t>
        </w:r>
        <w:r w:rsidRPr="00A33B18">
          <w:rPr>
            <w:color w:val="000000"/>
            <w:lang w:bidi="en-US"/>
          </w:rPr>
          <w:t>/</w:t>
        </w:r>
        <w:r>
          <w:rPr>
            <w:color w:val="000000"/>
            <w:lang w:val="en-US" w:bidi="en-US"/>
          </w:rPr>
          <w:t>appol</w:t>
        </w:r>
        <w:r w:rsidRPr="00A33B18">
          <w:rPr>
            <w:color w:val="000000"/>
            <w:lang w:bidi="en-US"/>
          </w:rPr>
          <w:t>.</w:t>
        </w:r>
        <w:r>
          <w:rPr>
            <w:color w:val="000000"/>
            <w:lang w:val="en-US" w:bidi="en-US"/>
          </w:rPr>
          <w:t>pdf</w:t>
        </w:r>
      </w:hyperlink>
      <w:r w:rsidRPr="00A33B18">
        <w:rPr>
          <w:color w:val="000000"/>
          <w:lang w:bidi="en-US"/>
        </w:rPr>
        <w:t xml:space="preserve"> </w:t>
      </w:r>
      <w:r>
        <w:rPr>
          <w:color w:val="000000"/>
          <w:lang w:val="uk-UA" w:eastAsia="uk-UA" w:bidi="uk-UA"/>
        </w:rPr>
        <w:t>(режим доступу: 24 лютого 2016 р.).</w:t>
      </w:r>
    </w:p>
    <w:p w14:paraId="0045141A" w14:textId="77777777" w:rsidR="008B2711" w:rsidRDefault="008B2711" w:rsidP="00221AA9">
      <w:pPr>
        <w:pStyle w:val="1"/>
        <w:numPr>
          <w:ilvl w:val="0"/>
          <w:numId w:val="19"/>
        </w:numPr>
        <w:tabs>
          <w:tab w:val="left" w:pos="993"/>
          <w:tab w:val="left" w:pos="1561"/>
        </w:tabs>
        <w:spacing w:line="360" w:lineRule="auto"/>
        <w:ind w:firstLine="567"/>
        <w:jc w:val="both"/>
      </w:pPr>
      <w:r>
        <w:rPr>
          <w:color w:val="000000"/>
          <w:lang w:eastAsia="ru-RU" w:bidi="ru-RU"/>
        </w:rPr>
        <w:t xml:space="preserve">Раделицький Ю. О. Напрямки забезпечення </w:t>
      </w:r>
      <w:r>
        <w:rPr>
          <w:color w:val="000000"/>
          <w:lang w:val="uk-UA" w:eastAsia="uk-UA" w:bidi="uk-UA"/>
        </w:rPr>
        <w:t xml:space="preserve">ефективності </w:t>
      </w:r>
      <w:r>
        <w:rPr>
          <w:color w:val="000000"/>
          <w:lang w:eastAsia="ru-RU" w:bidi="ru-RU"/>
        </w:rPr>
        <w:t xml:space="preserve">використання </w:t>
      </w:r>
      <w:r>
        <w:rPr>
          <w:color w:val="000000"/>
          <w:lang w:val="uk-UA" w:eastAsia="uk-UA" w:bidi="uk-UA"/>
        </w:rPr>
        <w:t xml:space="preserve">внутрішнього потенціалу територіальної </w:t>
      </w:r>
      <w:r>
        <w:rPr>
          <w:color w:val="000000"/>
          <w:lang w:eastAsia="ru-RU" w:bidi="ru-RU"/>
        </w:rPr>
        <w:t xml:space="preserve">громади // </w:t>
      </w:r>
      <w:r>
        <w:rPr>
          <w:color w:val="000000"/>
          <w:lang w:val="uk-UA" w:eastAsia="uk-UA" w:bidi="uk-UA"/>
        </w:rPr>
        <w:t xml:space="preserve">Збірник </w:t>
      </w:r>
      <w:r>
        <w:rPr>
          <w:color w:val="000000"/>
          <w:lang w:eastAsia="ru-RU" w:bidi="ru-RU"/>
        </w:rPr>
        <w:t xml:space="preserve">наукових праць “Моделювання </w:t>
      </w:r>
      <w:r>
        <w:rPr>
          <w:color w:val="000000"/>
          <w:lang w:val="uk-UA" w:eastAsia="uk-UA" w:bidi="uk-UA"/>
        </w:rPr>
        <w:t xml:space="preserve">регіональної економіки”, Івано-Франківськ, </w:t>
      </w:r>
      <w:r>
        <w:rPr>
          <w:color w:val="000000"/>
          <w:lang w:eastAsia="ru-RU" w:bidi="ru-RU"/>
        </w:rPr>
        <w:t>2017. Вип. 2(30). С. 93-107.</w:t>
      </w:r>
    </w:p>
    <w:p w14:paraId="7520E41C" w14:textId="77777777" w:rsidR="008B2711" w:rsidRDefault="008B2711" w:rsidP="00221AA9">
      <w:pPr>
        <w:pStyle w:val="1"/>
        <w:numPr>
          <w:ilvl w:val="0"/>
          <w:numId w:val="19"/>
        </w:numPr>
        <w:tabs>
          <w:tab w:val="left" w:pos="993"/>
          <w:tab w:val="left" w:pos="1561"/>
        </w:tabs>
        <w:spacing w:line="360" w:lineRule="auto"/>
        <w:ind w:firstLine="567"/>
        <w:jc w:val="both"/>
      </w:pPr>
      <w:r>
        <w:rPr>
          <w:color w:val="000000"/>
          <w:lang w:eastAsia="ru-RU" w:bidi="ru-RU"/>
        </w:rPr>
        <w:t xml:space="preserve">Раделицький Ю. О. </w:t>
      </w:r>
      <w:r>
        <w:rPr>
          <w:color w:val="000000"/>
          <w:lang w:val="uk-UA" w:eastAsia="uk-UA" w:bidi="uk-UA"/>
        </w:rPr>
        <w:t xml:space="preserve">Особливості </w:t>
      </w:r>
      <w:r>
        <w:rPr>
          <w:color w:val="000000"/>
          <w:lang w:eastAsia="ru-RU" w:bidi="ru-RU"/>
        </w:rPr>
        <w:t xml:space="preserve">формування </w:t>
      </w:r>
      <w:r>
        <w:rPr>
          <w:color w:val="000000"/>
          <w:lang w:val="uk-UA" w:eastAsia="uk-UA" w:bidi="uk-UA"/>
        </w:rPr>
        <w:t xml:space="preserve">видатків місцевих бюджетів </w:t>
      </w:r>
      <w:r>
        <w:rPr>
          <w:color w:val="000000"/>
          <w:lang w:eastAsia="ru-RU" w:bidi="ru-RU"/>
        </w:rPr>
        <w:t xml:space="preserve">в напрямку забезпечення </w:t>
      </w:r>
      <w:r>
        <w:rPr>
          <w:color w:val="000000"/>
          <w:lang w:val="uk-UA" w:eastAsia="uk-UA" w:bidi="uk-UA"/>
        </w:rPr>
        <w:t xml:space="preserve">економічного </w:t>
      </w:r>
      <w:r>
        <w:rPr>
          <w:color w:val="000000"/>
          <w:lang w:eastAsia="ru-RU" w:bidi="ru-RU"/>
        </w:rPr>
        <w:t xml:space="preserve">розвитку </w:t>
      </w:r>
      <w:r>
        <w:rPr>
          <w:color w:val="000000"/>
          <w:lang w:val="uk-UA" w:eastAsia="uk-UA" w:bidi="uk-UA"/>
        </w:rPr>
        <w:t xml:space="preserve">адміністративно- територіальних </w:t>
      </w:r>
      <w:r>
        <w:rPr>
          <w:color w:val="000000"/>
          <w:lang w:eastAsia="ru-RU" w:bidi="ru-RU"/>
        </w:rPr>
        <w:t xml:space="preserve">одиниць // Науковий журнал: Ефективна </w:t>
      </w:r>
      <w:r>
        <w:rPr>
          <w:color w:val="000000"/>
          <w:lang w:val="uk-UA" w:eastAsia="uk-UA" w:bidi="uk-UA"/>
        </w:rPr>
        <w:t xml:space="preserve">економіка, </w:t>
      </w:r>
      <w:r>
        <w:rPr>
          <w:color w:val="000000"/>
          <w:lang w:eastAsia="ru-RU" w:bidi="ru-RU"/>
        </w:rPr>
        <w:t xml:space="preserve">2019. №1. Електронний ресурс: </w:t>
      </w:r>
      <w:hyperlink r:id="rId32" w:history="1">
        <w:r>
          <w:rPr>
            <w:color w:val="000000"/>
            <w:lang w:val="en-US" w:bidi="en-US"/>
          </w:rPr>
          <w:t>http</w:t>
        </w:r>
        <w:r w:rsidRPr="00A33B18">
          <w:rPr>
            <w:color w:val="000000"/>
            <w:lang w:bidi="en-US"/>
          </w:rPr>
          <w:t>://</w:t>
        </w:r>
        <w:r>
          <w:rPr>
            <w:color w:val="000000"/>
            <w:lang w:val="en-US" w:bidi="en-US"/>
          </w:rPr>
          <w:t>www</w:t>
        </w:r>
        <w:r w:rsidRPr="00A33B18">
          <w:rPr>
            <w:color w:val="000000"/>
            <w:lang w:bidi="en-US"/>
          </w:rPr>
          <w:t>.</w:t>
        </w:r>
        <w:r>
          <w:rPr>
            <w:color w:val="000000"/>
            <w:lang w:val="en-US" w:bidi="en-US"/>
          </w:rPr>
          <w:t>economy</w:t>
        </w:r>
        <w:r w:rsidRPr="00A33B18">
          <w:rPr>
            <w:color w:val="000000"/>
            <w:lang w:bidi="en-US"/>
          </w:rPr>
          <w:t>.</w:t>
        </w:r>
        <w:r>
          <w:rPr>
            <w:color w:val="000000"/>
            <w:lang w:val="en-US" w:bidi="en-US"/>
          </w:rPr>
          <w:t>nayka</w:t>
        </w:r>
        <w:r w:rsidRPr="00A33B18">
          <w:rPr>
            <w:color w:val="000000"/>
            <w:lang w:bidi="en-US"/>
          </w:rPr>
          <w:t>.</w:t>
        </w:r>
        <w:r>
          <w:rPr>
            <w:color w:val="000000"/>
            <w:lang w:val="en-US" w:bidi="en-US"/>
          </w:rPr>
          <w:t>com</w:t>
        </w:r>
        <w:r w:rsidRPr="00A33B18">
          <w:rPr>
            <w:color w:val="000000"/>
            <w:lang w:bidi="en-US"/>
          </w:rPr>
          <w:t>.</w:t>
        </w:r>
        <w:r>
          <w:rPr>
            <w:color w:val="000000"/>
            <w:lang w:val="en-US" w:bidi="en-US"/>
          </w:rPr>
          <w:t>ua</w:t>
        </w:r>
      </w:hyperlink>
      <w:r w:rsidRPr="00A33B18">
        <w:rPr>
          <w:color w:val="000000"/>
          <w:lang w:bidi="en-US"/>
        </w:rPr>
        <w:t xml:space="preserve">. </w:t>
      </w:r>
      <w:r>
        <w:rPr>
          <w:color w:val="000000"/>
          <w:lang w:eastAsia="ru-RU" w:bidi="ru-RU"/>
        </w:rPr>
        <w:t>(дата звернення: 4 лютого 2019 р.).</w:t>
      </w:r>
    </w:p>
    <w:p w14:paraId="09DC0EFF" w14:textId="77777777" w:rsidR="008B2711" w:rsidRDefault="008B2711" w:rsidP="00221AA9">
      <w:pPr>
        <w:pStyle w:val="1"/>
        <w:numPr>
          <w:ilvl w:val="0"/>
          <w:numId w:val="19"/>
        </w:numPr>
        <w:tabs>
          <w:tab w:val="left" w:pos="993"/>
          <w:tab w:val="left" w:pos="1561"/>
        </w:tabs>
        <w:spacing w:line="360" w:lineRule="auto"/>
        <w:ind w:firstLine="567"/>
        <w:jc w:val="both"/>
      </w:pPr>
      <w:r>
        <w:rPr>
          <w:color w:val="000000"/>
          <w:lang w:eastAsia="ru-RU" w:bidi="ru-RU"/>
        </w:rPr>
        <w:t xml:space="preserve">Раделицький Ю. О. </w:t>
      </w:r>
      <w:r>
        <w:rPr>
          <w:color w:val="000000"/>
          <w:lang w:val="uk-UA" w:eastAsia="uk-UA" w:bidi="uk-UA"/>
        </w:rPr>
        <w:t xml:space="preserve">Особливості </w:t>
      </w:r>
      <w:r>
        <w:rPr>
          <w:color w:val="000000"/>
          <w:lang w:eastAsia="ru-RU" w:bidi="ru-RU"/>
        </w:rPr>
        <w:t xml:space="preserve">формування податкових </w:t>
      </w:r>
      <w:r>
        <w:rPr>
          <w:color w:val="000000"/>
          <w:lang w:val="uk-UA" w:eastAsia="uk-UA" w:bidi="uk-UA"/>
        </w:rPr>
        <w:t xml:space="preserve">механізмів </w:t>
      </w:r>
      <w:r>
        <w:rPr>
          <w:color w:val="000000"/>
          <w:lang w:eastAsia="ru-RU" w:bidi="ru-RU"/>
        </w:rPr>
        <w:t xml:space="preserve">наповнення </w:t>
      </w:r>
      <w:r>
        <w:rPr>
          <w:color w:val="000000"/>
          <w:lang w:val="uk-UA" w:eastAsia="uk-UA" w:bidi="uk-UA"/>
        </w:rPr>
        <w:t xml:space="preserve">місцевих бюджетів україни </w:t>
      </w:r>
      <w:r>
        <w:rPr>
          <w:color w:val="000000"/>
          <w:lang w:eastAsia="ru-RU" w:bidi="ru-RU"/>
        </w:rPr>
        <w:t xml:space="preserve">в умовах реформи </w:t>
      </w:r>
      <w:r>
        <w:rPr>
          <w:color w:val="000000"/>
          <w:lang w:val="uk-UA" w:eastAsia="uk-UA" w:bidi="uk-UA"/>
        </w:rPr>
        <w:t xml:space="preserve">місцевого </w:t>
      </w:r>
      <w:r>
        <w:rPr>
          <w:color w:val="000000"/>
          <w:lang w:eastAsia="ru-RU" w:bidi="ru-RU"/>
        </w:rPr>
        <w:t xml:space="preserve">самоврядування // Науковий журнал: Ефективна </w:t>
      </w:r>
      <w:r>
        <w:rPr>
          <w:color w:val="000000"/>
          <w:lang w:val="uk-UA" w:eastAsia="uk-UA" w:bidi="uk-UA"/>
        </w:rPr>
        <w:t xml:space="preserve">економіка, </w:t>
      </w:r>
      <w:r>
        <w:rPr>
          <w:color w:val="000000"/>
          <w:lang w:eastAsia="ru-RU" w:bidi="ru-RU"/>
        </w:rPr>
        <w:t xml:space="preserve">2017. №11. Електронний ресурс: </w:t>
      </w:r>
      <w:hyperlink r:id="rId33" w:history="1">
        <w:r>
          <w:rPr>
            <w:color w:val="000000"/>
            <w:lang w:val="en-US" w:bidi="en-US"/>
          </w:rPr>
          <w:t>http</w:t>
        </w:r>
        <w:r w:rsidRPr="00A33B18">
          <w:rPr>
            <w:color w:val="000000"/>
            <w:lang w:bidi="en-US"/>
          </w:rPr>
          <w:t>://</w:t>
        </w:r>
        <w:r>
          <w:rPr>
            <w:color w:val="000000"/>
            <w:lang w:val="en-US" w:bidi="en-US"/>
          </w:rPr>
          <w:t>www</w:t>
        </w:r>
        <w:r w:rsidRPr="00A33B18">
          <w:rPr>
            <w:color w:val="000000"/>
            <w:lang w:bidi="en-US"/>
          </w:rPr>
          <w:t>.</w:t>
        </w:r>
        <w:r>
          <w:rPr>
            <w:color w:val="000000"/>
            <w:lang w:val="en-US" w:bidi="en-US"/>
          </w:rPr>
          <w:t>economy</w:t>
        </w:r>
        <w:r w:rsidRPr="00A33B18">
          <w:rPr>
            <w:color w:val="000000"/>
            <w:lang w:bidi="en-US"/>
          </w:rPr>
          <w:t>.</w:t>
        </w:r>
        <w:r>
          <w:rPr>
            <w:color w:val="000000"/>
            <w:lang w:val="en-US" w:bidi="en-US"/>
          </w:rPr>
          <w:t>nayka</w:t>
        </w:r>
        <w:r w:rsidRPr="00A33B18">
          <w:rPr>
            <w:color w:val="000000"/>
            <w:lang w:bidi="en-US"/>
          </w:rPr>
          <w:t>.</w:t>
        </w:r>
        <w:r>
          <w:rPr>
            <w:color w:val="000000"/>
            <w:lang w:val="en-US" w:bidi="en-US"/>
          </w:rPr>
          <w:t>com</w:t>
        </w:r>
        <w:r w:rsidRPr="00A33B18">
          <w:rPr>
            <w:color w:val="000000"/>
            <w:lang w:bidi="en-US"/>
          </w:rPr>
          <w:t>.</w:t>
        </w:r>
        <w:r>
          <w:rPr>
            <w:color w:val="000000"/>
            <w:lang w:val="en-US" w:bidi="en-US"/>
          </w:rPr>
          <w:t>ua</w:t>
        </w:r>
      </w:hyperlink>
      <w:r w:rsidRPr="00A33B18">
        <w:rPr>
          <w:color w:val="000000"/>
          <w:lang w:bidi="en-US"/>
        </w:rPr>
        <w:t xml:space="preserve"> </w:t>
      </w:r>
      <w:r>
        <w:rPr>
          <w:color w:val="000000"/>
          <w:lang w:eastAsia="ru-RU" w:bidi="ru-RU"/>
        </w:rPr>
        <w:t xml:space="preserve">(дата звернення: 4 </w:t>
      </w:r>
      <w:r>
        <w:rPr>
          <w:color w:val="000000"/>
          <w:lang w:val="uk-UA" w:eastAsia="uk-UA" w:bidi="uk-UA"/>
        </w:rPr>
        <w:t xml:space="preserve">січня </w:t>
      </w:r>
      <w:r>
        <w:rPr>
          <w:color w:val="000000"/>
          <w:lang w:eastAsia="ru-RU" w:bidi="ru-RU"/>
        </w:rPr>
        <w:t>2017 р.).</w:t>
      </w:r>
    </w:p>
    <w:p w14:paraId="5A38020F" w14:textId="77777777" w:rsidR="008B2711" w:rsidRDefault="008B2711" w:rsidP="00221AA9">
      <w:pPr>
        <w:pStyle w:val="1"/>
        <w:numPr>
          <w:ilvl w:val="0"/>
          <w:numId w:val="19"/>
        </w:numPr>
        <w:tabs>
          <w:tab w:val="left" w:pos="993"/>
          <w:tab w:val="left" w:pos="1561"/>
        </w:tabs>
        <w:spacing w:line="360" w:lineRule="auto"/>
        <w:ind w:firstLine="567"/>
        <w:jc w:val="both"/>
      </w:pPr>
      <w:r>
        <w:rPr>
          <w:color w:val="000000"/>
          <w:lang w:val="uk-UA" w:eastAsia="uk-UA" w:bidi="uk-UA"/>
        </w:rPr>
        <w:t>Тропіна В. Б. Бюджетні важелі макрофінансової стабілізації // Вісник Української академії банківської справи. 2015. № 2. С. 19-21.</w:t>
      </w:r>
    </w:p>
    <w:p w14:paraId="31B3E6D9" w14:textId="77777777" w:rsidR="008B2711" w:rsidRDefault="008B2711" w:rsidP="00221AA9">
      <w:pPr>
        <w:pStyle w:val="1"/>
        <w:numPr>
          <w:ilvl w:val="0"/>
          <w:numId w:val="19"/>
        </w:numPr>
        <w:tabs>
          <w:tab w:val="left" w:pos="993"/>
          <w:tab w:val="left" w:pos="1561"/>
        </w:tabs>
        <w:spacing w:line="360" w:lineRule="auto"/>
        <w:ind w:firstLine="567"/>
        <w:jc w:val="both"/>
      </w:pPr>
      <w:r>
        <w:rPr>
          <w:color w:val="000000"/>
          <w:lang w:val="uk-UA" w:eastAsia="uk-UA" w:bidi="uk-UA"/>
        </w:rPr>
        <w:t xml:space="preserve">Тропіна В. Б. Бюджет України як складова національної інноваційної системи // Економічний вісник університету: збірник наукових праць учених та аспірантів. Вип. 29/2. Переяслав-Хмельницький. 2016. С. </w:t>
      </w:r>
      <w:r>
        <w:rPr>
          <w:color w:val="000000"/>
          <w:lang w:eastAsia="ru-RU" w:bidi="ru-RU"/>
        </w:rPr>
        <w:t>582</w:t>
      </w:r>
      <w:r>
        <w:rPr>
          <w:color w:val="000000"/>
          <w:lang w:eastAsia="ru-RU" w:bidi="ru-RU"/>
        </w:rPr>
        <w:softHyphen/>
        <w:t>586.</w:t>
      </w:r>
    </w:p>
    <w:p w14:paraId="5DABCDCD" w14:textId="77777777" w:rsidR="008B2711" w:rsidRDefault="008B2711" w:rsidP="00221AA9">
      <w:pPr>
        <w:pStyle w:val="1"/>
        <w:numPr>
          <w:ilvl w:val="0"/>
          <w:numId w:val="19"/>
        </w:numPr>
        <w:tabs>
          <w:tab w:val="left" w:pos="993"/>
          <w:tab w:val="left" w:pos="1561"/>
        </w:tabs>
        <w:spacing w:line="360" w:lineRule="auto"/>
        <w:ind w:firstLine="567"/>
        <w:jc w:val="both"/>
      </w:pPr>
      <w:r>
        <w:rPr>
          <w:color w:val="000000"/>
          <w:lang w:val="uk-UA" w:eastAsia="uk-UA" w:bidi="uk-UA"/>
        </w:rPr>
        <w:t xml:space="preserve">Тропіна В. Б. Оптимізація системи бюджетного забезпечення інноваційної діяльності в Україні // Науковий вісник Полісся. 2016. № 1 (5). С. </w:t>
      </w:r>
      <w:r>
        <w:rPr>
          <w:color w:val="000000"/>
          <w:lang w:val="uk-UA" w:eastAsia="uk-UA" w:bidi="uk-UA"/>
        </w:rPr>
        <w:lastRenderedPageBreak/>
        <w:t>64-68.</w:t>
      </w:r>
    </w:p>
    <w:p w14:paraId="23030971" w14:textId="77777777" w:rsidR="008B2711" w:rsidRDefault="008B2711" w:rsidP="00221AA9">
      <w:pPr>
        <w:pStyle w:val="1"/>
        <w:numPr>
          <w:ilvl w:val="0"/>
          <w:numId w:val="19"/>
        </w:numPr>
        <w:tabs>
          <w:tab w:val="left" w:pos="993"/>
          <w:tab w:val="left" w:pos="1561"/>
        </w:tabs>
        <w:spacing w:line="360" w:lineRule="auto"/>
        <w:ind w:firstLine="567"/>
        <w:jc w:val="both"/>
      </w:pPr>
      <w:r>
        <w:rPr>
          <w:color w:val="000000"/>
          <w:lang w:val="uk-UA" w:eastAsia="uk-UA" w:bidi="uk-UA"/>
        </w:rPr>
        <w:t>Хмара К., Шарапов Ю. Об’єднання територіальних громад у контексті пропозицій відповідного проекту Закону України // Державне управління та місцеве самоврядування. 2013. Вип. 3(18). С. 267-275.</w:t>
      </w:r>
    </w:p>
    <w:p w14:paraId="468DF0F8" w14:textId="77777777" w:rsidR="008B2711" w:rsidRDefault="008B2711" w:rsidP="00221AA9">
      <w:pPr>
        <w:pStyle w:val="1"/>
        <w:numPr>
          <w:ilvl w:val="0"/>
          <w:numId w:val="19"/>
        </w:numPr>
        <w:tabs>
          <w:tab w:val="left" w:pos="993"/>
          <w:tab w:val="left" w:pos="1561"/>
        </w:tabs>
        <w:spacing w:line="360" w:lineRule="auto"/>
        <w:ind w:firstLine="567"/>
        <w:jc w:val="both"/>
      </w:pPr>
      <w:r>
        <w:rPr>
          <w:color w:val="000000"/>
          <w:lang w:val="uk-UA" w:eastAsia="uk-UA" w:bidi="uk-UA"/>
        </w:rPr>
        <w:t xml:space="preserve">Цивільний кодекс України; Верховна Рада України; Кодекс України, Закон, Кодекс від 16.01.2003 № </w:t>
      </w:r>
      <w:r w:rsidRPr="00A33B18">
        <w:rPr>
          <w:color w:val="000000"/>
          <w:lang w:bidi="en-US"/>
        </w:rPr>
        <w:t>435-</w:t>
      </w:r>
      <w:r>
        <w:rPr>
          <w:color w:val="000000"/>
          <w:lang w:val="en-US" w:bidi="en-US"/>
        </w:rPr>
        <w:t>IV</w:t>
      </w:r>
      <w:r w:rsidRPr="00A33B18">
        <w:rPr>
          <w:color w:val="000000"/>
          <w:lang w:bidi="en-US"/>
        </w:rPr>
        <w:t>.</w:t>
      </w:r>
    </w:p>
    <w:p w14:paraId="4E62276B" w14:textId="77777777" w:rsidR="008B2711" w:rsidRDefault="008B2711" w:rsidP="00221AA9">
      <w:pPr>
        <w:pStyle w:val="1"/>
        <w:numPr>
          <w:ilvl w:val="0"/>
          <w:numId w:val="19"/>
        </w:numPr>
        <w:tabs>
          <w:tab w:val="left" w:pos="993"/>
          <w:tab w:val="left" w:pos="1561"/>
        </w:tabs>
        <w:spacing w:line="360" w:lineRule="auto"/>
        <w:ind w:firstLine="567"/>
        <w:jc w:val="both"/>
      </w:pPr>
      <w:r>
        <w:rPr>
          <w:color w:val="000000"/>
          <w:lang w:val="uk-UA" w:eastAsia="uk-UA" w:bidi="uk-UA"/>
        </w:rPr>
        <w:t>Цимбалюк І.О. Оцінка рівня податкового навантаження в регіоні (на прикладі Волинської області) // Вісник Хмельницького національного університету. 2013. Том 1. №4. С. 125-130.</w:t>
      </w:r>
    </w:p>
    <w:p w14:paraId="268F1F18" w14:textId="77777777" w:rsidR="008B2711" w:rsidRDefault="008B2711" w:rsidP="00221AA9">
      <w:pPr>
        <w:pStyle w:val="1"/>
        <w:numPr>
          <w:ilvl w:val="0"/>
          <w:numId w:val="19"/>
        </w:numPr>
        <w:tabs>
          <w:tab w:val="left" w:pos="993"/>
          <w:tab w:val="left" w:pos="1561"/>
        </w:tabs>
        <w:spacing w:line="360" w:lineRule="auto"/>
        <w:ind w:firstLine="567"/>
        <w:jc w:val="both"/>
      </w:pPr>
      <w:r>
        <w:rPr>
          <w:color w:val="000000"/>
          <w:lang w:val="uk-UA" w:eastAsia="uk-UA" w:bidi="uk-UA"/>
        </w:rPr>
        <w:t>Чаленко О. Про невизначеність поняття «потенціал» в економічних дослідженнях // Економіка України. 2011. № 5. С. 73-82.</w:t>
      </w:r>
    </w:p>
    <w:p w14:paraId="5BA8B2C9" w14:textId="77777777" w:rsidR="0032152D" w:rsidRDefault="0032152D" w:rsidP="008B2711">
      <w:pPr>
        <w:pStyle w:val="1"/>
        <w:tabs>
          <w:tab w:val="left" w:pos="1273"/>
        </w:tabs>
        <w:spacing w:line="360" w:lineRule="auto"/>
        <w:ind w:left="840" w:firstLine="0"/>
        <w:jc w:val="both"/>
      </w:pPr>
    </w:p>
    <w:p w14:paraId="71DFA567" w14:textId="77777777" w:rsidR="00CF23BE" w:rsidRDefault="00CF23BE" w:rsidP="004C2B6D">
      <w:pPr>
        <w:pStyle w:val="1"/>
        <w:spacing w:line="276" w:lineRule="auto"/>
        <w:ind w:firstLine="0"/>
        <w:jc w:val="both"/>
        <w:rPr>
          <w:color w:val="000000"/>
          <w:lang w:val="uk-UA" w:eastAsia="uk-UA" w:bidi="uk-UA"/>
        </w:rPr>
      </w:pPr>
    </w:p>
    <w:p w14:paraId="2BD95F33" w14:textId="77777777" w:rsidR="00CF23BE" w:rsidRDefault="00CF23BE" w:rsidP="004C2B6D">
      <w:pPr>
        <w:pStyle w:val="1"/>
        <w:spacing w:line="276" w:lineRule="auto"/>
        <w:ind w:firstLine="0"/>
        <w:jc w:val="both"/>
        <w:rPr>
          <w:color w:val="000000"/>
          <w:lang w:val="uk-UA" w:eastAsia="uk-UA" w:bidi="uk-UA"/>
        </w:rPr>
      </w:pPr>
    </w:p>
    <w:p w14:paraId="4D25E7E4" w14:textId="77777777" w:rsidR="00CF23BE" w:rsidRPr="00E437D0" w:rsidRDefault="00CF23BE" w:rsidP="004C2B6D">
      <w:pPr>
        <w:pStyle w:val="1"/>
        <w:spacing w:line="276" w:lineRule="auto"/>
        <w:ind w:firstLine="0"/>
        <w:jc w:val="both"/>
        <w:rPr>
          <w:color w:val="000000"/>
          <w:lang w:val="uk-UA" w:eastAsia="uk-UA" w:bidi="uk-UA"/>
        </w:rPr>
      </w:pPr>
    </w:p>
    <w:p w14:paraId="423DF0CB" w14:textId="77777777" w:rsidR="00BA6E86" w:rsidRDefault="00BA6E86"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5D4B62DA" w14:textId="77777777" w:rsidR="00BA6E86" w:rsidRDefault="00BA6E86"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301C2D7F" w14:textId="77777777" w:rsidR="00BA6E86" w:rsidRDefault="00BA6E86"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440A34FB" w14:textId="77777777" w:rsidR="00BA6E86" w:rsidRDefault="00BA6E86"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569F64D6" w14:textId="77777777" w:rsidR="00BA6E86" w:rsidRDefault="00BA6E86"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3BEC55E9" w14:textId="77777777" w:rsidR="00BA6E86" w:rsidRDefault="00BA6E86"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74A8A242" w14:textId="77777777" w:rsidR="00BA6E86" w:rsidRDefault="00BA6E86"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0465BD49" w14:textId="77777777" w:rsidR="00BA6E86" w:rsidRDefault="00BA6E86"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4E1B3E02" w14:textId="77777777" w:rsidR="00BA6E86" w:rsidRDefault="00BA6E86"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0626BE2D" w14:textId="77777777" w:rsidR="00BA6E86" w:rsidRDefault="00BA6E86"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175A89F5" w14:textId="77777777" w:rsidR="00BA6E86" w:rsidRDefault="00BA6E86"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076B4C08" w14:textId="77777777" w:rsidR="00BA6E86" w:rsidRDefault="00BA6E86"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14:paraId="3A508215" w14:textId="77777777" w:rsidR="00BA6E86" w:rsidRPr="00032FDA" w:rsidRDefault="00BA6E86" w:rsidP="00884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sectPr w:rsidR="00BA6E86" w:rsidRPr="00032FDA" w:rsidSect="000B4A0A">
      <w:headerReference w:type="default" r:id="rId3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14437" w14:textId="77777777" w:rsidR="00BA6710" w:rsidRDefault="00BA6710" w:rsidP="000B4A0A">
      <w:pPr>
        <w:spacing w:after="0" w:line="240" w:lineRule="auto"/>
      </w:pPr>
      <w:r>
        <w:separator/>
      </w:r>
    </w:p>
  </w:endnote>
  <w:endnote w:type="continuationSeparator" w:id="0">
    <w:p w14:paraId="3EB6853A" w14:textId="77777777" w:rsidR="00BA6710" w:rsidRDefault="00BA6710" w:rsidP="000B4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77035" w14:textId="77777777" w:rsidR="00BA6710" w:rsidRDefault="00BA6710" w:rsidP="000B4A0A">
      <w:pPr>
        <w:spacing w:after="0" w:line="240" w:lineRule="auto"/>
      </w:pPr>
      <w:r>
        <w:separator/>
      </w:r>
    </w:p>
  </w:footnote>
  <w:footnote w:type="continuationSeparator" w:id="0">
    <w:p w14:paraId="238C017C" w14:textId="77777777" w:rsidR="00BA6710" w:rsidRDefault="00BA6710" w:rsidP="000B4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9272"/>
      <w:docPartObj>
        <w:docPartGallery w:val="Page Numbers (Top of Page)"/>
        <w:docPartUnique/>
      </w:docPartObj>
    </w:sdtPr>
    <w:sdtEndPr/>
    <w:sdtContent>
      <w:p w14:paraId="3DD94CE6" w14:textId="77777777" w:rsidR="00255BC9" w:rsidRDefault="003E09D4">
        <w:pPr>
          <w:pStyle w:val="a8"/>
          <w:jc w:val="right"/>
        </w:pPr>
        <w:r>
          <w:fldChar w:fldCharType="begin"/>
        </w:r>
        <w:r>
          <w:instrText xml:space="preserve"> PAGE   \* MERGEFORMAT </w:instrText>
        </w:r>
        <w:r>
          <w:fldChar w:fldCharType="separate"/>
        </w:r>
        <w:r>
          <w:rPr>
            <w:noProof/>
          </w:rPr>
          <w:t>71</w:t>
        </w:r>
        <w:r>
          <w:rPr>
            <w:noProof/>
          </w:rPr>
          <w:fldChar w:fldCharType="end"/>
        </w:r>
      </w:p>
    </w:sdtContent>
  </w:sdt>
  <w:p w14:paraId="5467EEAB" w14:textId="77777777" w:rsidR="00255BC9" w:rsidRDefault="00255BC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D96"/>
    <w:multiLevelType w:val="multilevel"/>
    <w:tmpl w:val="EBA6C7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94DA8"/>
    <w:multiLevelType w:val="multilevel"/>
    <w:tmpl w:val="BD2A7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D044E"/>
    <w:multiLevelType w:val="multilevel"/>
    <w:tmpl w:val="A22266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917BE3"/>
    <w:multiLevelType w:val="multilevel"/>
    <w:tmpl w:val="0AF0FB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300425"/>
    <w:multiLevelType w:val="multilevel"/>
    <w:tmpl w:val="5D3AE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E30FC1"/>
    <w:multiLevelType w:val="multilevel"/>
    <w:tmpl w:val="1FDE0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6053F2"/>
    <w:multiLevelType w:val="multilevel"/>
    <w:tmpl w:val="5F4C55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EA1DAA"/>
    <w:multiLevelType w:val="multilevel"/>
    <w:tmpl w:val="AA5E7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1D1566"/>
    <w:multiLevelType w:val="multilevel"/>
    <w:tmpl w:val="1AA6D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CE58BF"/>
    <w:multiLevelType w:val="multilevel"/>
    <w:tmpl w:val="AA5E7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E579B2"/>
    <w:multiLevelType w:val="multilevel"/>
    <w:tmpl w:val="06E25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0A5BAE"/>
    <w:multiLevelType w:val="multilevel"/>
    <w:tmpl w:val="F6B8BA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8E34F5"/>
    <w:multiLevelType w:val="multilevel"/>
    <w:tmpl w:val="A3AA6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C31528"/>
    <w:multiLevelType w:val="multilevel"/>
    <w:tmpl w:val="BD2A7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E0631D"/>
    <w:multiLevelType w:val="multilevel"/>
    <w:tmpl w:val="3058E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B573EE"/>
    <w:multiLevelType w:val="multilevel"/>
    <w:tmpl w:val="A816D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707CF2"/>
    <w:multiLevelType w:val="multilevel"/>
    <w:tmpl w:val="5450DB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E57549"/>
    <w:multiLevelType w:val="multilevel"/>
    <w:tmpl w:val="1FDE0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2E1C78"/>
    <w:multiLevelType w:val="hybridMultilevel"/>
    <w:tmpl w:val="B6101048"/>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FC9190A"/>
    <w:multiLevelType w:val="multilevel"/>
    <w:tmpl w:val="9F0C3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5"/>
  </w:num>
  <w:num w:numId="4">
    <w:abstractNumId w:val="2"/>
  </w:num>
  <w:num w:numId="5">
    <w:abstractNumId w:val="0"/>
  </w:num>
  <w:num w:numId="6">
    <w:abstractNumId w:val="1"/>
  </w:num>
  <w:num w:numId="7">
    <w:abstractNumId w:val="13"/>
  </w:num>
  <w:num w:numId="8">
    <w:abstractNumId w:val="11"/>
  </w:num>
  <w:num w:numId="9">
    <w:abstractNumId w:val="12"/>
  </w:num>
  <w:num w:numId="10">
    <w:abstractNumId w:val="3"/>
  </w:num>
  <w:num w:numId="11">
    <w:abstractNumId w:val="8"/>
  </w:num>
  <w:num w:numId="12">
    <w:abstractNumId w:val="10"/>
  </w:num>
  <w:num w:numId="13">
    <w:abstractNumId w:val="16"/>
  </w:num>
  <w:num w:numId="14">
    <w:abstractNumId w:val="14"/>
  </w:num>
  <w:num w:numId="15">
    <w:abstractNumId w:val="5"/>
  </w:num>
  <w:num w:numId="16">
    <w:abstractNumId w:val="17"/>
  </w:num>
  <w:num w:numId="17">
    <w:abstractNumId w:val="19"/>
  </w:num>
  <w:num w:numId="18">
    <w:abstractNumId w:val="9"/>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FDA"/>
    <w:rsid w:val="00032FDA"/>
    <w:rsid w:val="00046DB8"/>
    <w:rsid w:val="000A5AAD"/>
    <w:rsid w:val="000A749E"/>
    <w:rsid w:val="000B03E9"/>
    <w:rsid w:val="000B4A0A"/>
    <w:rsid w:val="00180F4A"/>
    <w:rsid w:val="002008AC"/>
    <w:rsid w:val="00221AA9"/>
    <w:rsid w:val="00255BC9"/>
    <w:rsid w:val="002A1067"/>
    <w:rsid w:val="0032152D"/>
    <w:rsid w:val="003B4851"/>
    <w:rsid w:val="003E09D4"/>
    <w:rsid w:val="00417232"/>
    <w:rsid w:val="0048758C"/>
    <w:rsid w:val="004A0D0D"/>
    <w:rsid w:val="004C2B6D"/>
    <w:rsid w:val="00507D57"/>
    <w:rsid w:val="00553064"/>
    <w:rsid w:val="005E2E19"/>
    <w:rsid w:val="00621DC2"/>
    <w:rsid w:val="00696848"/>
    <w:rsid w:val="006C0330"/>
    <w:rsid w:val="007722FF"/>
    <w:rsid w:val="007A2FCB"/>
    <w:rsid w:val="00884CEA"/>
    <w:rsid w:val="008B2711"/>
    <w:rsid w:val="00971AC7"/>
    <w:rsid w:val="009C040D"/>
    <w:rsid w:val="009E5070"/>
    <w:rsid w:val="009E6981"/>
    <w:rsid w:val="00A23A91"/>
    <w:rsid w:val="00A33B18"/>
    <w:rsid w:val="00A920C1"/>
    <w:rsid w:val="00AA29A0"/>
    <w:rsid w:val="00AD5B85"/>
    <w:rsid w:val="00AE5269"/>
    <w:rsid w:val="00B00C6C"/>
    <w:rsid w:val="00B44465"/>
    <w:rsid w:val="00BA6710"/>
    <w:rsid w:val="00BA6E86"/>
    <w:rsid w:val="00BB2166"/>
    <w:rsid w:val="00BD1CEA"/>
    <w:rsid w:val="00C7267B"/>
    <w:rsid w:val="00C75B0C"/>
    <w:rsid w:val="00C8148F"/>
    <w:rsid w:val="00CD74F6"/>
    <w:rsid w:val="00CF23BE"/>
    <w:rsid w:val="00D2784C"/>
    <w:rsid w:val="00D41B15"/>
    <w:rsid w:val="00DD5148"/>
    <w:rsid w:val="00E507BB"/>
    <w:rsid w:val="00E74C09"/>
    <w:rsid w:val="00E90485"/>
    <w:rsid w:val="00EA67D8"/>
    <w:rsid w:val="00EB2FB0"/>
    <w:rsid w:val="00F76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0E6E"/>
  <w15:docId w15:val="{BD23A7DA-4AEC-48C3-96A0-6DC306E4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4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32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032FDA"/>
    <w:rPr>
      <w:rFonts w:ascii="Courier New" w:eastAsia="Times New Roman" w:hAnsi="Courier New" w:cs="Courier New"/>
      <w:sz w:val="20"/>
      <w:szCs w:val="20"/>
      <w:lang w:eastAsia="ru-RU"/>
    </w:rPr>
  </w:style>
  <w:style w:type="character" w:customStyle="1" w:styleId="a3">
    <w:name w:val="Основной текст_"/>
    <w:basedOn w:val="a0"/>
    <w:link w:val="1"/>
    <w:rsid w:val="006C0330"/>
    <w:rPr>
      <w:rFonts w:ascii="Times New Roman" w:eastAsia="Times New Roman" w:hAnsi="Times New Roman" w:cs="Times New Roman"/>
      <w:sz w:val="28"/>
      <w:szCs w:val="28"/>
    </w:rPr>
  </w:style>
  <w:style w:type="paragraph" w:customStyle="1" w:styleId="1">
    <w:name w:val="Основной текст1"/>
    <w:basedOn w:val="a"/>
    <w:link w:val="a3"/>
    <w:rsid w:val="006C0330"/>
    <w:pPr>
      <w:widowControl w:val="0"/>
      <w:spacing w:after="0" w:line="240" w:lineRule="auto"/>
      <w:ind w:firstLine="400"/>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C8148F"/>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C8148F"/>
    <w:rPr>
      <w:rFonts w:ascii="Tahoma" w:hAnsi="Tahoma" w:cs="Tahoma"/>
      <w:sz w:val="16"/>
      <w:szCs w:val="16"/>
    </w:rPr>
  </w:style>
  <w:style w:type="character" w:customStyle="1" w:styleId="a6">
    <w:name w:val="Подпись к картинке_"/>
    <w:basedOn w:val="a0"/>
    <w:link w:val="a7"/>
    <w:rsid w:val="00C8148F"/>
    <w:rPr>
      <w:rFonts w:ascii="Times New Roman" w:eastAsia="Times New Roman" w:hAnsi="Times New Roman" w:cs="Times New Roman"/>
      <w:sz w:val="28"/>
      <w:szCs w:val="28"/>
    </w:rPr>
  </w:style>
  <w:style w:type="paragraph" w:customStyle="1" w:styleId="a7">
    <w:name w:val="Подпись к картинке"/>
    <w:basedOn w:val="a"/>
    <w:link w:val="a6"/>
    <w:rsid w:val="00C8148F"/>
    <w:pPr>
      <w:widowControl w:val="0"/>
      <w:spacing w:after="0" w:line="257" w:lineRule="auto"/>
    </w:pPr>
    <w:rPr>
      <w:rFonts w:ascii="Times New Roman" w:eastAsia="Times New Roman" w:hAnsi="Times New Roman" w:cs="Times New Roman"/>
      <w:sz w:val="28"/>
      <w:szCs w:val="28"/>
    </w:rPr>
  </w:style>
  <w:style w:type="character" w:customStyle="1" w:styleId="5">
    <w:name w:val="Заголовок №5_"/>
    <w:basedOn w:val="a0"/>
    <w:link w:val="50"/>
    <w:rsid w:val="00E507BB"/>
    <w:rPr>
      <w:rFonts w:ascii="Times New Roman" w:eastAsia="Times New Roman" w:hAnsi="Times New Roman" w:cs="Times New Roman"/>
      <w:b/>
      <w:bCs/>
      <w:sz w:val="28"/>
      <w:szCs w:val="28"/>
    </w:rPr>
  </w:style>
  <w:style w:type="paragraph" w:customStyle="1" w:styleId="50">
    <w:name w:val="Заголовок №5"/>
    <w:basedOn w:val="a"/>
    <w:link w:val="5"/>
    <w:rsid w:val="00E507BB"/>
    <w:pPr>
      <w:widowControl w:val="0"/>
      <w:spacing w:after="140" w:line="365" w:lineRule="auto"/>
      <w:jc w:val="center"/>
      <w:outlineLvl w:val="4"/>
    </w:pPr>
    <w:rPr>
      <w:rFonts w:ascii="Times New Roman" w:eastAsia="Times New Roman" w:hAnsi="Times New Roman" w:cs="Times New Roman"/>
      <w:b/>
      <w:bCs/>
      <w:sz w:val="28"/>
      <w:szCs w:val="28"/>
    </w:rPr>
  </w:style>
  <w:style w:type="paragraph" w:styleId="a8">
    <w:name w:val="header"/>
    <w:basedOn w:val="a"/>
    <w:link w:val="a9"/>
    <w:uiPriority w:val="99"/>
    <w:unhideWhenUsed/>
    <w:rsid w:val="000B4A0A"/>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0B4A0A"/>
  </w:style>
  <w:style w:type="paragraph" w:styleId="aa">
    <w:name w:val="footer"/>
    <w:basedOn w:val="a"/>
    <w:link w:val="ab"/>
    <w:uiPriority w:val="99"/>
    <w:semiHidden/>
    <w:unhideWhenUsed/>
    <w:rsid w:val="000B4A0A"/>
    <w:pPr>
      <w:tabs>
        <w:tab w:val="center" w:pos="4677"/>
        <w:tab w:val="right" w:pos="9355"/>
      </w:tabs>
      <w:spacing w:after="0" w:line="240" w:lineRule="auto"/>
    </w:pPr>
  </w:style>
  <w:style w:type="character" w:customStyle="1" w:styleId="ab">
    <w:name w:val="Нижній колонтитул Знак"/>
    <w:basedOn w:val="a0"/>
    <w:link w:val="aa"/>
    <w:uiPriority w:val="99"/>
    <w:semiHidden/>
    <w:rsid w:val="000B4A0A"/>
  </w:style>
  <w:style w:type="character" w:customStyle="1" w:styleId="ac">
    <w:name w:val="Другое_"/>
    <w:basedOn w:val="a0"/>
    <w:link w:val="ad"/>
    <w:rsid w:val="000B4A0A"/>
    <w:rPr>
      <w:rFonts w:ascii="Times New Roman" w:eastAsia="Times New Roman" w:hAnsi="Times New Roman" w:cs="Times New Roman"/>
      <w:sz w:val="28"/>
      <w:szCs w:val="28"/>
    </w:rPr>
  </w:style>
  <w:style w:type="paragraph" w:customStyle="1" w:styleId="ad">
    <w:name w:val="Другое"/>
    <w:basedOn w:val="a"/>
    <w:link w:val="ac"/>
    <w:rsid w:val="000B4A0A"/>
    <w:pPr>
      <w:widowControl w:val="0"/>
      <w:spacing w:after="0" w:line="360" w:lineRule="auto"/>
      <w:ind w:firstLine="400"/>
    </w:pPr>
    <w:rPr>
      <w:rFonts w:ascii="Times New Roman" w:eastAsia="Times New Roman" w:hAnsi="Times New Roman" w:cs="Times New Roman"/>
      <w:sz w:val="28"/>
      <w:szCs w:val="28"/>
    </w:rPr>
  </w:style>
  <w:style w:type="character" w:customStyle="1" w:styleId="ae">
    <w:name w:val="Колонтитул_"/>
    <w:basedOn w:val="a0"/>
    <w:link w:val="af"/>
    <w:rsid w:val="00884CEA"/>
    <w:rPr>
      <w:rFonts w:ascii="Times New Roman" w:eastAsia="Times New Roman" w:hAnsi="Times New Roman" w:cs="Times New Roman"/>
      <w:lang w:eastAsia="ru-RU" w:bidi="ru-RU"/>
    </w:rPr>
  </w:style>
  <w:style w:type="paragraph" w:customStyle="1" w:styleId="af">
    <w:name w:val="Колонтитул"/>
    <w:basedOn w:val="a"/>
    <w:link w:val="ae"/>
    <w:rsid w:val="00884CEA"/>
    <w:pPr>
      <w:widowControl w:val="0"/>
      <w:spacing w:after="0" w:line="240" w:lineRule="auto"/>
      <w:jc w:val="right"/>
    </w:pPr>
    <w:rPr>
      <w:rFonts w:ascii="Times New Roman" w:eastAsia="Times New Roman" w:hAnsi="Times New Roman" w:cs="Times New Roman"/>
      <w:lang w:eastAsia="ru-RU" w:bidi="ru-RU"/>
    </w:rPr>
  </w:style>
  <w:style w:type="character" w:customStyle="1" w:styleId="af0">
    <w:name w:val="Подпись к таблице_"/>
    <w:basedOn w:val="a0"/>
    <w:link w:val="af1"/>
    <w:rsid w:val="00884CEA"/>
    <w:rPr>
      <w:rFonts w:ascii="Times New Roman" w:eastAsia="Times New Roman" w:hAnsi="Times New Roman" w:cs="Times New Roman"/>
      <w:sz w:val="28"/>
      <w:szCs w:val="28"/>
    </w:rPr>
  </w:style>
  <w:style w:type="paragraph" w:customStyle="1" w:styleId="af1">
    <w:name w:val="Подпись к таблице"/>
    <w:basedOn w:val="a"/>
    <w:link w:val="af0"/>
    <w:rsid w:val="00884CEA"/>
    <w:pPr>
      <w:widowControl w:val="0"/>
      <w:spacing w:after="0" w:line="240" w:lineRule="auto"/>
    </w:pPr>
    <w:rPr>
      <w:rFonts w:ascii="Times New Roman" w:eastAsia="Times New Roman" w:hAnsi="Times New Roman" w:cs="Times New Roman"/>
      <w:sz w:val="28"/>
      <w:szCs w:val="28"/>
    </w:rPr>
  </w:style>
  <w:style w:type="character" w:customStyle="1" w:styleId="51">
    <w:name w:val="Основной текст (5)_"/>
    <w:basedOn w:val="a0"/>
    <w:link w:val="52"/>
    <w:rsid w:val="007722FF"/>
    <w:rPr>
      <w:rFonts w:ascii="Times New Roman" w:eastAsia="Times New Roman" w:hAnsi="Times New Roman" w:cs="Times New Roman"/>
    </w:rPr>
  </w:style>
  <w:style w:type="paragraph" w:customStyle="1" w:styleId="52">
    <w:name w:val="Основной текст (5)"/>
    <w:basedOn w:val="a"/>
    <w:link w:val="51"/>
    <w:rsid w:val="007722FF"/>
    <w:pPr>
      <w:widowControl w:val="0"/>
      <w:spacing w:after="520" w:line="240" w:lineRule="auto"/>
      <w:ind w:firstLine="6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6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zakon3.rada.gov.ua" TargetMode="External"/><Relationship Id="rId3" Type="http://schemas.openxmlformats.org/officeDocument/2006/relationships/settings" Target="settings.xml"/><Relationship Id="rId21" Type="http://schemas.openxmlformats.org/officeDocument/2006/relationships/hyperlink" Target="http://www.minregion.gov.ua/wp-"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www.kmu.gov.ua" TargetMode="External"/><Relationship Id="rId33" Type="http://schemas.openxmlformats.org/officeDocument/2006/relationships/hyperlink" Target="http://www.economy.nayka.com.ua"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niss.gov.ua/articles/844/" TargetMode="External"/><Relationship Id="rId29" Type="http://schemas.openxmlformats.org/officeDocument/2006/relationships/hyperlink" Target="http://appu.org.ua/news/--034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decentralization.gov.ua/pics/attachments/MinReg_FEB-2017-mini_(1).pdf" TargetMode="External"/><Relationship Id="rId32" Type="http://schemas.openxmlformats.org/officeDocument/2006/relationships/hyperlink" Target="http://www.economy.nayka.com.ua"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www.cvk.gov.ua/visnyk/pdf/" TargetMode="External"/><Relationship Id="rId28" Type="http://schemas.openxmlformats.org/officeDocument/2006/relationships/hyperlink" Target="http://www.visnuk.com.ua/ua" TargetMode="Externa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zik.ua/news/2014/03/21/administratyvnoterytorialna_reforma_zmenshyt_kilki" TargetMode="External"/><Relationship Id="rId31" Type="http://schemas.openxmlformats.org/officeDocument/2006/relationships/hyperlink" Target="http://nbuv.gov.ua/j-pdf/appol.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uspp.ua/st4serydrtyf.html" TargetMode="External"/><Relationship Id="rId27" Type="http://schemas.openxmlformats.org/officeDocument/2006/relationships/hyperlink" Target="http://www.ukrstat.gov.ua/klasf/nac_kls/op_dk002_2016.htm" TargetMode="External"/><Relationship Id="rId30" Type="http://schemas.openxmlformats.org/officeDocument/2006/relationships/hyperlink" Target="http://zakon3.rada.gov.ua/laws/show/2755-17" TargetMode="External"/><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70</Pages>
  <Words>70015</Words>
  <Characters>39909</Characters>
  <Application>Microsoft Office Word</Application>
  <DocSecurity>0</DocSecurity>
  <Lines>332</Lines>
  <Paragraphs>219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109705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Володимир Горин</cp:lastModifiedBy>
  <cp:revision>5</cp:revision>
  <dcterms:created xsi:type="dcterms:W3CDTF">2022-12-06T09:57:00Z</dcterms:created>
  <dcterms:modified xsi:type="dcterms:W3CDTF">2023-01-18T11:25:00Z</dcterms:modified>
</cp:coreProperties>
</file>