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A1" w:rsidRPr="00E62463" w:rsidRDefault="00E40DA1" w:rsidP="00E40DA1">
      <w:pPr>
        <w:spacing w:after="0" w:line="240" w:lineRule="auto"/>
        <w:ind w:left="-284" w:right="566" w:firstLine="710"/>
        <w:rPr>
          <w:rFonts w:ascii="Times New Roman" w:hAnsi="Times New Roman"/>
          <w:sz w:val="28"/>
          <w:szCs w:val="28"/>
        </w:rPr>
      </w:pPr>
      <w:r w:rsidRPr="00E62463">
        <w:rPr>
          <w:rFonts w:ascii="Times New Roman" w:hAnsi="Times New Roman"/>
          <w:sz w:val="28"/>
          <w:szCs w:val="28"/>
        </w:rPr>
        <w:t>УДК 336.02(477)</w:t>
      </w:r>
    </w:p>
    <w:p w:rsidR="00B26637" w:rsidRDefault="00B26637" w:rsidP="00B26637">
      <w:pPr>
        <w:tabs>
          <w:tab w:val="left" w:pos="3402"/>
        </w:tabs>
        <w:spacing w:after="0" w:line="360" w:lineRule="auto"/>
        <w:ind w:left="-567" w:firstLine="567"/>
        <w:jc w:val="right"/>
        <w:rPr>
          <w:rFonts w:ascii="Times New Roman" w:hAnsi="Times New Roman"/>
          <w:b/>
          <w:sz w:val="28"/>
          <w:szCs w:val="28"/>
          <w:lang w:val="uk-UA"/>
        </w:rPr>
      </w:pPr>
      <w:r w:rsidRPr="00AA515E">
        <w:rPr>
          <w:rFonts w:ascii="Times New Roman" w:hAnsi="Times New Roman"/>
          <w:b/>
          <w:sz w:val="28"/>
          <w:szCs w:val="28"/>
          <w:lang w:val="uk-UA"/>
        </w:rPr>
        <w:t>Михальчук Н</w:t>
      </w:r>
      <w:r w:rsidR="00E40DA1">
        <w:rPr>
          <w:rFonts w:ascii="Times New Roman" w:hAnsi="Times New Roman"/>
          <w:b/>
          <w:sz w:val="28"/>
          <w:szCs w:val="28"/>
          <w:lang w:val="uk-UA"/>
        </w:rPr>
        <w:t>адія Михайлівна,</w:t>
      </w:r>
    </w:p>
    <w:p w:rsidR="00E40DA1" w:rsidRPr="00E40DA1" w:rsidRDefault="00E40DA1" w:rsidP="00B26637">
      <w:pPr>
        <w:tabs>
          <w:tab w:val="left" w:pos="3402"/>
        </w:tabs>
        <w:spacing w:after="0" w:line="360" w:lineRule="auto"/>
        <w:ind w:left="-567" w:firstLine="567"/>
        <w:jc w:val="right"/>
        <w:rPr>
          <w:rFonts w:ascii="Times New Roman" w:hAnsi="Times New Roman"/>
          <w:sz w:val="28"/>
          <w:szCs w:val="28"/>
          <w:lang w:val="uk-UA"/>
        </w:rPr>
      </w:pPr>
      <w:r w:rsidRPr="00E40DA1">
        <w:rPr>
          <w:rFonts w:ascii="Times New Roman" w:hAnsi="Times New Roman"/>
          <w:sz w:val="28"/>
          <w:szCs w:val="28"/>
          <w:lang w:val="uk-UA"/>
        </w:rPr>
        <w:t xml:space="preserve">викладач кафедри фінансово-економічної безпеки </w:t>
      </w:r>
    </w:p>
    <w:p w:rsidR="00E40DA1" w:rsidRPr="00E40DA1" w:rsidRDefault="00E40DA1" w:rsidP="00DE414E">
      <w:pPr>
        <w:tabs>
          <w:tab w:val="left" w:pos="3402"/>
        </w:tabs>
        <w:spacing w:after="0" w:line="360" w:lineRule="auto"/>
        <w:ind w:left="-567" w:firstLine="567"/>
        <w:jc w:val="right"/>
        <w:rPr>
          <w:rFonts w:ascii="Times New Roman" w:hAnsi="Times New Roman"/>
          <w:sz w:val="28"/>
          <w:szCs w:val="28"/>
          <w:lang w:val="uk-UA"/>
        </w:rPr>
      </w:pPr>
      <w:r w:rsidRPr="00E40DA1">
        <w:rPr>
          <w:rFonts w:ascii="Times New Roman" w:hAnsi="Times New Roman"/>
          <w:sz w:val="28"/>
          <w:szCs w:val="28"/>
          <w:lang w:val="uk-UA"/>
        </w:rPr>
        <w:t>та інтелектуальної власності, кандидат економічних наук</w:t>
      </w:r>
      <w:r>
        <w:rPr>
          <w:rFonts w:ascii="Times New Roman" w:hAnsi="Times New Roman"/>
          <w:sz w:val="28"/>
          <w:szCs w:val="28"/>
          <w:lang w:val="uk-UA"/>
        </w:rPr>
        <w:t>,</w:t>
      </w:r>
    </w:p>
    <w:p w:rsidR="00E40DA1" w:rsidRPr="00E40DA1" w:rsidRDefault="00E40DA1" w:rsidP="00B26637">
      <w:pPr>
        <w:tabs>
          <w:tab w:val="left" w:pos="3402"/>
        </w:tabs>
        <w:spacing w:after="0" w:line="360" w:lineRule="auto"/>
        <w:ind w:left="-567" w:firstLine="567"/>
        <w:jc w:val="right"/>
        <w:rPr>
          <w:rFonts w:ascii="Times New Roman" w:hAnsi="Times New Roman"/>
          <w:sz w:val="28"/>
          <w:szCs w:val="28"/>
          <w:lang w:val="uk-UA"/>
        </w:rPr>
      </w:pPr>
      <w:r w:rsidRPr="00E40DA1">
        <w:rPr>
          <w:rFonts w:ascii="Times New Roman" w:hAnsi="Times New Roman"/>
          <w:sz w:val="28"/>
          <w:szCs w:val="28"/>
          <w:lang w:val="uk-UA"/>
        </w:rPr>
        <w:t>Тернопільський національний економічний університет</w:t>
      </w:r>
    </w:p>
    <w:p w:rsidR="00E40DA1" w:rsidRPr="00464196" w:rsidRDefault="00E40DA1" w:rsidP="00B26637">
      <w:pPr>
        <w:tabs>
          <w:tab w:val="left" w:pos="3402"/>
        </w:tabs>
        <w:spacing w:after="0" w:line="360" w:lineRule="auto"/>
        <w:ind w:left="-567" w:firstLine="567"/>
        <w:jc w:val="right"/>
        <w:rPr>
          <w:rFonts w:ascii="Times New Roman" w:hAnsi="Times New Roman"/>
          <w:sz w:val="28"/>
          <w:szCs w:val="28"/>
        </w:rPr>
      </w:pPr>
    </w:p>
    <w:p w:rsidR="00B26637" w:rsidRPr="00AA515E" w:rsidRDefault="007B7EC9" w:rsidP="00B26637">
      <w:pPr>
        <w:autoSpaceDE w:val="0"/>
        <w:autoSpaceDN w:val="0"/>
        <w:adjustRightInd w:val="0"/>
        <w:spacing w:after="0" w:line="360" w:lineRule="auto"/>
        <w:ind w:left="-567" w:firstLine="567"/>
        <w:jc w:val="center"/>
        <w:rPr>
          <w:rFonts w:ascii="Times New Roman" w:hAnsi="Times New Roman"/>
          <w:sz w:val="28"/>
          <w:szCs w:val="28"/>
          <w:lang w:val="uk-UA"/>
        </w:rPr>
      </w:pPr>
      <w:r>
        <w:rPr>
          <w:rFonts w:ascii="Times New Roman" w:hAnsi="Times New Roman"/>
          <w:b/>
          <w:sz w:val="28"/>
          <w:szCs w:val="28"/>
          <w:lang w:val="uk-UA"/>
        </w:rPr>
        <w:t>ПРОГРАМА</w:t>
      </w:r>
      <w:r w:rsidR="00B26637">
        <w:rPr>
          <w:rFonts w:ascii="Times New Roman" w:hAnsi="Times New Roman"/>
          <w:b/>
          <w:sz w:val="28"/>
          <w:szCs w:val="28"/>
          <w:lang w:val="uk-UA"/>
        </w:rPr>
        <w:t xml:space="preserve"> НЕЙТРАЛІЗАЦІЇ ПОДАТКОВО-БОРГОВИХ РИЗИКІВ ФІНАНСОВОЇ БЕЗПЕКИ ДЕРЖАВИ</w:t>
      </w:r>
    </w:p>
    <w:p w:rsidR="00B26637" w:rsidRPr="00E8027F" w:rsidRDefault="00B26637" w:rsidP="00B26637">
      <w:pPr>
        <w:pStyle w:val="NormalWeb"/>
        <w:spacing w:before="0" w:beforeAutospacing="0" w:after="0" w:afterAutospacing="0"/>
        <w:ind w:left="-567" w:firstLine="567"/>
        <w:jc w:val="both"/>
        <w:rPr>
          <w:i/>
          <w:iCs/>
          <w:sz w:val="28"/>
          <w:szCs w:val="28"/>
          <w:lang w:val="uk-UA"/>
        </w:rPr>
      </w:pPr>
      <w:r w:rsidRPr="00E8027F">
        <w:rPr>
          <w:b/>
          <w:i/>
          <w:color w:val="000000"/>
          <w:sz w:val="28"/>
          <w:szCs w:val="28"/>
          <w:lang w:val="uk-UA"/>
        </w:rPr>
        <w:t xml:space="preserve">Анотація. </w:t>
      </w:r>
      <w:r w:rsidRPr="00E8027F">
        <w:rPr>
          <w:i/>
          <w:iCs/>
          <w:sz w:val="28"/>
          <w:szCs w:val="28"/>
          <w:lang w:val="uk-UA"/>
        </w:rPr>
        <w:t>У статті</w:t>
      </w:r>
      <w:r w:rsidR="009C43D1" w:rsidRPr="00E8027F">
        <w:rPr>
          <w:i/>
          <w:iCs/>
          <w:sz w:val="28"/>
          <w:szCs w:val="28"/>
          <w:lang w:val="uk-UA"/>
        </w:rPr>
        <w:t xml:space="preserve"> застосовано </w:t>
      </w:r>
      <w:proofErr w:type="spellStart"/>
      <w:r w:rsidR="009C43D1" w:rsidRPr="00E8027F">
        <w:rPr>
          <w:i/>
          <w:iCs/>
          <w:sz w:val="28"/>
          <w:szCs w:val="28"/>
          <w:lang w:val="uk-UA"/>
        </w:rPr>
        <w:t>безпекознавчий</w:t>
      </w:r>
      <w:proofErr w:type="spellEnd"/>
      <w:r w:rsidR="009C43D1" w:rsidRPr="00E8027F">
        <w:rPr>
          <w:i/>
          <w:iCs/>
          <w:sz w:val="28"/>
          <w:szCs w:val="28"/>
          <w:lang w:val="uk-UA"/>
        </w:rPr>
        <w:t xml:space="preserve"> підхід до </w:t>
      </w:r>
      <w:r w:rsidR="006A1937">
        <w:rPr>
          <w:i/>
          <w:iCs/>
          <w:sz w:val="28"/>
          <w:szCs w:val="28"/>
          <w:lang w:val="uk-UA"/>
        </w:rPr>
        <w:t xml:space="preserve">визначення </w:t>
      </w:r>
      <w:r w:rsidR="009C43D1" w:rsidRPr="00E8027F">
        <w:rPr>
          <w:i/>
          <w:iCs/>
          <w:sz w:val="28"/>
          <w:szCs w:val="28"/>
          <w:lang w:val="uk-UA"/>
        </w:rPr>
        <w:t>сутності податкового боргу</w:t>
      </w:r>
      <w:r w:rsidRPr="00E8027F">
        <w:rPr>
          <w:i/>
          <w:iCs/>
          <w:sz w:val="28"/>
          <w:szCs w:val="28"/>
          <w:lang w:val="uk-UA"/>
        </w:rPr>
        <w:t xml:space="preserve">. </w:t>
      </w:r>
      <w:r w:rsidR="00CB0ACC" w:rsidRPr="00E8027F">
        <w:rPr>
          <w:i/>
          <w:iCs/>
          <w:sz w:val="28"/>
          <w:szCs w:val="28"/>
          <w:lang w:val="uk-UA"/>
        </w:rPr>
        <w:t>Здійснено аналіз</w:t>
      </w:r>
      <w:r w:rsidRPr="00E8027F">
        <w:rPr>
          <w:i/>
          <w:iCs/>
          <w:sz w:val="28"/>
          <w:szCs w:val="28"/>
          <w:lang w:val="uk-UA"/>
        </w:rPr>
        <w:t xml:space="preserve"> динаміки показників, що характеризують розвиток явища: </w:t>
      </w:r>
      <w:r w:rsidR="00CF3F57" w:rsidRPr="00CF3F57">
        <w:rPr>
          <w:i/>
          <w:iCs/>
          <w:sz w:val="28"/>
          <w:szCs w:val="28"/>
          <w:lang w:val="uk-UA"/>
        </w:rPr>
        <w:t>темпів зміни номінального та реального податкового боргу, динаміку податкового боргу тимчасово окупованих територій, частки боргу до ВВП.</w:t>
      </w:r>
      <w:r w:rsidR="00CF3F57" w:rsidRPr="00CF3F57">
        <w:rPr>
          <w:i/>
          <w:sz w:val="28"/>
          <w:szCs w:val="28"/>
          <w:lang w:val="uk-UA"/>
        </w:rPr>
        <w:t xml:space="preserve"> </w:t>
      </w:r>
      <w:r w:rsidR="00CB0ACC" w:rsidRPr="00E8027F">
        <w:rPr>
          <w:i/>
          <w:iCs/>
          <w:sz w:val="28"/>
          <w:szCs w:val="28"/>
          <w:lang w:val="uk-UA"/>
        </w:rPr>
        <w:t>Доведено важливість стратегічного підходу до організації податково-боргової роботи з метою посилення фінансової безпеки держави</w:t>
      </w:r>
      <w:r w:rsidR="00CF3F57" w:rsidRPr="00CF3F57">
        <w:rPr>
          <w:i/>
          <w:sz w:val="28"/>
          <w:szCs w:val="28"/>
          <w:lang w:val="uk-UA"/>
        </w:rPr>
        <w:t>. Визначено інтереси у сфері акумулювання податкових надходжень, які є необхідними для формування належного фінансового потенціалу держави</w:t>
      </w:r>
      <w:r w:rsidR="00CF3F57">
        <w:rPr>
          <w:i/>
          <w:iCs/>
          <w:sz w:val="28"/>
          <w:szCs w:val="28"/>
          <w:lang w:val="uk-UA"/>
        </w:rPr>
        <w:t xml:space="preserve">. </w:t>
      </w:r>
      <w:r w:rsidR="00CB0ACC" w:rsidRPr="00E8027F">
        <w:rPr>
          <w:i/>
          <w:iCs/>
          <w:sz w:val="28"/>
          <w:szCs w:val="28"/>
          <w:lang w:val="uk-UA"/>
        </w:rPr>
        <w:t xml:space="preserve">Запропоновано </w:t>
      </w:r>
      <w:r w:rsidR="007B7EC9">
        <w:rPr>
          <w:i/>
          <w:iCs/>
          <w:sz w:val="28"/>
          <w:szCs w:val="28"/>
          <w:lang w:val="uk-UA"/>
        </w:rPr>
        <w:t>Програму</w:t>
      </w:r>
      <w:r w:rsidR="00CB0ACC" w:rsidRPr="00E8027F">
        <w:rPr>
          <w:i/>
          <w:iCs/>
          <w:sz w:val="28"/>
          <w:szCs w:val="28"/>
          <w:lang w:val="uk-UA"/>
        </w:rPr>
        <w:t xml:space="preserve"> нейтралізації податково-боргових ризиків із врахуванням їх життєвого циклу. </w:t>
      </w:r>
    </w:p>
    <w:p w:rsidR="00B26637" w:rsidRPr="00E8027F" w:rsidRDefault="00B26637" w:rsidP="00B26637">
      <w:pPr>
        <w:pStyle w:val="NormalWeb"/>
        <w:spacing w:before="0" w:beforeAutospacing="0" w:after="0" w:afterAutospacing="0"/>
        <w:ind w:left="-567" w:firstLine="567"/>
        <w:jc w:val="both"/>
        <w:rPr>
          <w:i/>
          <w:color w:val="000000"/>
          <w:sz w:val="28"/>
          <w:szCs w:val="28"/>
        </w:rPr>
      </w:pPr>
      <w:r w:rsidRPr="00E8027F">
        <w:rPr>
          <w:b/>
          <w:i/>
          <w:color w:val="000000"/>
          <w:sz w:val="28"/>
          <w:szCs w:val="28"/>
          <w:lang w:val="uk-UA"/>
        </w:rPr>
        <w:t xml:space="preserve">Ключові слова: </w:t>
      </w:r>
      <w:r w:rsidR="00664297" w:rsidRPr="00E8027F">
        <w:rPr>
          <w:i/>
          <w:color w:val="000000"/>
          <w:sz w:val="28"/>
          <w:szCs w:val="28"/>
          <w:lang w:val="uk-UA"/>
        </w:rPr>
        <w:t xml:space="preserve">податково-боргові ризики, динаміка податкового боргу, </w:t>
      </w:r>
      <w:r w:rsidR="00CF3F57">
        <w:rPr>
          <w:i/>
          <w:color w:val="000000"/>
          <w:sz w:val="28"/>
          <w:szCs w:val="28"/>
          <w:lang w:val="uk-UA"/>
        </w:rPr>
        <w:t>Програма</w:t>
      </w:r>
      <w:r w:rsidR="00664297" w:rsidRPr="00E8027F">
        <w:rPr>
          <w:i/>
          <w:color w:val="000000"/>
          <w:sz w:val="28"/>
          <w:szCs w:val="28"/>
          <w:lang w:val="uk-UA"/>
        </w:rPr>
        <w:t xml:space="preserve"> нейтралізації податково-боргових ризиків.</w:t>
      </w:r>
    </w:p>
    <w:p w:rsidR="00B26637" w:rsidRPr="000864D6" w:rsidRDefault="00B26637" w:rsidP="000864D6">
      <w:pPr>
        <w:pStyle w:val="NormalWeb"/>
        <w:spacing w:before="0" w:beforeAutospacing="0" w:after="0" w:afterAutospacing="0"/>
        <w:jc w:val="both"/>
        <w:rPr>
          <w:i/>
          <w:color w:val="000000"/>
          <w:sz w:val="28"/>
          <w:szCs w:val="28"/>
        </w:rPr>
      </w:pPr>
    </w:p>
    <w:p w:rsidR="00CF3F57" w:rsidRDefault="00B26637" w:rsidP="00BC7DF6">
      <w:pPr>
        <w:pStyle w:val="NormalWeb"/>
        <w:spacing w:before="0" w:beforeAutospacing="0" w:after="0" w:afterAutospacing="0"/>
        <w:ind w:left="-567" w:firstLine="567"/>
        <w:jc w:val="both"/>
        <w:rPr>
          <w:i/>
          <w:color w:val="000000"/>
          <w:sz w:val="28"/>
          <w:szCs w:val="28"/>
          <w:lang w:val="uk-UA"/>
        </w:rPr>
      </w:pPr>
      <w:proofErr w:type="spellStart"/>
      <w:r w:rsidRPr="00E8027F">
        <w:rPr>
          <w:b/>
          <w:i/>
          <w:color w:val="000000"/>
          <w:sz w:val="28"/>
          <w:szCs w:val="28"/>
          <w:lang w:val="uk-UA"/>
        </w:rPr>
        <w:t>Abstract</w:t>
      </w:r>
      <w:proofErr w:type="spellEnd"/>
      <w:r w:rsidRPr="00E8027F">
        <w:rPr>
          <w:b/>
          <w:i/>
          <w:color w:val="000000"/>
          <w:sz w:val="28"/>
          <w:szCs w:val="28"/>
          <w:lang w:val="uk-UA"/>
        </w:rPr>
        <w:t>.</w:t>
      </w:r>
      <w:r w:rsidRPr="00E8027F">
        <w:rPr>
          <w:i/>
          <w:color w:val="000000"/>
          <w:sz w:val="28"/>
          <w:szCs w:val="28"/>
          <w:lang w:val="uk-UA"/>
        </w:rPr>
        <w:t xml:space="preserve"> </w:t>
      </w:r>
      <w:proofErr w:type="spellStart"/>
      <w:r w:rsidR="00932BA8" w:rsidRPr="00932BA8">
        <w:rPr>
          <w:i/>
          <w:color w:val="000000"/>
          <w:sz w:val="28"/>
          <w:szCs w:val="28"/>
          <w:lang w:val="uk-UA"/>
        </w:rPr>
        <w:t>In</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the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article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was</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offered</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the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approach</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for</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determining</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the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essence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of</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the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tax</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debt</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that's</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based</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on</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concepts</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of</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financial</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security</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Was</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performed</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analysis</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of</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dynamics</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of</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the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indicators</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that</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characterize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the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following</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processes</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the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pace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of</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changes</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nominal</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and</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real</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tax</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debt</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the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dynamics</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of</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the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tax</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debt</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of</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temporarily</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occupied</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territories</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the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proportion</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of</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the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debt</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to</w:t>
      </w:r>
      <w:proofErr w:type="spellEnd"/>
      <w:r w:rsidR="00932BA8" w:rsidRPr="00932BA8">
        <w:rPr>
          <w:i/>
          <w:color w:val="000000"/>
          <w:sz w:val="28"/>
          <w:szCs w:val="28"/>
          <w:lang w:val="uk-UA"/>
        </w:rPr>
        <w:t xml:space="preserve"> GDP. </w:t>
      </w:r>
      <w:proofErr w:type="spellStart"/>
      <w:r w:rsidR="00932BA8" w:rsidRPr="00932BA8">
        <w:rPr>
          <w:i/>
          <w:color w:val="000000"/>
          <w:sz w:val="28"/>
          <w:szCs w:val="28"/>
          <w:lang w:val="uk-UA"/>
        </w:rPr>
        <w:t>Was</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proved</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importance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of</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the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strategic</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approach</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for</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organization</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the</w:t>
      </w:r>
      <w:proofErr w:type="spellEnd"/>
      <w:r w:rsidR="00932BA8" w:rsidRPr="00932BA8">
        <w:rPr>
          <w:i/>
          <w:color w:val="000000"/>
          <w:sz w:val="28"/>
          <w:szCs w:val="28"/>
          <w:lang w:val="uk-UA"/>
        </w:rPr>
        <w:t xml:space="preserve"> tax-</w:t>
      </w:r>
      <w:proofErr w:type="spellStart"/>
      <w:r w:rsidR="00932BA8" w:rsidRPr="00932BA8">
        <w:rPr>
          <w:i/>
          <w:color w:val="000000"/>
          <w:sz w:val="28"/>
          <w:szCs w:val="28"/>
          <w:lang w:val="uk-UA"/>
        </w:rPr>
        <w:t>debt</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works</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in</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order</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to</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strengthen</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financial</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security</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of</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the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country</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Was</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determined</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interests</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in</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the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revenue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accumulation</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area</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that</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are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required</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to</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model</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proper</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financial</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potential</w:t>
      </w:r>
      <w:proofErr w:type="spellEnd"/>
      <w:r w:rsidR="00932BA8" w:rsidRPr="00932BA8">
        <w:rPr>
          <w:i/>
          <w:color w:val="000000"/>
          <w:sz w:val="28"/>
          <w:szCs w:val="28"/>
          <w:lang w:val="uk-UA"/>
        </w:rPr>
        <w:t xml:space="preserve"> </w:t>
      </w:r>
      <w:proofErr w:type="spellStart"/>
      <w:r w:rsidR="00BC7DF6">
        <w:rPr>
          <w:i/>
          <w:color w:val="000000"/>
          <w:sz w:val="28"/>
          <w:szCs w:val="28"/>
          <w:lang w:val="uk-UA"/>
        </w:rPr>
        <w:t>of</w:t>
      </w:r>
      <w:proofErr w:type="spellEnd"/>
      <w:r w:rsidR="00BC7DF6">
        <w:rPr>
          <w:i/>
          <w:color w:val="000000"/>
          <w:sz w:val="28"/>
          <w:szCs w:val="28"/>
          <w:lang w:val="uk-UA"/>
        </w:rPr>
        <w:t xml:space="preserve"> </w:t>
      </w:r>
      <w:proofErr w:type="spellStart"/>
      <w:r w:rsidR="00BC7DF6">
        <w:rPr>
          <w:i/>
          <w:color w:val="000000"/>
          <w:sz w:val="28"/>
          <w:szCs w:val="28"/>
          <w:lang w:val="uk-UA"/>
        </w:rPr>
        <w:t>the</w:t>
      </w:r>
      <w:proofErr w:type="spellEnd"/>
      <w:r w:rsidR="00BC7DF6">
        <w:rPr>
          <w:i/>
          <w:color w:val="000000"/>
          <w:sz w:val="28"/>
          <w:szCs w:val="28"/>
          <w:lang w:val="uk-UA"/>
        </w:rPr>
        <w:t xml:space="preserve"> </w:t>
      </w:r>
      <w:proofErr w:type="spellStart"/>
      <w:r w:rsidR="00BC7DF6">
        <w:rPr>
          <w:i/>
          <w:color w:val="000000"/>
          <w:sz w:val="28"/>
          <w:szCs w:val="28"/>
          <w:lang w:val="uk-UA"/>
        </w:rPr>
        <w:t>state</w:t>
      </w:r>
      <w:proofErr w:type="spellEnd"/>
      <w:r w:rsidR="00BC7DF6">
        <w:rPr>
          <w:i/>
          <w:color w:val="000000"/>
          <w:sz w:val="28"/>
          <w:szCs w:val="28"/>
          <w:lang w:val="uk-UA"/>
        </w:rPr>
        <w:t xml:space="preserve">. </w:t>
      </w:r>
      <w:proofErr w:type="spellStart"/>
      <w:r w:rsidR="00BC7DF6">
        <w:rPr>
          <w:i/>
          <w:color w:val="000000"/>
          <w:sz w:val="28"/>
          <w:szCs w:val="28"/>
          <w:lang w:val="uk-UA"/>
        </w:rPr>
        <w:t>Was</w:t>
      </w:r>
      <w:proofErr w:type="spellEnd"/>
      <w:r w:rsidR="00BC7DF6">
        <w:rPr>
          <w:i/>
          <w:color w:val="000000"/>
          <w:sz w:val="28"/>
          <w:szCs w:val="28"/>
          <w:lang w:val="uk-UA"/>
        </w:rPr>
        <w:t xml:space="preserve"> </w:t>
      </w:r>
      <w:proofErr w:type="spellStart"/>
      <w:r w:rsidR="00BC7DF6">
        <w:rPr>
          <w:i/>
          <w:color w:val="000000"/>
          <w:sz w:val="28"/>
          <w:szCs w:val="28"/>
          <w:lang w:val="uk-UA"/>
        </w:rPr>
        <w:t>offered</w:t>
      </w:r>
      <w:proofErr w:type="spellEnd"/>
      <w:r w:rsidR="00BC7DF6">
        <w:rPr>
          <w:i/>
          <w:color w:val="000000"/>
          <w:sz w:val="28"/>
          <w:szCs w:val="28"/>
          <w:lang w:val="uk-UA"/>
        </w:rPr>
        <w:t xml:space="preserve"> a </w:t>
      </w:r>
      <w:r w:rsidR="00BC7DF6">
        <w:rPr>
          <w:i/>
          <w:color w:val="000000"/>
          <w:sz w:val="28"/>
          <w:szCs w:val="28"/>
          <w:lang w:val="en-US"/>
        </w:rPr>
        <w:t>Program</w:t>
      </w:r>
      <w:r w:rsidR="00932BA8" w:rsidRPr="00932BA8">
        <w:rPr>
          <w:i/>
          <w:color w:val="000000"/>
          <w:sz w:val="28"/>
          <w:szCs w:val="28"/>
          <w:lang w:val="uk-UA"/>
        </w:rPr>
        <w:t xml:space="preserve"> </w:t>
      </w:r>
      <w:proofErr w:type="spellStart"/>
      <w:r w:rsidR="00932BA8" w:rsidRPr="00932BA8">
        <w:rPr>
          <w:i/>
          <w:color w:val="000000"/>
          <w:sz w:val="28"/>
          <w:szCs w:val="28"/>
          <w:lang w:val="uk-UA"/>
        </w:rPr>
        <w:t>to</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liquidate</w:t>
      </w:r>
      <w:proofErr w:type="spellEnd"/>
      <w:r w:rsidR="00932BA8" w:rsidRPr="00932BA8">
        <w:rPr>
          <w:i/>
          <w:color w:val="000000"/>
          <w:sz w:val="28"/>
          <w:szCs w:val="28"/>
          <w:lang w:val="uk-UA"/>
        </w:rPr>
        <w:t xml:space="preserve"> tax-</w:t>
      </w:r>
      <w:proofErr w:type="spellStart"/>
      <w:r w:rsidR="00932BA8" w:rsidRPr="00932BA8">
        <w:rPr>
          <w:i/>
          <w:color w:val="000000"/>
          <w:sz w:val="28"/>
          <w:szCs w:val="28"/>
          <w:lang w:val="uk-UA"/>
        </w:rPr>
        <w:t>debt</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risks</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taking</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into</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account</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their</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life</w:t>
      </w:r>
      <w:proofErr w:type="spellEnd"/>
      <w:r w:rsidR="00932BA8" w:rsidRPr="00932BA8">
        <w:rPr>
          <w:i/>
          <w:color w:val="000000"/>
          <w:sz w:val="28"/>
          <w:szCs w:val="28"/>
          <w:lang w:val="uk-UA"/>
        </w:rPr>
        <w:t xml:space="preserve"> </w:t>
      </w:r>
      <w:proofErr w:type="spellStart"/>
      <w:r w:rsidR="00932BA8" w:rsidRPr="00932BA8">
        <w:rPr>
          <w:i/>
          <w:color w:val="000000"/>
          <w:sz w:val="28"/>
          <w:szCs w:val="28"/>
          <w:lang w:val="uk-UA"/>
        </w:rPr>
        <w:t>cycle</w:t>
      </w:r>
      <w:proofErr w:type="spellEnd"/>
      <w:r w:rsidR="00932BA8" w:rsidRPr="00932BA8">
        <w:rPr>
          <w:i/>
          <w:color w:val="000000"/>
          <w:sz w:val="28"/>
          <w:szCs w:val="28"/>
          <w:lang w:val="uk-UA"/>
        </w:rPr>
        <w:t>.</w:t>
      </w:r>
    </w:p>
    <w:p w:rsidR="00B26637" w:rsidRDefault="00B26637" w:rsidP="00BC7DF6">
      <w:pPr>
        <w:pStyle w:val="NormalWeb"/>
        <w:spacing w:before="0" w:beforeAutospacing="0" w:after="0" w:afterAutospacing="0"/>
        <w:ind w:left="-567" w:firstLine="567"/>
        <w:jc w:val="both"/>
        <w:rPr>
          <w:i/>
          <w:color w:val="000000"/>
          <w:sz w:val="28"/>
          <w:szCs w:val="28"/>
          <w:lang w:val="en-US"/>
        </w:rPr>
      </w:pPr>
      <w:proofErr w:type="spellStart"/>
      <w:r w:rsidRPr="00E8027F">
        <w:rPr>
          <w:b/>
          <w:i/>
          <w:color w:val="000000"/>
          <w:sz w:val="28"/>
          <w:szCs w:val="28"/>
          <w:lang w:val="uk-UA"/>
        </w:rPr>
        <w:t>Keywords</w:t>
      </w:r>
      <w:proofErr w:type="spellEnd"/>
      <w:r w:rsidRPr="00E8027F">
        <w:rPr>
          <w:b/>
          <w:i/>
          <w:color w:val="000000"/>
          <w:sz w:val="28"/>
          <w:szCs w:val="28"/>
          <w:lang w:val="uk-UA"/>
        </w:rPr>
        <w:t>:</w:t>
      </w:r>
      <w:r w:rsidRPr="00E8027F">
        <w:rPr>
          <w:i/>
          <w:color w:val="000000"/>
          <w:sz w:val="28"/>
          <w:szCs w:val="28"/>
          <w:lang w:val="uk-UA"/>
        </w:rPr>
        <w:t xml:space="preserve"> </w:t>
      </w:r>
      <w:proofErr w:type="spellStart"/>
      <w:r w:rsidR="0033512B" w:rsidRPr="00E8027F">
        <w:rPr>
          <w:i/>
          <w:color w:val="000000"/>
          <w:sz w:val="28"/>
          <w:szCs w:val="28"/>
          <w:lang w:val="uk-UA"/>
        </w:rPr>
        <w:t>Ta</w:t>
      </w:r>
      <w:proofErr w:type="spellEnd"/>
      <w:r w:rsidR="0033512B" w:rsidRPr="00E8027F">
        <w:rPr>
          <w:i/>
          <w:color w:val="000000"/>
          <w:sz w:val="28"/>
          <w:szCs w:val="28"/>
          <w:lang w:val="en-US"/>
        </w:rPr>
        <w:t>x-</w:t>
      </w:r>
      <w:proofErr w:type="spellStart"/>
      <w:r w:rsidR="0033512B" w:rsidRPr="00E8027F">
        <w:rPr>
          <w:i/>
          <w:color w:val="000000"/>
          <w:sz w:val="28"/>
          <w:szCs w:val="28"/>
          <w:lang w:val="uk-UA"/>
        </w:rPr>
        <w:t>debt</w:t>
      </w:r>
      <w:proofErr w:type="spellEnd"/>
      <w:r w:rsidR="0033512B" w:rsidRPr="00E8027F">
        <w:rPr>
          <w:i/>
          <w:color w:val="000000"/>
          <w:sz w:val="28"/>
          <w:szCs w:val="28"/>
          <w:lang w:val="uk-UA"/>
        </w:rPr>
        <w:t xml:space="preserve"> </w:t>
      </w:r>
      <w:proofErr w:type="spellStart"/>
      <w:r w:rsidR="0033512B" w:rsidRPr="00E8027F">
        <w:rPr>
          <w:i/>
          <w:color w:val="000000"/>
          <w:sz w:val="28"/>
          <w:szCs w:val="28"/>
          <w:lang w:val="uk-UA"/>
        </w:rPr>
        <w:t>risk</w:t>
      </w:r>
      <w:proofErr w:type="spellEnd"/>
      <w:r w:rsidR="0033512B" w:rsidRPr="00E8027F">
        <w:rPr>
          <w:i/>
          <w:color w:val="000000"/>
          <w:sz w:val="28"/>
          <w:szCs w:val="28"/>
          <w:lang w:val="uk-UA"/>
        </w:rPr>
        <w:t xml:space="preserve">, </w:t>
      </w:r>
      <w:proofErr w:type="spellStart"/>
      <w:r w:rsidR="0033512B" w:rsidRPr="00E8027F">
        <w:rPr>
          <w:i/>
          <w:color w:val="000000"/>
          <w:sz w:val="28"/>
          <w:szCs w:val="28"/>
          <w:lang w:val="uk-UA"/>
        </w:rPr>
        <w:t>tax</w:t>
      </w:r>
      <w:proofErr w:type="spellEnd"/>
      <w:r w:rsidR="0033512B" w:rsidRPr="00E8027F">
        <w:rPr>
          <w:i/>
          <w:color w:val="000000"/>
          <w:sz w:val="28"/>
          <w:szCs w:val="28"/>
          <w:lang w:val="uk-UA"/>
        </w:rPr>
        <w:t xml:space="preserve"> </w:t>
      </w:r>
      <w:proofErr w:type="spellStart"/>
      <w:r w:rsidR="0033512B" w:rsidRPr="00E8027F">
        <w:rPr>
          <w:i/>
          <w:color w:val="000000"/>
          <w:sz w:val="28"/>
          <w:szCs w:val="28"/>
          <w:lang w:val="uk-UA"/>
        </w:rPr>
        <w:t>debt</w:t>
      </w:r>
      <w:proofErr w:type="spellEnd"/>
      <w:r w:rsidR="0033512B" w:rsidRPr="00E8027F">
        <w:rPr>
          <w:i/>
          <w:color w:val="000000"/>
          <w:sz w:val="28"/>
          <w:szCs w:val="28"/>
          <w:lang w:val="uk-UA"/>
        </w:rPr>
        <w:t xml:space="preserve"> </w:t>
      </w:r>
      <w:proofErr w:type="spellStart"/>
      <w:r w:rsidR="0033512B" w:rsidRPr="00E8027F">
        <w:rPr>
          <w:i/>
          <w:color w:val="000000"/>
          <w:sz w:val="28"/>
          <w:szCs w:val="28"/>
          <w:lang w:val="uk-UA"/>
        </w:rPr>
        <w:t>dynamics</w:t>
      </w:r>
      <w:proofErr w:type="spellEnd"/>
      <w:r w:rsidR="0033512B" w:rsidRPr="00E8027F">
        <w:rPr>
          <w:i/>
          <w:color w:val="000000"/>
          <w:sz w:val="28"/>
          <w:szCs w:val="28"/>
          <w:lang w:val="uk-UA"/>
        </w:rPr>
        <w:t xml:space="preserve">, </w:t>
      </w:r>
      <w:r w:rsidR="00CF3F57">
        <w:rPr>
          <w:i/>
          <w:color w:val="000000"/>
          <w:sz w:val="28"/>
          <w:szCs w:val="28"/>
          <w:lang w:val="en-US"/>
        </w:rPr>
        <w:t>Program</w:t>
      </w:r>
      <w:r w:rsidR="00CF3F57" w:rsidRPr="00E8027F">
        <w:rPr>
          <w:i/>
          <w:color w:val="000000"/>
          <w:sz w:val="28"/>
          <w:szCs w:val="28"/>
          <w:lang w:val="uk-UA"/>
        </w:rPr>
        <w:t xml:space="preserve"> </w:t>
      </w:r>
      <w:proofErr w:type="spellStart"/>
      <w:r w:rsidR="0033512B" w:rsidRPr="00E8027F">
        <w:rPr>
          <w:i/>
          <w:color w:val="000000"/>
          <w:sz w:val="28"/>
          <w:szCs w:val="28"/>
          <w:lang w:val="uk-UA"/>
        </w:rPr>
        <w:t>to</w:t>
      </w:r>
      <w:proofErr w:type="spellEnd"/>
      <w:r w:rsidR="0033512B" w:rsidRPr="00E8027F">
        <w:rPr>
          <w:i/>
          <w:color w:val="000000"/>
          <w:sz w:val="28"/>
          <w:szCs w:val="28"/>
          <w:lang w:val="uk-UA"/>
        </w:rPr>
        <w:t xml:space="preserve"> </w:t>
      </w:r>
      <w:proofErr w:type="spellStart"/>
      <w:r w:rsidR="0033512B" w:rsidRPr="00E8027F">
        <w:rPr>
          <w:i/>
          <w:color w:val="000000"/>
          <w:sz w:val="28"/>
          <w:szCs w:val="28"/>
          <w:lang w:val="uk-UA"/>
        </w:rPr>
        <w:t>counteract</w:t>
      </w:r>
      <w:proofErr w:type="spellEnd"/>
      <w:r w:rsidR="0033512B" w:rsidRPr="00E8027F">
        <w:rPr>
          <w:i/>
          <w:color w:val="000000"/>
          <w:sz w:val="28"/>
          <w:szCs w:val="28"/>
          <w:lang w:val="uk-UA"/>
        </w:rPr>
        <w:t xml:space="preserve"> </w:t>
      </w:r>
      <w:proofErr w:type="spellStart"/>
      <w:r w:rsidR="0033512B" w:rsidRPr="00E8027F">
        <w:rPr>
          <w:i/>
          <w:color w:val="000000"/>
          <w:sz w:val="28"/>
          <w:szCs w:val="28"/>
          <w:lang w:val="uk-UA"/>
        </w:rPr>
        <w:t>the</w:t>
      </w:r>
      <w:proofErr w:type="spellEnd"/>
      <w:r w:rsidR="0033512B" w:rsidRPr="00E8027F">
        <w:rPr>
          <w:i/>
          <w:color w:val="000000"/>
          <w:sz w:val="28"/>
          <w:szCs w:val="28"/>
          <w:lang w:val="uk-UA"/>
        </w:rPr>
        <w:t xml:space="preserve"> tax-</w:t>
      </w:r>
      <w:proofErr w:type="spellStart"/>
      <w:r w:rsidR="0033512B" w:rsidRPr="00E8027F">
        <w:rPr>
          <w:i/>
          <w:color w:val="000000"/>
          <w:sz w:val="28"/>
          <w:szCs w:val="28"/>
          <w:lang w:val="uk-UA"/>
        </w:rPr>
        <w:t>debt</w:t>
      </w:r>
      <w:proofErr w:type="spellEnd"/>
      <w:r w:rsidR="0033512B" w:rsidRPr="00E8027F">
        <w:rPr>
          <w:i/>
          <w:color w:val="000000"/>
          <w:sz w:val="28"/>
          <w:szCs w:val="28"/>
          <w:lang w:val="uk-UA"/>
        </w:rPr>
        <w:t xml:space="preserve"> </w:t>
      </w:r>
      <w:proofErr w:type="spellStart"/>
      <w:r w:rsidR="0033512B" w:rsidRPr="00E8027F">
        <w:rPr>
          <w:i/>
          <w:color w:val="000000"/>
          <w:sz w:val="28"/>
          <w:szCs w:val="28"/>
          <w:lang w:val="uk-UA"/>
        </w:rPr>
        <w:t>risks</w:t>
      </w:r>
      <w:proofErr w:type="spellEnd"/>
      <w:r w:rsidR="0033512B" w:rsidRPr="00E8027F">
        <w:rPr>
          <w:i/>
          <w:color w:val="000000"/>
          <w:sz w:val="28"/>
          <w:szCs w:val="28"/>
          <w:lang w:val="uk-UA"/>
        </w:rPr>
        <w:t>.</w:t>
      </w:r>
    </w:p>
    <w:p w:rsidR="00E8027F" w:rsidRPr="00E8027F" w:rsidRDefault="00E8027F" w:rsidP="00B26637">
      <w:pPr>
        <w:pStyle w:val="NormalWeb"/>
        <w:spacing w:before="0" w:beforeAutospacing="0" w:after="0" w:afterAutospacing="0"/>
        <w:ind w:left="-567" w:firstLine="567"/>
        <w:jc w:val="both"/>
        <w:rPr>
          <w:i/>
          <w:color w:val="000000"/>
          <w:sz w:val="28"/>
          <w:szCs w:val="28"/>
          <w:lang w:val="en-US"/>
        </w:rPr>
      </w:pPr>
    </w:p>
    <w:p w:rsidR="00B26637" w:rsidRPr="005B63C7" w:rsidRDefault="00372248" w:rsidP="005B63C7">
      <w:pPr>
        <w:autoSpaceDE w:val="0"/>
        <w:autoSpaceDN w:val="0"/>
        <w:adjustRightInd w:val="0"/>
        <w:spacing w:after="0" w:line="360" w:lineRule="auto"/>
        <w:ind w:left="-567" w:firstLine="567"/>
        <w:jc w:val="both"/>
        <w:rPr>
          <w:rFonts w:ascii="Times New Roman" w:hAnsi="Times New Roman"/>
          <w:sz w:val="28"/>
          <w:szCs w:val="28"/>
          <w:lang w:val="uk-UA"/>
        </w:rPr>
      </w:pPr>
      <w:r w:rsidRPr="00372248">
        <w:rPr>
          <w:rFonts w:ascii="Times New Roman" w:eastAsiaTheme="minorHAnsi" w:hAnsi="Times New Roman"/>
          <w:b/>
          <w:sz w:val="28"/>
          <w:szCs w:val="28"/>
          <w:lang w:val="uk-UA" w:eastAsia="en-US"/>
        </w:rPr>
        <w:t>Постановка проблеми</w:t>
      </w:r>
      <w:r>
        <w:rPr>
          <w:rFonts w:ascii="Times New Roman" w:eastAsiaTheme="minorHAnsi" w:hAnsi="Times New Roman"/>
          <w:b/>
          <w:sz w:val="28"/>
          <w:szCs w:val="28"/>
          <w:lang w:val="uk-UA" w:eastAsia="en-US"/>
        </w:rPr>
        <w:t>:</w:t>
      </w:r>
      <w:r>
        <w:rPr>
          <w:rFonts w:ascii="Times New Roman" w:eastAsiaTheme="minorHAnsi" w:hAnsi="Times New Roman"/>
          <w:sz w:val="28"/>
          <w:szCs w:val="28"/>
          <w:lang w:val="uk-UA" w:eastAsia="en-US"/>
        </w:rPr>
        <w:t xml:space="preserve"> </w:t>
      </w:r>
      <w:r w:rsidR="0035648A">
        <w:rPr>
          <w:rFonts w:ascii="Times New Roman" w:eastAsiaTheme="minorHAnsi" w:hAnsi="Times New Roman"/>
          <w:sz w:val="28"/>
          <w:szCs w:val="28"/>
          <w:lang w:val="uk-UA" w:eastAsia="en-US"/>
        </w:rPr>
        <w:t>З</w:t>
      </w:r>
      <w:r w:rsidR="00772E9D" w:rsidRPr="005B63C7">
        <w:rPr>
          <w:rFonts w:ascii="Times New Roman" w:eastAsiaTheme="minorHAnsi" w:hAnsi="Times New Roman"/>
          <w:sz w:val="28"/>
          <w:szCs w:val="28"/>
          <w:lang w:val="uk-UA" w:eastAsia="en-US"/>
        </w:rPr>
        <w:t xml:space="preserve">ростаючі статті видатків </w:t>
      </w:r>
      <w:r w:rsidR="0035648A">
        <w:rPr>
          <w:rFonts w:ascii="Times New Roman" w:eastAsiaTheme="minorHAnsi" w:hAnsi="Times New Roman"/>
          <w:sz w:val="28"/>
          <w:szCs w:val="28"/>
          <w:lang w:val="uk-UA" w:eastAsia="en-US"/>
        </w:rPr>
        <w:t>України</w:t>
      </w:r>
      <w:r w:rsidR="00772E9D" w:rsidRPr="005B63C7">
        <w:rPr>
          <w:rFonts w:ascii="Times New Roman" w:eastAsiaTheme="minorHAnsi" w:hAnsi="Times New Roman"/>
          <w:sz w:val="28"/>
          <w:szCs w:val="28"/>
          <w:lang w:val="uk-UA" w:eastAsia="en-US"/>
        </w:rPr>
        <w:t xml:space="preserve"> вимагають постійного нарощення</w:t>
      </w:r>
      <w:r w:rsidR="0082583B" w:rsidRPr="005B63C7">
        <w:rPr>
          <w:rFonts w:ascii="Times New Roman" w:eastAsiaTheme="minorHAnsi" w:hAnsi="Times New Roman"/>
          <w:sz w:val="28"/>
          <w:szCs w:val="28"/>
          <w:lang w:val="uk-UA" w:eastAsia="en-US"/>
        </w:rPr>
        <w:t xml:space="preserve"> ресурсного потенціалу, залученого за допомогою податкових інструментів. </w:t>
      </w:r>
      <w:r w:rsidR="00EF2C3B">
        <w:rPr>
          <w:rFonts w:ascii="Times New Roman" w:eastAsiaTheme="minorHAnsi" w:hAnsi="Times New Roman"/>
          <w:sz w:val="28"/>
          <w:szCs w:val="28"/>
          <w:lang w:val="uk-UA" w:eastAsia="en-US"/>
        </w:rPr>
        <w:t xml:space="preserve">Слабкими місцями </w:t>
      </w:r>
      <w:r w:rsidR="00772E9D" w:rsidRPr="005B63C7">
        <w:rPr>
          <w:rFonts w:ascii="Times New Roman" w:eastAsiaTheme="minorHAnsi" w:hAnsi="Times New Roman"/>
          <w:sz w:val="28"/>
          <w:szCs w:val="28"/>
          <w:lang w:val="uk-UA" w:eastAsia="en-US"/>
        </w:rPr>
        <w:t>податкової складової</w:t>
      </w:r>
      <w:r w:rsidR="0082583B" w:rsidRPr="005B63C7">
        <w:rPr>
          <w:rFonts w:ascii="Times New Roman" w:eastAsiaTheme="minorHAnsi" w:hAnsi="Times New Roman"/>
          <w:sz w:val="28"/>
          <w:szCs w:val="28"/>
          <w:lang w:val="uk-UA" w:eastAsia="en-US"/>
        </w:rPr>
        <w:t xml:space="preserve"> </w:t>
      </w:r>
      <w:r w:rsidR="00772E9D" w:rsidRPr="005B63C7">
        <w:rPr>
          <w:rFonts w:ascii="Times New Roman" w:eastAsiaTheme="minorHAnsi" w:hAnsi="Times New Roman"/>
          <w:sz w:val="28"/>
          <w:szCs w:val="28"/>
          <w:lang w:val="uk-UA" w:eastAsia="en-US"/>
        </w:rPr>
        <w:t>фінанс</w:t>
      </w:r>
      <w:r w:rsidR="0082583B" w:rsidRPr="005B63C7">
        <w:rPr>
          <w:rFonts w:ascii="Times New Roman" w:eastAsiaTheme="minorHAnsi" w:hAnsi="Times New Roman"/>
          <w:sz w:val="28"/>
          <w:szCs w:val="28"/>
          <w:lang w:val="uk-UA" w:eastAsia="en-US"/>
        </w:rPr>
        <w:t>ової безпеки ми вважаємо податковий борг, який щороку зберігається та нар</w:t>
      </w:r>
      <w:r w:rsidR="009C261C">
        <w:rPr>
          <w:rFonts w:ascii="Times New Roman" w:eastAsiaTheme="minorHAnsi" w:hAnsi="Times New Roman"/>
          <w:sz w:val="28"/>
          <w:szCs w:val="28"/>
          <w:lang w:val="uk-UA" w:eastAsia="en-US"/>
        </w:rPr>
        <w:t xml:space="preserve">остає, </w:t>
      </w:r>
      <w:r w:rsidR="009C261C" w:rsidRPr="009C261C">
        <w:rPr>
          <w:rFonts w:ascii="Times New Roman" w:hAnsi="Times New Roman"/>
          <w:color w:val="000000"/>
          <w:sz w:val="28"/>
          <w:szCs w:val="28"/>
          <w:lang w:val="uk-UA"/>
        </w:rPr>
        <w:t>продукування кризових явищ на підприємствах-податкових боржниках, їх банкрутство.</w:t>
      </w:r>
      <w:r w:rsidR="0082583B" w:rsidRPr="005B63C7">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val="uk-UA" w:eastAsia="en-US"/>
        </w:rPr>
        <w:t>Така тенденція</w:t>
      </w:r>
      <w:r w:rsidR="0082583B" w:rsidRPr="005B63C7">
        <w:rPr>
          <w:rFonts w:ascii="Times New Roman" w:eastAsiaTheme="minorHAnsi" w:hAnsi="Times New Roman"/>
          <w:sz w:val="28"/>
          <w:szCs w:val="28"/>
          <w:lang w:val="uk-UA" w:eastAsia="en-US"/>
        </w:rPr>
        <w:t xml:space="preserve"> є сигналом, що свідчить про </w:t>
      </w:r>
      <w:r w:rsidR="004D5DB6" w:rsidRPr="005B63C7">
        <w:rPr>
          <w:rFonts w:ascii="Times New Roman" w:hAnsi="Times New Roman"/>
          <w:sz w:val="28"/>
          <w:szCs w:val="28"/>
          <w:lang w:val="uk-UA"/>
        </w:rPr>
        <w:t>існува</w:t>
      </w:r>
      <w:r w:rsidR="0082583B" w:rsidRPr="005B63C7">
        <w:rPr>
          <w:rFonts w:ascii="Times New Roman" w:hAnsi="Times New Roman"/>
          <w:sz w:val="28"/>
          <w:szCs w:val="28"/>
          <w:lang w:val="uk-UA"/>
        </w:rPr>
        <w:t>ння в податковій</w:t>
      </w:r>
      <w:r w:rsidR="004D5DB6" w:rsidRPr="005B63C7">
        <w:rPr>
          <w:rFonts w:ascii="Times New Roman" w:hAnsi="Times New Roman"/>
          <w:sz w:val="28"/>
          <w:szCs w:val="28"/>
          <w:lang w:val="uk-UA"/>
        </w:rPr>
        <w:t xml:space="preserve"> </w:t>
      </w:r>
      <w:r w:rsidR="004D5DB6" w:rsidRPr="005B63C7">
        <w:rPr>
          <w:rFonts w:ascii="Times New Roman" w:hAnsi="Times New Roman"/>
          <w:sz w:val="28"/>
          <w:szCs w:val="28"/>
          <w:lang w:val="uk-UA"/>
        </w:rPr>
        <w:lastRenderedPageBreak/>
        <w:t>роботі низки концептуа</w:t>
      </w:r>
      <w:r w:rsidR="0082583B" w:rsidRPr="005B63C7">
        <w:rPr>
          <w:rFonts w:ascii="Times New Roman" w:hAnsi="Times New Roman"/>
          <w:sz w:val="28"/>
          <w:szCs w:val="28"/>
          <w:lang w:val="uk-UA"/>
        </w:rPr>
        <w:t xml:space="preserve">льних та методологічних проблем, а в управлінні податковим боргом – стратегічних прорахунків, без усунення яких не можливе </w:t>
      </w:r>
      <w:r w:rsidR="005B63C7" w:rsidRPr="005B63C7">
        <w:rPr>
          <w:rFonts w:ascii="Times New Roman" w:hAnsi="Times New Roman"/>
          <w:sz w:val="28"/>
          <w:szCs w:val="28"/>
          <w:lang w:val="uk-UA"/>
        </w:rPr>
        <w:t>фінансове оздоровлення держави</w:t>
      </w:r>
      <w:r>
        <w:rPr>
          <w:rFonts w:ascii="Times New Roman" w:hAnsi="Times New Roman"/>
          <w:sz w:val="28"/>
          <w:szCs w:val="28"/>
          <w:lang w:val="uk-UA"/>
        </w:rPr>
        <w:t>, особливо, на етапі сучасних соціально-економічних та геополітичних потрясінь</w:t>
      </w:r>
      <w:r w:rsidR="005B63C7" w:rsidRPr="005B63C7">
        <w:rPr>
          <w:rFonts w:ascii="Times New Roman" w:hAnsi="Times New Roman"/>
          <w:sz w:val="28"/>
          <w:szCs w:val="28"/>
          <w:lang w:val="uk-UA"/>
        </w:rPr>
        <w:t xml:space="preserve">. </w:t>
      </w:r>
    </w:p>
    <w:p w:rsidR="00392BEA" w:rsidRPr="00A52651" w:rsidRDefault="00372248" w:rsidP="00372248">
      <w:pPr>
        <w:autoSpaceDE w:val="0"/>
        <w:autoSpaceDN w:val="0"/>
        <w:adjustRightInd w:val="0"/>
        <w:spacing w:after="0" w:line="360" w:lineRule="auto"/>
        <w:ind w:left="-567" w:firstLine="567"/>
        <w:jc w:val="both"/>
        <w:rPr>
          <w:rFonts w:ascii="Times New Roman" w:hAnsi="Times New Roman"/>
          <w:sz w:val="28"/>
          <w:szCs w:val="28"/>
          <w:lang w:val="uk-UA"/>
        </w:rPr>
      </w:pPr>
      <w:r w:rsidRPr="00372248">
        <w:rPr>
          <w:rFonts w:ascii="Times New Roman" w:eastAsia="TimesNewRomanPSMT" w:hAnsi="Times New Roman"/>
          <w:b/>
          <w:sz w:val="28"/>
          <w:szCs w:val="28"/>
          <w:lang w:val="uk-UA" w:eastAsia="en-US"/>
        </w:rPr>
        <w:t>Стан дослідження</w:t>
      </w:r>
      <w:r>
        <w:rPr>
          <w:rFonts w:ascii="Times New Roman" w:eastAsia="TimesNewRomanPSMT" w:hAnsi="Times New Roman"/>
          <w:b/>
          <w:sz w:val="28"/>
          <w:szCs w:val="28"/>
          <w:lang w:val="uk-UA" w:eastAsia="en-US"/>
        </w:rPr>
        <w:t>:</w:t>
      </w:r>
      <w:r>
        <w:rPr>
          <w:rFonts w:ascii="Times New Roman" w:eastAsia="TimesNewRomanPSMT" w:hAnsi="Times New Roman"/>
          <w:sz w:val="28"/>
          <w:szCs w:val="28"/>
          <w:lang w:val="uk-UA" w:eastAsia="en-US"/>
        </w:rPr>
        <w:t xml:space="preserve"> </w:t>
      </w:r>
      <w:r w:rsidR="00A457CF">
        <w:rPr>
          <w:rFonts w:ascii="Times New Roman" w:eastAsia="TimesNewRomanPSMT" w:hAnsi="Times New Roman"/>
          <w:sz w:val="28"/>
          <w:szCs w:val="28"/>
          <w:lang w:val="uk-UA" w:eastAsia="en-US"/>
        </w:rPr>
        <w:t xml:space="preserve">З-поміж </w:t>
      </w:r>
      <w:r w:rsidR="005547FD">
        <w:rPr>
          <w:rFonts w:ascii="Times New Roman" w:eastAsia="TimesNewRomanPSMT" w:hAnsi="Times New Roman"/>
          <w:sz w:val="28"/>
          <w:szCs w:val="28"/>
          <w:lang w:val="uk-UA" w:eastAsia="en-US"/>
        </w:rPr>
        <w:t>українських</w:t>
      </w:r>
      <w:r w:rsidR="00A457CF">
        <w:rPr>
          <w:rFonts w:ascii="Times New Roman" w:eastAsia="TimesNewRomanPSMT" w:hAnsi="Times New Roman"/>
          <w:sz w:val="28"/>
          <w:szCs w:val="28"/>
          <w:lang w:val="uk-UA" w:eastAsia="en-US"/>
        </w:rPr>
        <w:t xml:space="preserve"> вчених </w:t>
      </w:r>
      <w:r w:rsidR="00814CB9">
        <w:rPr>
          <w:rFonts w:ascii="Times New Roman" w:eastAsia="TimesNewRomanPSMT" w:hAnsi="Times New Roman"/>
          <w:sz w:val="28"/>
          <w:szCs w:val="28"/>
          <w:lang w:val="uk-UA" w:eastAsia="en-US"/>
        </w:rPr>
        <w:t>економічна природа</w:t>
      </w:r>
      <w:r w:rsidR="00A457CF">
        <w:rPr>
          <w:rFonts w:ascii="Times New Roman" w:eastAsia="TimesNewRomanPSMT" w:hAnsi="Times New Roman"/>
          <w:sz w:val="28"/>
          <w:szCs w:val="28"/>
          <w:lang w:val="uk-UA" w:eastAsia="en-US"/>
        </w:rPr>
        <w:t xml:space="preserve">, причини та механізм управління </w:t>
      </w:r>
      <w:r w:rsidR="005547FD">
        <w:rPr>
          <w:rFonts w:ascii="Times New Roman" w:eastAsia="TimesNewRomanPSMT" w:hAnsi="Times New Roman"/>
          <w:sz w:val="28"/>
          <w:szCs w:val="28"/>
          <w:lang w:val="uk-UA" w:eastAsia="en-US"/>
        </w:rPr>
        <w:t xml:space="preserve">боргом </w:t>
      </w:r>
      <w:proofErr w:type="spellStart"/>
      <w:r w:rsidR="005547FD">
        <w:rPr>
          <w:rFonts w:ascii="Times New Roman" w:eastAsia="TimesNewRomanPSMT" w:hAnsi="Times New Roman"/>
          <w:sz w:val="28"/>
          <w:szCs w:val="28"/>
          <w:lang w:val="uk-UA" w:eastAsia="en-US"/>
        </w:rPr>
        <w:t>розгядалися</w:t>
      </w:r>
      <w:proofErr w:type="spellEnd"/>
      <w:r w:rsidR="00A457CF">
        <w:rPr>
          <w:rFonts w:ascii="Times New Roman" w:hAnsi="Times New Roman"/>
          <w:sz w:val="28"/>
          <w:szCs w:val="28"/>
          <w:lang w:val="uk-UA"/>
        </w:rPr>
        <w:t xml:space="preserve"> О. </w:t>
      </w:r>
      <w:proofErr w:type="spellStart"/>
      <w:r w:rsidR="00A457CF">
        <w:rPr>
          <w:rFonts w:ascii="Times New Roman" w:hAnsi="Times New Roman"/>
          <w:sz w:val="28"/>
          <w:szCs w:val="28"/>
          <w:lang w:val="uk-UA"/>
        </w:rPr>
        <w:t>Годованецем</w:t>
      </w:r>
      <w:proofErr w:type="spellEnd"/>
      <w:r w:rsidR="00A457CF" w:rsidRPr="00B32E96">
        <w:rPr>
          <w:rFonts w:ascii="Times New Roman" w:hAnsi="Times New Roman"/>
          <w:sz w:val="28"/>
          <w:szCs w:val="28"/>
          <w:lang w:val="uk-UA"/>
        </w:rPr>
        <w:t>, О. </w:t>
      </w:r>
      <w:proofErr w:type="spellStart"/>
      <w:r w:rsidR="00A457CF" w:rsidRPr="00B32E96">
        <w:rPr>
          <w:rFonts w:ascii="Times New Roman" w:hAnsi="Times New Roman"/>
          <w:sz w:val="28"/>
          <w:szCs w:val="28"/>
          <w:lang w:val="uk-UA"/>
        </w:rPr>
        <w:t>Десятнюк</w:t>
      </w:r>
      <w:proofErr w:type="spellEnd"/>
      <w:r w:rsidR="00A457CF" w:rsidRPr="00B32E96">
        <w:rPr>
          <w:rFonts w:ascii="Times New Roman" w:hAnsi="Times New Roman"/>
          <w:sz w:val="28"/>
          <w:szCs w:val="28"/>
          <w:lang w:val="uk-UA"/>
        </w:rPr>
        <w:t xml:space="preserve">, </w:t>
      </w:r>
      <w:r w:rsidR="00EF2C3B">
        <w:rPr>
          <w:rFonts w:ascii="Times New Roman" w:hAnsi="Times New Roman"/>
          <w:sz w:val="28"/>
          <w:szCs w:val="28"/>
          <w:lang w:val="uk-UA"/>
        </w:rPr>
        <w:t>В. </w:t>
      </w:r>
      <w:r w:rsidR="005547FD">
        <w:rPr>
          <w:rFonts w:ascii="Times New Roman" w:hAnsi="Times New Roman"/>
          <w:sz w:val="28"/>
          <w:szCs w:val="28"/>
          <w:lang w:val="uk-UA"/>
        </w:rPr>
        <w:t xml:space="preserve">Кириченко, </w:t>
      </w:r>
      <w:r w:rsidR="00A457CF">
        <w:rPr>
          <w:rFonts w:ascii="Times New Roman" w:hAnsi="Times New Roman"/>
          <w:sz w:val="28"/>
          <w:szCs w:val="28"/>
          <w:lang w:val="uk-UA"/>
        </w:rPr>
        <w:t xml:space="preserve"> А. </w:t>
      </w:r>
      <w:proofErr w:type="spellStart"/>
      <w:r w:rsidR="00A457CF">
        <w:rPr>
          <w:rFonts w:ascii="Times New Roman" w:hAnsi="Times New Roman"/>
          <w:sz w:val="28"/>
          <w:szCs w:val="28"/>
          <w:lang w:val="uk-UA"/>
        </w:rPr>
        <w:t>Крисоватим</w:t>
      </w:r>
      <w:proofErr w:type="spellEnd"/>
      <w:r w:rsidR="00A457CF" w:rsidRPr="00B32E96">
        <w:rPr>
          <w:rFonts w:ascii="Times New Roman" w:hAnsi="Times New Roman"/>
          <w:sz w:val="28"/>
          <w:szCs w:val="28"/>
          <w:lang w:val="uk-UA"/>
        </w:rPr>
        <w:t xml:space="preserve">, </w:t>
      </w:r>
      <w:r w:rsidR="005547FD">
        <w:rPr>
          <w:rFonts w:ascii="Times New Roman" w:hAnsi="Times New Roman"/>
          <w:sz w:val="28"/>
          <w:szCs w:val="28"/>
          <w:lang w:val="uk-UA"/>
        </w:rPr>
        <w:t xml:space="preserve">Ю. </w:t>
      </w:r>
      <w:proofErr w:type="spellStart"/>
      <w:r w:rsidR="005547FD">
        <w:rPr>
          <w:rFonts w:ascii="Times New Roman" w:hAnsi="Times New Roman"/>
          <w:sz w:val="28"/>
          <w:szCs w:val="28"/>
          <w:lang w:val="uk-UA"/>
        </w:rPr>
        <w:t>Сибірянською</w:t>
      </w:r>
      <w:proofErr w:type="spellEnd"/>
      <w:r w:rsidR="00A457CF">
        <w:rPr>
          <w:rFonts w:ascii="Times New Roman" w:hAnsi="Times New Roman"/>
          <w:sz w:val="28"/>
          <w:szCs w:val="28"/>
          <w:lang w:val="uk-UA"/>
        </w:rPr>
        <w:t>, О. </w:t>
      </w:r>
      <w:r w:rsidR="00A457CF" w:rsidRPr="00B32E96">
        <w:rPr>
          <w:rFonts w:ascii="Times New Roman" w:hAnsi="Times New Roman"/>
          <w:sz w:val="28"/>
          <w:szCs w:val="28"/>
          <w:lang w:val="uk-UA"/>
        </w:rPr>
        <w:t>Тимченко</w:t>
      </w:r>
      <w:r w:rsidR="0035648A">
        <w:rPr>
          <w:rFonts w:ascii="Times New Roman" w:hAnsi="Times New Roman"/>
          <w:sz w:val="28"/>
          <w:szCs w:val="28"/>
          <w:lang w:val="uk-UA"/>
        </w:rPr>
        <w:t>, А. </w:t>
      </w:r>
      <w:proofErr w:type="spellStart"/>
      <w:r w:rsidR="005547FD">
        <w:rPr>
          <w:rFonts w:ascii="Times New Roman" w:hAnsi="Times New Roman"/>
          <w:sz w:val="28"/>
          <w:szCs w:val="28"/>
          <w:lang w:val="uk-UA"/>
        </w:rPr>
        <w:t>Яковлевою</w:t>
      </w:r>
      <w:proofErr w:type="spellEnd"/>
      <w:r w:rsidR="005547FD">
        <w:rPr>
          <w:rFonts w:ascii="Times New Roman" w:hAnsi="Times New Roman"/>
          <w:sz w:val="28"/>
          <w:szCs w:val="28"/>
          <w:lang w:val="uk-UA"/>
        </w:rPr>
        <w:t xml:space="preserve"> </w:t>
      </w:r>
      <w:r w:rsidR="00A457CF" w:rsidRPr="00B32E96">
        <w:rPr>
          <w:rFonts w:ascii="Times New Roman" w:hAnsi="Times New Roman"/>
          <w:sz w:val="28"/>
          <w:szCs w:val="28"/>
          <w:lang w:val="uk-UA"/>
        </w:rPr>
        <w:t xml:space="preserve"> та</w:t>
      </w:r>
      <w:r w:rsidR="00EF2C3B">
        <w:rPr>
          <w:rFonts w:ascii="Times New Roman" w:hAnsi="Times New Roman"/>
          <w:sz w:val="28"/>
          <w:szCs w:val="28"/>
          <w:lang w:val="uk-UA"/>
        </w:rPr>
        <w:t> </w:t>
      </w:r>
      <w:r w:rsidR="00A457CF" w:rsidRPr="00B32E96">
        <w:rPr>
          <w:rFonts w:ascii="Times New Roman" w:hAnsi="Times New Roman"/>
          <w:sz w:val="28"/>
          <w:szCs w:val="28"/>
          <w:lang w:val="uk-UA"/>
        </w:rPr>
        <w:t xml:space="preserve">ін. </w:t>
      </w:r>
      <w:r w:rsidR="00A457CF">
        <w:rPr>
          <w:rFonts w:ascii="Times New Roman" w:hAnsi="Times New Roman"/>
          <w:sz w:val="28"/>
          <w:szCs w:val="28"/>
          <w:lang w:val="uk-UA"/>
        </w:rPr>
        <w:t xml:space="preserve">Значний внесок у </w:t>
      </w:r>
      <w:proofErr w:type="spellStart"/>
      <w:r w:rsidR="00A457CF">
        <w:rPr>
          <w:rFonts w:ascii="Times New Roman" w:hAnsi="Times New Roman"/>
          <w:sz w:val="28"/>
          <w:szCs w:val="28"/>
          <w:lang w:val="uk-UA"/>
        </w:rPr>
        <w:t>теоретизацію</w:t>
      </w:r>
      <w:proofErr w:type="spellEnd"/>
      <w:r w:rsidR="00A457CF">
        <w:rPr>
          <w:rFonts w:ascii="Times New Roman" w:hAnsi="Times New Roman"/>
          <w:sz w:val="28"/>
          <w:szCs w:val="28"/>
          <w:lang w:val="uk-UA"/>
        </w:rPr>
        <w:t xml:space="preserve"> </w:t>
      </w:r>
      <w:r w:rsidR="005547FD">
        <w:rPr>
          <w:rFonts w:ascii="Times New Roman" w:hAnsi="Times New Roman"/>
          <w:sz w:val="28"/>
          <w:szCs w:val="28"/>
          <w:lang w:val="uk-UA"/>
        </w:rPr>
        <w:t>правових засад регулювання заборгованості</w:t>
      </w:r>
      <w:r w:rsidR="00A457CF">
        <w:rPr>
          <w:rFonts w:ascii="Times New Roman" w:hAnsi="Times New Roman"/>
          <w:sz w:val="28"/>
          <w:szCs w:val="28"/>
          <w:lang w:val="uk-UA"/>
        </w:rPr>
        <w:t xml:space="preserve">  зроблено О. Бандуркою</w:t>
      </w:r>
      <w:r w:rsidR="005547FD">
        <w:rPr>
          <w:rFonts w:ascii="Times New Roman" w:hAnsi="Times New Roman"/>
          <w:sz w:val="28"/>
          <w:szCs w:val="28"/>
          <w:lang w:val="uk-UA"/>
        </w:rPr>
        <w:t>, В. Бортняком, О.</w:t>
      </w:r>
      <w:r w:rsidR="00A457CF">
        <w:rPr>
          <w:rFonts w:ascii="Times New Roman" w:hAnsi="Times New Roman"/>
          <w:sz w:val="28"/>
          <w:szCs w:val="28"/>
          <w:lang w:val="uk-UA"/>
        </w:rPr>
        <w:t xml:space="preserve"> </w:t>
      </w:r>
      <w:proofErr w:type="spellStart"/>
      <w:r w:rsidR="00A457CF">
        <w:rPr>
          <w:rFonts w:ascii="Times New Roman" w:hAnsi="Times New Roman"/>
          <w:sz w:val="28"/>
          <w:szCs w:val="28"/>
          <w:lang w:val="uk-UA"/>
        </w:rPr>
        <w:t>Онишко</w:t>
      </w:r>
      <w:r w:rsidR="005547FD">
        <w:rPr>
          <w:rFonts w:ascii="Times New Roman" w:hAnsi="Times New Roman"/>
          <w:sz w:val="28"/>
          <w:szCs w:val="28"/>
          <w:lang w:val="uk-UA"/>
        </w:rPr>
        <w:t>м</w:t>
      </w:r>
      <w:proofErr w:type="spellEnd"/>
      <w:r w:rsidR="00FC6863">
        <w:rPr>
          <w:rFonts w:ascii="Times New Roman" w:hAnsi="Times New Roman"/>
          <w:sz w:val="28"/>
          <w:szCs w:val="28"/>
          <w:lang w:val="uk-UA"/>
        </w:rPr>
        <w:t xml:space="preserve">, Ю. </w:t>
      </w:r>
      <w:proofErr w:type="spellStart"/>
      <w:r w:rsidR="00FC6863">
        <w:rPr>
          <w:rFonts w:ascii="Times New Roman" w:hAnsi="Times New Roman"/>
          <w:sz w:val="28"/>
          <w:szCs w:val="28"/>
          <w:lang w:val="uk-UA"/>
        </w:rPr>
        <w:t>Туником</w:t>
      </w:r>
      <w:proofErr w:type="spellEnd"/>
      <w:r w:rsidR="005547FD">
        <w:rPr>
          <w:rFonts w:ascii="Times New Roman" w:hAnsi="Times New Roman"/>
          <w:sz w:val="28"/>
          <w:szCs w:val="28"/>
          <w:lang w:val="uk-UA"/>
        </w:rPr>
        <w:t xml:space="preserve">. </w:t>
      </w:r>
      <w:r w:rsidR="00A457CF">
        <w:rPr>
          <w:rFonts w:ascii="Times New Roman" w:hAnsi="Times New Roman"/>
          <w:sz w:val="28"/>
          <w:szCs w:val="28"/>
          <w:lang w:val="uk-UA"/>
        </w:rPr>
        <w:t xml:space="preserve"> </w:t>
      </w:r>
      <w:r w:rsidR="00FC6863">
        <w:rPr>
          <w:rFonts w:ascii="Times New Roman" w:hAnsi="Times New Roman"/>
          <w:sz w:val="28"/>
          <w:szCs w:val="28"/>
          <w:lang w:val="uk-UA"/>
        </w:rPr>
        <w:t xml:space="preserve">У працях згаданих  науковців </w:t>
      </w:r>
      <w:r w:rsidR="00EF2C3B">
        <w:rPr>
          <w:rFonts w:ascii="Times New Roman" w:hAnsi="Times New Roman"/>
          <w:sz w:val="28"/>
          <w:szCs w:val="28"/>
          <w:lang w:val="uk-UA"/>
        </w:rPr>
        <w:t>пропонуються</w:t>
      </w:r>
      <w:r w:rsidR="00FC6863">
        <w:rPr>
          <w:rFonts w:ascii="Times New Roman" w:hAnsi="Times New Roman"/>
          <w:sz w:val="28"/>
          <w:szCs w:val="28"/>
          <w:lang w:val="uk-UA"/>
        </w:rPr>
        <w:t xml:space="preserve"> рекомендації щодо попередження та мінімізації</w:t>
      </w:r>
      <w:r w:rsidR="00EF2C3B">
        <w:rPr>
          <w:rFonts w:ascii="Times New Roman" w:hAnsi="Times New Roman"/>
          <w:sz w:val="28"/>
          <w:szCs w:val="28"/>
          <w:lang w:val="uk-UA"/>
        </w:rPr>
        <w:t xml:space="preserve"> обсягів заборгованості, однак </w:t>
      </w:r>
      <w:r w:rsidR="00FC6863">
        <w:rPr>
          <w:rFonts w:ascii="Times New Roman" w:hAnsi="Times New Roman"/>
          <w:sz w:val="28"/>
          <w:szCs w:val="28"/>
          <w:lang w:val="uk-UA"/>
        </w:rPr>
        <w:t xml:space="preserve"> не представлено стратегічного бачення </w:t>
      </w:r>
      <w:r w:rsidR="00466F29">
        <w:rPr>
          <w:rFonts w:ascii="Times New Roman" w:hAnsi="Times New Roman"/>
          <w:sz w:val="28"/>
          <w:szCs w:val="28"/>
          <w:lang w:val="uk-UA"/>
        </w:rPr>
        <w:t xml:space="preserve">заходів </w:t>
      </w:r>
      <w:r w:rsidR="00EF2C3B">
        <w:rPr>
          <w:rFonts w:ascii="Times New Roman" w:hAnsi="Times New Roman"/>
          <w:sz w:val="28"/>
          <w:szCs w:val="28"/>
          <w:lang w:val="uk-UA"/>
        </w:rPr>
        <w:t xml:space="preserve">для </w:t>
      </w:r>
      <w:r w:rsidR="00466F29">
        <w:rPr>
          <w:rFonts w:ascii="Times New Roman" w:hAnsi="Times New Roman"/>
          <w:sz w:val="28"/>
          <w:szCs w:val="28"/>
          <w:lang w:val="uk-UA"/>
        </w:rPr>
        <w:t xml:space="preserve">розв’язання проблеми. </w:t>
      </w:r>
      <w:r w:rsidR="00EF2C3B">
        <w:rPr>
          <w:rFonts w:ascii="Times New Roman" w:hAnsi="Times New Roman"/>
          <w:sz w:val="28"/>
          <w:szCs w:val="28"/>
          <w:lang w:val="uk-UA"/>
        </w:rPr>
        <w:t>Поряд із цим, п</w:t>
      </w:r>
      <w:r w:rsidR="00FC6863">
        <w:rPr>
          <w:rFonts w:ascii="Times New Roman" w:hAnsi="Times New Roman"/>
          <w:sz w:val="28"/>
          <w:szCs w:val="28"/>
          <w:lang w:val="uk-UA"/>
        </w:rPr>
        <w:t xml:space="preserve">одаткова складова фінансової безпеки держави репрезентована науковими працями надзвичайно фрагментарно, </w:t>
      </w:r>
      <w:r w:rsidR="00814CB9">
        <w:rPr>
          <w:rFonts w:ascii="Times New Roman" w:hAnsi="Times New Roman"/>
          <w:sz w:val="28"/>
          <w:szCs w:val="28"/>
          <w:lang w:val="uk-UA"/>
        </w:rPr>
        <w:t xml:space="preserve">за винятком окремих </w:t>
      </w:r>
      <w:r w:rsidR="00FC6863">
        <w:rPr>
          <w:rFonts w:ascii="Times New Roman" w:hAnsi="Times New Roman"/>
          <w:sz w:val="28"/>
          <w:szCs w:val="28"/>
          <w:lang w:val="uk-UA"/>
        </w:rPr>
        <w:t>досліджень</w:t>
      </w:r>
      <w:r w:rsidR="00814CB9">
        <w:rPr>
          <w:rFonts w:ascii="Times New Roman" w:hAnsi="Times New Roman"/>
          <w:sz w:val="28"/>
          <w:szCs w:val="28"/>
          <w:lang w:val="uk-UA"/>
        </w:rPr>
        <w:t xml:space="preserve"> </w:t>
      </w:r>
      <w:r w:rsidR="0075461B">
        <w:rPr>
          <w:rFonts w:ascii="Times New Roman" w:hAnsi="Times New Roman"/>
          <w:sz w:val="28"/>
          <w:szCs w:val="28"/>
          <w:lang w:val="uk-UA"/>
        </w:rPr>
        <w:t xml:space="preserve">Ю. </w:t>
      </w:r>
      <w:r w:rsidR="00FC6863">
        <w:rPr>
          <w:rFonts w:ascii="Times New Roman" w:hAnsi="Times New Roman"/>
          <w:sz w:val="28"/>
          <w:szCs w:val="28"/>
          <w:lang w:val="uk-UA"/>
        </w:rPr>
        <w:t>Бережної</w:t>
      </w:r>
      <w:r w:rsidR="0075461B">
        <w:rPr>
          <w:rFonts w:ascii="Times New Roman" w:hAnsi="Times New Roman"/>
          <w:sz w:val="28"/>
          <w:szCs w:val="28"/>
          <w:lang w:val="uk-UA"/>
        </w:rPr>
        <w:t xml:space="preserve">, </w:t>
      </w:r>
      <w:r w:rsidR="00FC6863">
        <w:rPr>
          <w:rFonts w:ascii="Times New Roman" w:hAnsi="Times New Roman"/>
          <w:sz w:val="28"/>
          <w:szCs w:val="28"/>
          <w:lang w:val="uk-UA"/>
        </w:rPr>
        <w:t xml:space="preserve"> </w:t>
      </w:r>
      <w:r w:rsidR="0075461B">
        <w:rPr>
          <w:rFonts w:ascii="Times New Roman" w:hAnsi="Times New Roman"/>
          <w:sz w:val="28"/>
          <w:szCs w:val="28"/>
          <w:lang w:val="uk-UA"/>
        </w:rPr>
        <w:t xml:space="preserve">В. </w:t>
      </w:r>
      <w:r w:rsidR="00FC6863">
        <w:rPr>
          <w:rFonts w:ascii="Times New Roman" w:hAnsi="Times New Roman"/>
          <w:sz w:val="28"/>
          <w:szCs w:val="28"/>
          <w:lang w:val="uk-UA"/>
        </w:rPr>
        <w:t xml:space="preserve">Грушко, </w:t>
      </w:r>
      <w:r w:rsidR="0075461B">
        <w:rPr>
          <w:rFonts w:ascii="Times New Roman" w:hAnsi="Times New Roman"/>
          <w:sz w:val="28"/>
          <w:szCs w:val="28"/>
          <w:lang w:val="uk-UA"/>
        </w:rPr>
        <w:t xml:space="preserve">Ю. </w:t>
      </w:r>
      <w:r w:rsidR="00392BEA">
        <w:rPr>
          <w:rFonts w:ascii="Times New Roman" w:hAnsi="Times New Roman"/>
          <w:sz w:val="28"/>
          <w:szCs w:val="28"/>
          <w:lang w:val="uk-UA"/>
        </w:rPr>
        <w:t>Іванов</w:t>
      </w:r>
      <w:r w:rsidR="00FC6863">
        <w:rPr>
          <w:rFonts w:ascii="Times New Roman" w:hAnsi="Times New Roman"/>
          <w:sz w:val="28"/>
          <w:szCs w:val="28"/>
          <w:lang w:val="uk-UA"/>
        </w:rPr>
        <w:t>ої</w:t>
      </w:r>
      <w:r w:rsidR="0075461B">
        <w:rPr>
          <w:rFonts w:ascii="Times New Roman" w:hAnsi="Times New Roman"/>
          <w:sz w:val="28"/>
          <w:szCs w:val="28"/>
          <w:lang w:val="uk-UA"/>
        </w:rPr>
        <w:t xml:space="preserve">, В. </w:t>
      </w:r>
      <w:r w:rsidR="001355A7">
        <w:rPr>
          <w:rFonts w:ascii="Times New Roman" w:hAnsi="Times New Roman"/>
          <w:sz w:val="28"/>
          <w:szCs w:val="28"/>
          <w:lang w:val="uk-UA"/>
        </w:rPr>
        <w:t>Іщенко</w:t>
      </w:r>
      <w:r w:rsidR="00FC6863">
        <w:rPr>
          <w:rFonts w:ascii="Times New Roman" w:hAnsi="Times New Roman"/>
          <w:sz w:val="28"/>
          <w:szCs w:val="28"/>
          <w:lang w:val="uk-UA"/>
        </w:rPr>
        <w:t xml:space="preserve">, які вивчали сутність та умови забезпечення податкової безпеки в цілому. На даний час проблеми податкового боргу як </w:t>
      </w:r>
      <w:r w:rsidR="0075461B">
        <w:rPr>
          <w:rFonts w:ascii="Times New Roman" w:hAnsi="Times New Roman"/>
          <w:sz w:val="28"/>
          <w:szCs w:val="28"/>
          <w:lang w:val="uk-UA"/>
        </w:rPr>
        <w:t>загрози</w:t>
      </w:r>
      <w:r w:rsidR="00FC6863">
        <w:rPr>
          <w:rFonts w:ascii="Times New Roman" w:hAnsi="Times New Roman"/>
          <w:sz w:val="28"/>
          <w:szCs w:val="28"/>
          <w:lang w:val="uk-UA"/>
        </w:rPr>
        <w:t xml:space="preserve"> фінансової безпеки держави </w:t>
      </w:r>
      <w:r w:rsidR="0075461B">
        <w:rPr>
          <w:rFonts w:ascii="Times New Roman" w:hAnsi="Times New Roman"/>
          <w:sz w:val="28"/>
          <w:szCs w:val="28"/>
          <w:lang w:val="uk-UA"/>
        </w:rPr>
        <w:t xml:space="preserve">залишаються поза увагою, відтак, не розроблено методичних основ для подолання проблеми задля зміцнення ключових параметрів фінансової безпеки. </w:t>
      </w:r>
    </w:p>
    <w:p w:rsidR="004D5DB6" w:rsidRDefault="002F463E" w:rsidP="00943368">
      <w:pPr>
        <w:spacing w:after="0" w:line="360" w:lineRule="auto"/>
        <w:ind w:left="-567" w:firstLine="567"/>
        <w:jc w:val="both"/>
        <w:rPr>
          <w:rFonts w:ascii="Times New Roman" w:hAnsi="Times New Roman"/>
          <w:sz w:val="28"/>
          <w:szCs w:val="28"/>
          <w:lang w:val="uk-UA"/>
        </w:rPr>
      </w:pPr>
      <w:r w:rsidRPr="006C53D6">
        <w:rPr>
          <w:rFonts w:ascii="Times New Roman" w:hAnsi="Times New Roman"/>
          <w:b/>
          <w:sz w:val="28"/>
          <w:szCs w:val="28"/>
          <w:lang w:val="uk-UA"/>
        </w:rPr>
        <w:t>Мета</w:t>
      </w:r>
      <w:r w:rsidRPr="00A52651">
        <w:rPr>
          <w:rFonts w:ascii="Times New Roman" w:hAnsi="Times New Roman"/>
          <w:sz w:val="28"/>
          <w:szCs w:val="28"/>
          <w:lang w:val="uk-UA"/>
        </w:rPr>
        <w:t xml:space="preserve"> </w:t>
      </w:r>
      <w:r w:rsidR="0035648A">
        <w:rPr>
          <w:rFonts w:ascii="Times New Roman" w:hAnsi="Times New Roman"/>
          <w:sz w:val="28"/>
          <w:szCs w:val="28"/>
          <w:lang w:val="uk-UA"/>
        </w:rPr>
        <w:t xml:space="preserve">дослідження </w:t>
      </w:r>
      <w:r w:rsidRPr="00A52651">
        <w:rPr>
          <w:rFonts w:ascii="Times New Roman" w:hAnsi="Times New Roman"/>
          <w:sz w:val="28"/>
          <w:szCs w:val="28"/>
          <w:lang w:val="uk-UA"/>
        </w:rPr>
        <w:t xml:space="preserve">полягає у побудові комплексної </w:t>
      </w:r>
      <w:r w:rsidR="007B7EC9">
        <w:rPr>
          <w:rFonts w:ascii="Times New Roman" w:hAnsi="Times New Roman"/>
          <w:sz w:val="28"/>
          <w:szCs w:val="28"/>
          <w:lang w:val="uk-UA"/>
        </w:rPr>
        <w:t xml:space="preserve">Програми </w:t>
      </w:r>
      <w:r w:rsidRPr="00A52651">
        <w:rPr>
          <w:rFonts w:ascii="Times New Roman" w:hAnsi="Times New Roman"/>
          <w:sz w:val="28"/>
          <w:szCs w:val="28"/>
          <w:lang w:val="uk-UA"/>
        </w:rPr>
        <w:t>нейтралізації податково-боргових ризиків з метою збалансування фінансової безпеки держави</w:t>
      </w:r>
      <w:r w:rsidR="003C690F" w:rsidRPr="00A52651">
        <w:rPr>
          <w:rFonts w:ascii="Times New Roman" w:hAnsi="Times New Roman"/>
          <w:sz w:val="28"/>
          <w:szCs w:val="28"/>
          <w:lang w:val="uk-UA"/>
        </w:rPr>
        <w:t xml:space="preserve">. </w:t>
      </w:r>
    </w:p>
    <w:p w:rsidR="00943368" w:rsidRPr="00A2097C" w:rsidRDefault="00372248" w:rsidP="00A2097C">
      <w:pPr>
        <w:autoSpaceDE w:val="0"/>
        <w:autoSpaceDN w:val="0"/>
        <w:adjustRightInd w:val="0"/>
        <w:spacing w:after="0" w:line="360" w:lineRule="auto"/>
        <w:ind w:left="-567" w:firstLine="567"/>
        <w:jc w:val="both"/>
        <w:rPr>
          <w:rFonts w:ascii="Times New Roman" w:hAnsi="Times New Roman"/>
          <w:sz w:val="28"/>
          <w:szCs w:val="28"/>
          <w:lang w:val="uk-UA"/>
        </w:rPr>
      </w:pPr>
      <w:r w:rsidRPr="00372248">
        <w:rPr>
          <w:rFonts w:ascii="Times New Roman" w:hAnsi="Times New Roman"/>
          <w:b/>
          <w:sz w:val="28"/>
          <w:szCs w:val="28"/>
          <w:lang w:val="uk-UA"/>
        </w:rPr>
        <w:t>Виклад основних положень:</w:t>
      </w:r>
      <w:r>
        <w:rPr>
          <w:rFonts w:ascii="Times New Roman" w:hAnsi="Times New Roman"/>
          <w:sz w:val="28"/>
          <w:szCs w:val="28"/>
          <w:lang w:val="uk-UA"/>
        </w:rPr>
        <w:t xml:space="preserve"> З</w:t>
      </w:r>
      <w:r w:rsidR="00943368" w:rsidRPr="00943368">
        <w:rPr>
          <w:rFonts w:ascii="Times New Roman" w:hAnsi="Times New Roman" w:hint="eastAsia"/>
          <w:sz w:val="28"/>
          <w:szCs w:val="28"/>
          <w:lang w:val="uk-UA"/>
        </w:rPr>
        <w:t>міст</w:t>
      </w:r>
      <w:r w:rsidR="00943368">
        <w:rPr>
          <w:rFonts w:ascii="Times New Roman" w:hAnsi="Times New Roman"/>
          <w:sz w:val="28"/>
          <w:szCs w:val="28"/>
          <w:lang w:val="uk-UA"/>
        </w:rPr>
        <w:t xml:space="preserve"> </w:t>
      </w:r>
      <w:r w:rsidR="00943368" w:rsidRPr="00943368">
        <w:rPr>
          <w:rFonts w:ascii="Times New Roman" w:hAnsi="Times New Roman" w:hint="eastAsia"/>
          <w:sz w:val="28"/>
          <w:szCs w:val="28"/>
          <w:lang w:val="uk-UA"/>
        </w:rPr>
        <w:t>завдань</w:t>
      </w:r>
      <w:r w:rsidR="00943368" w:rsidRPr="00943368">
        <w:rPr>
          <w:rFonts w:ascii="Times New Roman" w:hAnsi="Times New Roman"/>
          <w:sz w:val="28"/>
          <w:szCs w:val="28"/>
          <w:lang w:val="uk-UA"/>
        </w:rPr>
        <w:t xml:space="preserve">, поставлених перед фіскальними органами, </w:t>
      </w:r>
      <w:r w:rsidR="00943368" w:rsidRPr="00943368">
        <w:rPr>
          <w:rFonts w:ascii="Times New Roman" w:hAnsi="Times New Roman" w:hint="eastAsia"/>
          <w:sz w:val="28"/>
          <w:szCs w:val="28"/>
          <w:lang w:val="uk-UA"/>
        </w:rPr>
        <w:t>без</w:t>
      </w:r>
      <w:r w:rsidR="00943368">
        <w:rPr>
          <w:rFonts w:ascii="Times New Roman" w:hAnsi="Times New Roman"/>
          <w:sz w:val="28"/>
          <w:szCs w:val="28"/>
          <w:lang w:val="uk-UA"/>
        </w:rPr>
        <w:t xml:space="preserve"> </w:t>
      </w:r>
      <w:r>
        <w:rPr>
          <w:rFonts w:ascii="Times New Roman" w:hAnsi="Times New Roman"/>
          <w:sz w:val="28"/>
          <w:szCs w:val="28"/>
          <w:lang w:val="uk-UA"/>
        </w:rPr>
        <w:t>узгодження їх</w:t>
      </w:r>
      <w:r w:rsidR="00943368" w:rsidRPr="00943368">
        <w:rPr>
          <w:rFonts w:ascii="Times New Roman" w:hAnsi="Times New Roman"/>
          <w:sz w:val="28"/>
          <w:szCs w:val="28"/>
          <w:lang w:val="uk-UA"/>
        </w:rPr>
        <w:t xml:space="preserve"> </w:t>
      </w:r>
      <w:r>
        <w:rPr>
          <w:rFonts w:ascii="Times New Roman" w:hAnsi="Times New Roman"/>
          <w:sz w:val="28"/>
          <w:szCs w:val="28"/>
          <w:lang w:val="uk-UA"/>
        </w:rPr>
        <w:t>і</w:t>
      </w:r>
      <w:r w:rsidR="00943368" w:rsidRPr="00943368">
        <w:rPr>
          <w:rFonts w:ascii="Times New Roman" w:hAnsi="Times New Roman" w:hint="eastAsia"/>
          <w:sz w:val="28"/>
          <w:szCs w:val="28"/>
          <w:lang w:val="uk-UA"/>
        </w:rPr>
        <w:t>з</w:t>
      </w:r>
      <w:r w:rsidR="00943368" w:rsidRPr="00943368">
        <w:rPr>
          <w:rFonts w:ascii="Times New Roman" w:hAnsi="Times New Roman"/>
          <w:sz w:val="28"/>
          <w:szCs w:val="28"/>
          <w:lang w:val="uk-UA"/>
        </w:rPr>
        <w:t xml:space="preserve"> </w:t>
      </w:r>
      <w:r>
        <w:rPr>
          <w:rFonts w:ascii="Times New Roman" w:hAnsi="Times New Roman"/>
          <w:sz w:val="28"/>
          <w:szCs w:val="28"/>
          <w:lang w:val="uk-UA"/>
        </w:rPr>
        <w:t xml:space="preserve">інтересами </w:t>
      </w:r>
      <w:r>
        <w:rPr>
          <w:rFonts w:ascii="Times New Roman" w:hAnsi="Times New Roman" w:hint="eastAsia"/>
          <w:sz w:val="28"/>
          <w:szCs w:val="28"/>
          <w:lang w:val="uk-UA"/>
        </w:rPr>
        <w:t>фінансово</w:t>
      </w:r>
      <w:r>
        <w:rPr>
          <w:rFonts w:ascii="Times New Roman" w:hAnsi="Times New Roman"/>
          <w:sz w:val="28"/>
          <w:szCs w:val="28"/>
          <w:lang w:val="uk-UA"/>
        </w:rPr>
        <w:t>ї</w:t>
      </w:r>
      <w:r w:rsidR="00943368" w:rsidRPr="00943368">
        <w:rPr>
          <w:rFonts w:ascii="Times New Roman" w:hAnsi="Times New Roman"/>
          <w:sz w:val="28"/>
          <w:szCs w:val="28"/>
          <w:lang w:val="uk-UA"/>
        </w:rPr>
        <w:t xml:space="preserve"> </w:t>
      </w:r>
      <w:r>
        <w:rPr>
          <w:rFonts w:ascii="Times New Roman" w:hAnsi="Times New Roman" w:hint="eastAsia"/>
          <w:sz w:val="28"/>
          <w:szCs w:val="28"/>
          <w:lang w:val="uk-UA"/>
        </w:rPr>
        <w:t>безпек</w:t>
      </w:r>
      <w:r>
        <w:rPr>
          <w:rFonts w:ascii="Times New Roman" w:hAnsi="Times New Roman"/>
          <w:sz w:val="28"/>
          <w:szCs w:val="28"/>
          <w:lang w:val="uk-UA"/>
        </w:rPr>
        <w:t>и</w:t>
      </w:r>
      <w:r w:rsidR="00943368">
        <w:rPr>
          <w:rFonts w:ascii="Times New Roman" w:hAnsi="Times New Roman"/>
          <w:sz w:val="28"/>
          <w:szCs w:val="28"/>
          <w:lang w:val="uk-UA"/>
        </w:rPr>
        <w:t>,</w:t>
      </w:r>
      <w:r w:rsidR="00943368" w:rsidRPr="00943368">
        <w:rPr>
          <w:rFonts w:ascii="Times New Roman" w:hAnsi="Times New Roman"/>
          <w:sz w:val="28"/>
          <w:szCs w:val="28"/>
          <w:lang w:val="uk-UA"/>
        </w:rPr>
        <w:t xml:space="preserve"> призведе до </w:t>
      </w:r>
      <w:r w:rsidR="00943368" w:rsidRPr="00943368">
        <w:rPr>
          <w:rFonts w:ascii="Times New Roman" w:hAnsi="Times New Roman" w:hint="eastAsia"/>
          <w:sz w:val="28"/>
          <w:szCs w:val="28"/>
          <w:lang w:val="uk-UA"/>
        </w:rPr>
        <w:t>втрати</w:t>
      </w:r>
      <w:r w:rsidR="00943368" w:rsidRPr="00943368">
        <w:rPr>
          <w:rFonts w:ascii="Times New Roman" w:hAnsi="Times New Roman"/>
          <w:sz w:val="28"/>
          <w:szCs w:val="28"/>
          <w:lang w:val="uk-UA"/>
        </w:rPr>
        <w:t xml:space="preserve"> ними </w:t>
      </w:r>
      <w:r w:rsidR="00943368" w:rsidRPr="00943368">
        <w:rPr>
          <w:rFonts w:ascii="Times New Roman" w:hAnsi="Times New Roman" w:hint="eastAsia"/>
          <w:sz w:val="28"/>
          <w:szCs w:val="28"/>
          <w:lang w:val="uk-UA"/>
        </w:rPr>
        <w:t>ефективності</w:t>
      </w:r>
      <w:r>
        <w:rPr>
          <w:rFonts w:ascii="Times New Roman" w:hAnsi="Times New Roman"/>
          <w:sz w:val="28"/>
          <w:szCs w:val="28"/>
          <w:lang w:val="uk-UA"/>
        </w:rPr>
        <w:t xml:space="preserve"> в контексті фіскальної достатності, економічності та соціальної справедливості оподаткування</w:t>
      </w:r>
      <w:r w:rsidR="00A2097C">
        <w:rPr>
          <w:rFonts w:ascii="Times New Roman" w:hAnsi="Times New Roman"/>
          <w:sz w:val="28"/>
          <w:szCs w:val="28"/>
          <w:lang w:val="uk-UA"/>
        </w:rPr>
        <w:t xml:space="preserve">. </w:t>
      </w:r>
      <w:r>
        <w:rPr>
          <w:rFonts w:ascii="Times New Roman" w:hAnsi="Times New Roman"/>
          <w:sz w:val="28"/>
          <w:szCs w:val="28"/>
          <w:lang w:val="uk-UA"/>
        </w:rPr>
        <w:t xml:space="preserve">Обсяг фінансових ресурсів держави, що майже на 70% формують податкові надходження, </w:t>
      </w:r>
      <w:r w:rsidR="009454E4">
        <w:rPr>
          <w:rFonts w:ascii="Times New Roman" w:hAnsi="Times New Roman"/>
          <w:sz w:val="28"/>
          <w:szCs w:val="28"/>
          <w:lang w:val="uk-UA"/>
        </w:rPr>
        <w:t>є передумовою до здатності державою виконувати покладені на неї функції. З цього випливає, що податки</w:t>
      </w:r>
      <w:r>
        <w:rPr>
          <w:rFonts w:ascii="Times New Roman" w:hAnsi="Times New Roman"/>
          <w:sz w:val="28"/>
          <w:szCs w:val="28"/>
          <w:lang w:val="uk-UA"/>
        </w:rPr>
        <w:t xml:space="preserve"> </w:t>
      </w:r>
      <w:r w:rsidR="001E4D14" w:rsidRPr="00A2097C">
        <w:rPr>
          <w:rFonts w:ascii="Times New Roman" w:hAnsi="Times New Roman"/>
          <w:sz w:val="28"/>
          <w:szCs w:val="28"/>
          <w:lang w:val="uk-UA"/>
        </w:rPr>
        <w:t xml:space="preserve">одночасно є інструментом забезпечення фінансової безпеки </w:t>
      </w:r>
      <w:r w:rsidR="009454E4">
        <w:rPr>
          <w:rFonts w:ascii="Times New Roman" w:hAnsi="Times New Roman"/>
          <w:sz w:val="28"/>
          <w:szCs w:val="28"/>
          <w:lang w:val="uk-UA"/>
        </w:rPr>
        <w:t xml:space="preserve">держави </w:t>
      </w:r>
      <w:r w:rsidR="001E4D14" w:rsidRPr="00A2097C">
        <w:rPr>
          <w:rFonts w:ascii="Times New Roman" w:hAnsi="Times New Roman"/>
          <w:sz w:val="28"/>
          <w:szCs w:val="28"/>
          <w:lang w:val="uk-UA"/>
        </w:rPr>
        <w:t xml:space="preserve">та </w:t>
      </w:r>
      <w:r w:rsidR="009454E4">
        <w:rPr>
          <w:rFonts w:ascii="Times New Roman" w:hAnsi="Times New Roman"/>
          <w:sz w:val="28"/>
          <w:szCs w:val="28"/>
          <w:lang w:val="uk-UA"/>
        </w:rPr>
        <w:t xml:space="preserve">чинником ризику та залежності, при цьому </w:t>
      </w:r>
      <w:r w:rsidR="001E4D14" w:rsidRPr="00A2097C">
        <w:rPr>
          <w:rFonts w:ascii="Times New Roman" w:hAnsi="Times New Roman"/>
          <w:sz w:val="28"/>
          <w:szCs w:val="28"/>
          <w:lang w:val="uk-UA"/>
        </w:rPr>
        <w:t xml:space="preserve">неповнота </w:t>
      </w:r>
      <w:r w:rsidR="009454E4">
        <w:rPr>
          <w:rFonts w:ascii="Times New Roman" w:hAnsi="Times New Roman"/>
          <w:sz w:val="28"/>
          <w:szCs w:val="28"/>
          <w:lang w:val="uk-UA"/>
        </w:rPr>
        <w:t xml:space="preserve">їх мобілізації </w:t>
      </w:r>
      <w:r w:rsidR="001E4D14" w:rsidRPr="00A2097C">
        <w:rPr>
          <w:rFonts w:ascii="Times New Roman" w:hAnsi="Times New Roman"/>
          <w:sz w:val="28"/>
          <w:szCs w:val="28"/>
          <w:lang w:val="uk-UA"/>
        </w:rPr>
        <w:t xml:space="preserve">є прямою загрозою. </w:t>
      </w:r>
    </w:p>
    <w:p w:rsidR="001E4D14" w:rsidRPr="00A2097C" w:rsidRDefault="008F76C3" w:rsidP="00A2097C">
      <w:pPr>
        <w:pStyle w:val="NormalWeb"/>
        <w:spacing w:before="0" w:beforeAutospacing="0" w:after="0" w:afterAutospacing="0" w:line="360" w:lineRule="auto"/>
        <w:ind w:left="-567" w:firstLine="709"/>
        <w:jc w:val="both"/>
        <w:rPr>
          <w:sz w:val="28"/>
          <w:szCs w:val="28"/>
          <w:lang w:val="uk-UA"/>
        </w:rPr>
      </w:pPr>
      <w:r>
        <w:rPr>
          <w:sz w:val="28"/>
          <w:szCs w:val="28"/>
          <w:lang w:val="uk-UA"/>
        </w:rPr>
        <w:t xml:space="preserve">У людській природі закладене прагнення до </w:t>
      </w:r>
      <w:r w:rsidRPr="00CB7C6A">
        <w:rPr>
          <w:sz w:val="28"/>
          <w:szCs w:val="28"/>
          <w:lang w:val="uk-UA"/>
        </w:rPr>
        <w:t>мінімізаці</w:t>
      </w:r>
      <w:r w:rsidR="007B7EC9">
        <w:rPr>
          <w:sz w:val="28"/>
          <w:szCs w:val="28"/>
          <w:lang w:val="uk-UA"/>
        </w:rPr>
        <w:t xml:space="preserve">ї втрат, </w:t>
      </w:r>
      <w:r w:rsidR="00B03A66">
        <w:rPr>
          <w:sz w:val="28"/>
          <w:szCs w:val="28"/>
          <w:lang w:val="uk-UA"/>
        </w:rPr>
        <w:t>однією із яких є податки</w:t>
      </w:r>
      <w:r w:rsidRPr="00CB7C6A">
        <w:rPr>
          <w:sz w:val="28"/>
          <w:szCs w:val="28"/>
          <w:lang w:val="uk-UA"/>
        </w:rPr>
        <w:t xml:space="preserve">. </w:t>
      </w:r>
      <w:r w:rsidRPr="006F2F20">
        <w:rPr>
          <w:sz w:val="28"/>
          <w:szCs w:val="28"/>
          <w:lang w:val="uk-UA"/>
        </w:rPr>
        <w:t xml:space="preserve">Держава, натомість, планує стабільні надходження протягом року, що </w:t>
      </w:r>
      <w:r w:rsidRPr="006F2F20">
        <w:rPr>
          <w:sz w:val="28"/>
          <w:szCs w:val="28"/>
          <w:lang w:val="uk-UA"/>
        </w:rPr>
        <w:lastRenderedPageBreak/>
        <w:t xml:space="preserve">закріплює у бюджеті, та прагне отримати </w:t>
      </w:r>
      <w:r w:rsidR="00B03A66">
        <w:rPr>
          <w:sz w:val="28"/>
          <w:szCs w:val="28"/>
          <w:lang w:val="uk-UA"/>
        </w:rPr>
        <w:t>доходи</w:t>
      </w:r>
      <w:r w:rsidRPr="006F2F20">
        <w:rPr>
          <w:sz w:val="28"/>
          <w:szCs w:val="28"/>
          <w:lang w:val="uk-UA"/>
        </w:rPr>
        <w:t xml:space="preserve"> не </w:t>
      </w:r>
      <w:r w:rsidR="00B03A66">
        <w:rPr>
          <w:sz w:val="28"/>
          <w:szCs w:val="28"/>
          <w:lang w:val="uk-UA"/>
        </w:rPr>
        <w:t xml:space="preserve">в </w:t>
      </w:r>
      <w:r w:rsidRPr="006F2F20">
        <w:rPr>
          <w:sz w:val="28"/>
          <w:szCs w:val="28"/>
          <w:lang w:val="uk-UA"/>
        </w:rPr>
        <w:t>менших ніж заплановано</w:t>
      </w:r>
      <w:r w:rsidR="0035648A">
        <w:rPr>
          <w:sz w:val="28"/>
          <w:szCs w:val="28"/>
          <w:lang w:val="uk-UA"/>
        </w:rPr>
        <w:t xml:space="preserve"> обсягах</w:t>
      </w:r>
      <w:r w:rsidRPr="006F2F20">
        <w:rPr>
          <w:sz w:val="28"/>
          <w:szCs w:val="28"/>
          <w:lang w:val="uk-UA"/>
        </w:rPr>
        <w:t>.</w:t>
      </w:r>
      <w:r w:rsidR="00943368" w:rsidRPr="00943368">
        <w:rPr>
          <w:sz w:val="28"/>
          <w:szCs w:val="28"/>
          <w:lang w:val="uk-UA"/>
        </w:rPr>
        <w:t xml:space="preserve"> </w:t>
      </w:r>
      <w:r w:rsidR="00943368">
        <w:rPr>
          <w:sz w:val="28"/>
          <w:szCs w:val="28"/>
          <w:lang w:val="uk-UA"/>
        </w:rPr>
        <w:t xml:space="preserve">Роль податкових платежів як ресурсу чи ризику </w:t>
      </w:r>
      <w:r w:rsidR="00943368" w:rsidRPr="004F3982">
        <w:rPr>
          <w:sz w:val="28"/>
          <w:szCs w:val="28"/>
          <w:lang w:val="uk-UA"/>
        </w:rPr>
        <w:t>визн</w:t>
      </w:r>
      <w:r w:rsidR="00943368">
        <w:rPr>
          <w:sz w:val="28"/>
          <w:szCs w:val="28"/>
          <w:lang w:val="uk-UA"/>
        </w:rPr>
        <w:t>а</w:t>
      </w:r>
      <w:r w:rsidR="00943368" w:rsidRPr="004F3982">
        <w:rPr>
          <w:sz w:val="28"/>
          <w:szCs w:val="28"/>
          <w:lang w:val="uk-UA"/>
        </w:rPr>
        <w:t>ч</w:t>
      </w:r>
      <w:r w:rsidR="00943368">
        <w:rPr>
          <w:sz w:val="28"/>
          <w:szCs w:val="28"/>
          <w:lang w:val="uk-UA"/>
        </w:rPr>
        <w:t>ає</w:t>
      </w:r>
      <w:r w:rsidR="00B03A66">
        <w:rPr>
          <w:sz w:val="28"/>
          <w:szCs w:val="28"/>
          <w:lang w:val="uk-UA"/>
        </w:rPr>
        <w:t>ться конкретним</w:t>
      </w:r>
      <w:r w:rsidR="00943368" w:rsidRPr="004F3982">
        <w:rPr>
          <w:sz w:val="28"/>
          <w:szCs w:val="28"/>
          <w:lang w:val="uk-UA"/>
        </w:rPr>
        <w:t xml:space="preserve"> ет</w:t>
      </w:r>
      <w:r w:rsidR="00943368">
        <w:rPr>
          <w:sz w:val="28"/>
          <w:szCs w:val="28"/>
          <w:lang w:val="uk-UA"/>
        </w:rPr>
        <w:t xml:space="preserve">апом економічного розвитку, особливостями економічної політики </w:t>
      </w:r>
      <w:r w:rsidR="00943368" w:rsidRPr="00A2097C">
        <w:rPr>
          <w:sz w:val="28"/>
          <w:szCs w:val="28"/>
          <w:lang w:val="uk-UA"/>
        </w:rPr>
        <w:t>держави тощо.</w:t>
      </w:r>
      <w:r w:rsidR="00A2097C" w:rsidRPr="00A2097C">
        <w:rPr>
          <w:sz w:val="28"/>
          <w:szCs w:val="28"/>
          <w:lang w:val="uk-UA"/>
        </w:rPr>
        <w:t xml:space="preserve"> </w:t>
      </w:r>
      <w:r w:rsidR="001E4D14" w:rsidRPr="00A2097C">
        <w:rPr>
          <w:sz w:val="28"/>
          <w:szCs w:val="28"/>
          <w:lang w:val="uk-UA"/>
        </w:rPr>
        <w:t xml:space="preserve">Виходячи з цього, </w:t>
      </w:r>
      <w:r w:rsidR="00A2097C" w:rsidRPr="00A2097C">
        <w:rPr>
          <w:sz w:val="28"/>
          <w:szCs w:val="28"/>
          <w:lang w:val="uk-UA"/>
        </w:rPr>
        <w:t>ми погоджуємося з позицією, що</w:t>
      </w:r>
      <w:r w:rsidR="001E4D14" w:rsidRPr="00A2097C">
        <w:rPr>
          <w:sz w:val="28"/>
          <w:szCs w:val="28"/>
          <w:lang w:val="uk-UA"/>
        </w:rPr>
        <w:t xml:space="preserve"> національну податкову безпеку </w:t>
      </w:r>
      <w:r w:rsidR="00A2097C" w:rsidRPr="00A2097C">
        <w:rPr>
          <w:sz w:val="28"/>
          <w:szCs w:val="28"/>
          <w:lang w:val="uk-UA"/>
        </w:rPr>
        <w:t xml:space="preserve">у контексті фінансової безпеки </w:t>
      </w:r>
      <w:r w:rsidR="001E4D14" w:rsidRPr="00A2097C">
        <w:rPr>
          <w:sz w:val="28"/>
          <w:szCs w:val="28"/>
          <w:lang w:val="uk-UA"/>
        </w:rPr>
        <w:t>можна визначити як такий стан податкової системи, який характеризується стійкістю і стабільністю всіх її елементів, що передбачає спроможність захищати національні економічні інтереси і протистояти зовнішнім та внутрішнім загрозам, можливість реалізації і розвитку податкового потенціалу країни, ефективне використання конкурентних переваг податкової системи в умовах глобалізації</w:t>
      </w:r>
      <w:r w:rsidR="00FD306A">
        <w:rPr>
          <w:sz w:val="28"/>
          <w:szCs w:val="28"/>
          <w:lang w:val="uk-UA"/>
        </w:rPr>
        <w:t xml:space="preserve">  [</w:t>
      </w:r>
      <w:r w:rsidR="006410D2">
        <w:rPr>
          <w:sz w:val="28"/>
          <w:szCs w:val="28"/>
          <w:lang w:val="uk-UA"/>
        </w:rPr>
        <w:fldChar w:fldCharType="begin"/>
      </w:r>
      <w:r w:rsidR="006410D2">
        <w:rPr>
          <w:sz w:val="28"/>
          <w:szCs w:val="28"/>
          <w:lang w:val="uk-UA"/>
        </w:rPr>
        <w:instrText xml:space="preserve"> REF _Ref449059545 \r \h </w:instrText>
      </w:r>
      <w:r w:rsidR="006410D2">
        <w:rPr>
          <w:sz w:val="28"/>
          <w:szCs w:val="28"/>
          <w:lang w:val="uk-UA"/>
        </w:rPr>
      </w:r>
      <w:r w:rsidR="006410D2">
        <w:rPr>
          <w:sz w:val="28"/>
          <w:szCs w:val="28"/>
          <w:lang w:val="uk-UA"/>
        </w:rPr>
        <w:fldChar w:fldCharType="separate"/>
      </w:r>
      <w:r w:rsidR="006B1E97">
        <w:rPr>
          <w:sz w:val="28"/>
          <w:szCs w:val="28"/>
          <w:lang w:val="uk-UA"/>
        </w:rPr>
        <w:t>2</w:t>
      </w:r>
      <w:r w:rsidR="006410D2">
        <w:rPr>
          <w:sz w:val="28"/>
          <w:szCs w:val="28"/>
          <w:lang w:val="uk-UA"/>
        </w:rPr>
        <w:fldChar w:fldCharType="end"/>
      </w:r>
      <w:r w:rsidR="00FD306A">
        <w:rPr>
          <w:sz w:val="28"/>
          <w:szCs w:val="28"/>
          <w:lang w:val="uk-UA"/>
        </w:rPr>
        <w:t xml:space="preserve">, с. </w:t>
      </w:r>
      <w:r w:rsidR="000864D6">
        <w:rPr>
          <w:sz w:val="28"/>
          <w:szCs w:val="28"/>
          <w:lang w:val="uk-UA"/>
        </w:rPr>
        <w:t>38</w:t>
      </w:r>
      <w:r w:rsidR="00A2097C" w:rsidRPr="00A2097C">
        <w:rPr>
          <w:sz w:val="28"/>
          <w:szCs w:val="28"/>
          <w:lang w:val="uk-UA"/>
        </w:rPr>
        <w:t>].</w:t>
      </w:r>
    </w:p>
    <w:p w:rsidR="00815BD4" w:rsidRPr="00B03A66" w:rsidRDefault="0035648A" w:rsidP="00B03A66">
      <w:pPr>
        <w:autoSpaceDE w:val="0"/>
        <w:autoSpaceDN w:val="0"/>
        <w:adjustRightInd w:val="0"/>
        <w:spacing w:after="0" w:line="360" w:lineRule="auto"/>
        <w:ind w:left="-567" w:firstLine="709"/>
        <w:jc w:val="both"/>
        <w:rPr>
          <w:rFonts w:ascii="Times New Roman" w:hAnsi="Times New Roman"/>
          <w:sz w:val="28"/>
          <w:szCs w:val="28"/>
          <w:lang w:val="uk-UA"/>
        </w:rPr>
      </w:pPr>
      <w:r>
        <w:rPr>
          <w:rFonts w:ascii="Times New Roman" w:eastAsia="TimesNewRomanPSMT" w:hAnsi="Times New Roman"/>
          <w:sz w:val="28"/>
          <w:szCs w:val="28"/>
          <w:lang w:val="uk-UA"/>
        </w:rPr>
        <w:t xml:space="preserve">У </w:t>
      </w:r>
      <w:r w:rsidR="00A2097C" w:rsidRPr="00A2097C">
        <w:rPr>
          <w:rFonts w:ascii="Times New Roman" w:eastAsia="TimesNewRomanPSMT" w:hAnsi="Times New Roman"/>
          <w:sz w:val="28"/>
          <w:szCs w:val="28"/>
          <w:lang w:val="uk-UA"/>
        </w:rPr>
        <w:t xml:space="preserve">забезпеченні фінансової безпеки виникає проблема попередження виникнення та наростання податкового боргу, а також підвищення ефективності заходів </w:t>
      </w:r>
      <w:r>
        <w:rPr>
          <w:rFonts w:ascii="Times New Roman" w:eastAsia="TimesNewRomanPSMT" w:hAnsi="Times New Roman"/>
          <w:sz w:val="28"/>
          <w:szCs w:val="28"/>
          <w:lang w:val="uk-UA"/>
        </w:rPr>
        <w:t>мобілізації</w:t>
      </w:r>
      <w:r w:rsidR="00A2097C" w:rsidRPr="00A2097C">
        <w:rPr>
          <w:rFonts w:ascii="Times New Roman" w:eastAsia="TimesNewRomanPSMT" w:hAnsi="Times New Roman"/>
          <w:sz w:val="28"/>
          <w:szCs w:val="28"/>
          <w:lang w:val="uk-UA"/>
        </w:rPr>
        <w:t xml:space="preserve"> створеного боргу до бюджетів.</w:t>
      </w:r>
      <w:r w:rsidR="00A2097C">
        <w:rPr>
          <w:rFonts w:ascii="Times New Roman" w:hAnsi="Times New Roman"/>
          <w:sz w:val="28"/>
          <w:szCs w:val="28"/>
          <w:lang w:val="uk-UA"/>
        </w:rPr>
        <w:t xml:space="preserve"> </w:t>
      </w:r>
      <w:r w:rsidR="00A2097C" w:rsidRPr="00815BD4">
        <w:rPr>
          <w:rFonts w:ascii="Times New Roman" w:hAnsi="Times New Roman"/>
          <w:sz w:val="28"/>
          <w:szCs w:val="28"/>
          <w:lang w:val="uk-UA"/>
        </w:rPr>
        <w:t xml:space="preserve">У результаті застосування </w:t>
      </w:r>
      <w:proofErr w:type="spellStart"/>
      <w:r w:rsidR="00A2097C" w:rsidRPr="00815BD4">
        <w:rPr>
          <w:rFonts w:ascii="Times New Roman" w:hAnsi="Times New Roman"/>
          <w:sz w:val="28"/>
          <w:szCs w:val="28"/>
          <w:lang w:val="uk-UA"/>
        </w:rPr>
        <w:t>безпе</w:t>
      </w:r>
      <w:r w:rsidR="000864D6" w:rsidRPr="00815BD4">
        <w:rPr>
          <w:rFonts w:ascii="Times New Roman" w:hAnsi="Times New Roman"/>
          <w:sz w:val="28"/>
          <w:szCs w:val="28"/>
          <w:lang w:val="uk-UA"/>
        </w:rPr>
        <w:t>кознавчого</w:t>
      </w:r>
      <w:proofErr w:type="spellEnd"/>
      <w:r w:rsidR="00FD306A" w:rsidRPr="00815BD4">
        <w:rPr>
          <w:rFonts w:ascii="Times New Roman" w:hAnsi="Times New Roman"/>
          <w:sz w:val="28"/>
          <w:szCs w:val="28"/>
          <w:lang w:val="uk-UA"/>
        </w:rPr>
        <w:t xml:space="preserve"> підходу [</w:t>
      </w:r>
      <w:r w:rsidR="006410D2">
        <w:rPr>
          <w:rFonts w:ascii="Times New Roman" w:hAnsi="Times New Roman"/>
          <w:sz w:val="28"/>
          <w:szCs w:val="28"/>
          <w:lang w:val="uk-UA"/>
        </w:rPr>
        <w:fldChar w:fldCharType="begin"/>
      </w:r>
      <w:r w:rsidR="006410D2">
        <w:rPr>
          <w:rFonts w:ascii="Times New Roman" w:hAnsi="Times New Roman"/>
          <w:sz w:val="28"/>
          <w:szCs w:val="28"/>
          <w:lang w:val="uk-UA"/>
        </w:rPr>
        <w:instrText xml:space="preserve"> REF _Ref449059568 \r \h </w:instrText>
      </w:r>
      <w:r w:rsidR="006410D2">
        <w:rPr>
          <w:rFonts w:ascii="Times New Roman" w:hAnsi="Times New Roman"/>
          <w:sz w:val="28"/>
          <w:szCs w:val="28"/>
          <w:lang w:val="uk-UA"/>
        </w:rPr>
      </w:r>
      <w:r w:rsidR="006410D2">
        <w:rPr>
          <w:rFonts w:ascii="Times New Roman" w:hAnsi="Times New Roman"/>
          <w:sz w:val="28"/>
          <w:szCs w:val="28"/>
          <w:lang w:val="uk-UA"/>
        </w:rPr>
        <w:fldChar w:fldCharType="separate"/>
      </w:r>
      <w:r w:rsidR="006B1E97">
        <w:rPr>
          <w:rFonts w:ascii="Times New Roman" w:hAnsi="Times New Roman"/>
          <w:sz w:val="28"/>
          <w:szCs w:val="28"/>
          <w:lang w:val="uk-UA"/>
        </w:rPr>
        <w:t>3</w:t>
      </w:r>
      <w:r w:rsidR="006410D2">
        <w:rPr>
          <w:rFonts w:ascii="Times New Roman" w:hAnsi="Times New Roman"/>
          <w:sz w:val="28"/>
          <w:szCs w:val="28"/>
          <w:lang w:val="uk-UA"/>
        </w:rPr>
        <w:fldChar w:fldCharType="end"/>
      </w:r>
      <w:r w:rsidR="00FD306A" w:rsidRPr="00815BD4">
        <w:rPr>
          <w:rFonts w:ascii="Times New Roman" w:hAnsi="Times New Roman"/>
          <w:sz w:val="28"/>
          <w:szCs w:val="28"/>
          <w:lang w:val="uk-UA"/>
        </w:rPr>
        <w:t>, с. 95</w:t>
      </w:r>
      <w:r w:rsidR="00A2097C" w:rsidRPr="00815BD4">
        <w:rPr>
          <w:rFonts w:ascii="Times New Roman" w:hAnsi="Times New Roman"/>
          <w:sz w:val="28"/>
          <w:szCs w:val="28"/>
          <w:lang w:val="uk-UA"/>
        </w:rPr>
        <w:t>] ми прийшли до висновк</w:t>
      </w:r>
      <w:r w:rsidR="00BF0FD8" w:rsidRPr="00815BD4">
        <w:rPr>
          <w:rFonts w:ascii="Times New Roman" w:hAnsi="Times New Roman"/>
          <w:sz w:val="28"/>
          <w:szCs w:val="28"/>
          <w:lang w:val="uk-UA"/>
        </w:rPr>
        <w:t>у, що податковий борг</w:t>
      </w:r>
      <w:r w:rsidR="00A2097C" w:rsidRPr="00815BD4">
        <w:rPr>
          <w:rFonts w:ascii="Times New Roman" w:hAnsi="Times New Roman"/>
          <w:sz w:val="28"/>
          <w:szCs w:val="28"/>
          <w:lang w:val="uk-UA"/>
        </w:rPr>
        <w:t xml:space="preserve"> – це</w:t>
      </w:r>
      <w:r w:rsidR="00341557" w:rsidRPr="00815BD4">
        <w:rPr>
          <w:rFonts w:ascii="Times New Roman" w:hAnsi="Times New Roman"/>
          <w:sz w:val="28"/>
          <w:szCs w:val="28"/>
          <w:lang w:val="uk-UA"/>
        </w:rPr>
        <w:t xml:space="preserve"> </w:t>
      </w:r>
      <w:r w:rsidR="007B7EC9" w:rsidRPr="00815BD4">
        <w:rPr>
          <w:rFonts w:ascii="Times New Roman" w:hAnsi="Times New Roman"/>
          <w:sz w:val="28"/>
          <w:szCs w:val="28"/>
          <w:lang w:val="uk-UA"/>
        </w:rPr>
        <w:t>фінансові</w:t>
      </w:r>
      <w:r w:rsidR="00341557" w:rsidRPr="00815BD4">
        <w:rPr>
          <w:rFonts w:ascii="Times New Roman" w:hAnsi="Times New Roman"/>
          <w:sz w:val="28"/>
          <w:szCs w:val="28"/>
          <w:lang w:val="uk-UA"/>
        </w:rPr>
        <w:t xml:space="preserve"> відносини з приводу несанкціонованого </w:t>
      </w:r>
      <w:r w:rsidR="007B7EC9" w:rsidRPr="00815BD4">
        <w:rPr>
          <w:rFonts w:ascii="Times New Roman" w:hAnsi="Times New Roman"/>
          <w:sz w:val="28"/>
          <w:szCs w:val="28"/>
          <w:lang w:val="uk-UA"/>
        </w:rPr>
        <w:t>використання</w:t>
      </w:r>
      <w:r w:rsidR="00341557" w:rsidRPr="00815BD4">
        <w:rPr>
          <w:rFonts w:ascii="Times New Roman" w:hAnsi="Times New Roman"/>
          <w:sz w:val="28"/>
          <w:szCs w:val="28"/>
          <w:lang w:val="uk-UA"/>
        </w:rPr>
        <w:t xml:space="preserve"> платником податків грошових коштів з бюджетів різних рівнів в обсягу належних до сплати податкових зобов’язань, що зумовлюють негативні наслідки для фінансової безпеки держави. </w:t>
      </w:r>
      <w:r w:rsidR="00815BD4" w:rsidRPr="00B03A66">
        <w:rPr>
          <w:rFonts w:ascii="Times New Roman" w:hAnsi="Times New Roman"/>
          <w:sz w:val="28"/>
          <w:szCs w:val="28"/>
          <w:lang w:val="uk-UA"/>
        </w:rPr>
        <w:t xml:space="preserve">Наведена аргументація доводить, що у рамках податкової безпеки доцільно розглядати також податково-боргову </w:t>
      </w:r>
      <w:r w:rsidR="00B03A66">
        <w:rPr>
          <w:rFonts w:ascii="Times New Roman" w:hAnsi="Times New Roman"/>
          <w:sz w:val="28"/>
          <w:szCs w:val="28"/>
          <w:lang w:val="uk-UA"/>
        </w:rPr>
        <w:t>компоненту, яку пропонуємо</w:t>
      </w:r>
      <w:r w:rsidR="00B03A66" w:rsidRPr="00B03A66">
        <w:rPr>
          <w:rFonts w:ascii="Times New Roman" w:hAnsi="Times New Roman"/>
          <w:sz w:val="28"/>
          <w:szCs w:val="28"/>
          <w:lang w:val="uk-UA"/>
        </w:rPr>
        <w:t xml:space="preserve"> </w:t>
      </w:r>
      <w:r w:rsidR="00B03A66">
        <w:rPr>
          <w:rFonts w:ascii="Times New Roman" w:hAnsi="Times New Roman"/>
          <w:sz w:val="28"/>
          <w:szCs w:val="28"/>
          <w:lang w:val="uk-UA"/>
        </w:rPr>
        <w:t>трактувати</w:t>
      </w:r>
      <w:r w:rsidR="00B03A66" w:rsidRPr="00B03A66">
        <w:rPr>
          <w:rFonts w:ascii="Times New Roman" w:hAnsi="Times New Roman"/>
          <w:sz w:val="28"/>
          <w:szCs w:val="28"/>
          <w:lang w:val="uk-UA"/>
        </w:rPr>
        <w:t xml:space="preserve"> як </w:t>
      </w:r>
      <w:r w:rsidR="00B03A66" w:rsidRPr="00B03A66">
        <w:rPr>
          <w:rFonts w:ascii="Times New Roman" w:hAnsi="Times New Roman"/>
          <w:bCs/>
          <w:sz w:val="28"/>
          <w:szCs w:val="28"/>
          <w:lang w:val="uk-UA"/>
        </w:rPr>
        <w:t>елемент податкової складової фінансової безпеки держави, який відображає залежність її рівня від повноти, регулярності та своєчасності мобілізації запланованих податкових надходжень до бюджетів усіх рівнів, а також від ефективності управління податковим боргом.</w:t>
      </w:r>
    </w:p>
    <w:p w:rsidR="00174EAE" w:rsidRDefault="007406FA" w:rsidP="00174EAE">
      <w:pPr>
        <w:spacing w:after="0" w:line="360" w:lineRule="auto"/>
        <w:ind w:left="-567" w:firstLine="709"/>
        <w:jc w:val="both"/>
        <w:rPr>
          <w:rFonts w:ascii="Times New Roman" w:hAnsi="Times New Roman"/>
          <w:sz w:val="28"/>
          <w:szCs w:val="28"/>
          <w:lang w:val="uk-UA"/>
        </w:rPr>
      </w:pPr>
      <w:r w:rsidRPr="000E5457">
        <w:rPr>
          <w:rFonts w:ascii="Times New Roman" w:hAnsi="Times New Roman"/>
          <w:color w:val="000000"/>
          <w:sz w:val="28"/>
          <w:szCs w:val="28"/>
          <w:lang w:val="uk-UA"/>
        </w:rPr>
        <w:t xml:space="preserve">Оскільки явище податкового боргу ми виносимо на </w:t>
      </w:r>
      <w:r w:rsidR="00B03A66">
        <w:rPr>
          <w:rFonts w:ascii="Times New Roman" w:hAnsi="Times New Roman"/>
          <w:color w:val="000000"/>
          <w:sz w:val="28"/>
          <w:szCs w:val="28"/>
          <w:lang w:val="uk-UA"/>
        </w:rPr>
        <w:t>одну із пріоритетних позицій</w:t>
      </w:r>
      <w:r w:rsidRPr="000E5457">
        <w:rPr>
          <w:rFonts w:ascii="Times New Roman" w:hAnsi="Times New Roman"/>
          <w:color w:val="000000"/>
          <w:sz w:val="28"/>
          <w:szCs w:val="28"/>
          <w:lang w:val="uk-UA"/>
        </w:rPr>
        <w:t xml:space="preserve"> серед </w:t>
      </w:r>
      <w:r w:rsidR="00B03A66">
        <w:rPr>
          <w:rFonts w:ascii="Times New Roman" w:hAnsi="Times New Roman"/>
          <w:color w:val="000000"/>
          <w:sz w:val="28"/>
          <w:szCs w:val="28"/>
          <w:lang w:val="uk-UA"/>
        </w:rPr>
        <w:t>загроз</w:t>
      </w:r>
      <w:r w:rsidRPr="000E5457">
        <w:rPr>
          <w:rFonts w:ascii="Times New Roman" w:hAnsi="Times New Roman"/>
          <w:color w:val="000000"/>
          <w:sz w:val="28"/>
          <w:szCs w:val="28"/>
          <w:lang w:val="uk-UA"/>
        </w:rPr>
        <w:t xml:space="preserve"> податкової, а</w:t>
      </w:r>
      <w:r w:rsidR="00B03A66">
        <w:rPr>
          <w:rFonts w:ascii="Times New Roman" w:hAnsi="Times New Roman"/>
          <w:color w:val="000000"/>
          <w:sz w:val="28"/>
          <w:szCs w:val="28"/>
          <w:lang w:val="uk-UA"/>
        </w:rPr>
        <w:t>,</w:t>
      </w:r>
      <w:r w:rsidRPr="000E5457">
        <w:rPr>
          <w:rFonts w:ascii="Times New Roman" w:hAnsi="Times New Roman"/>
          <w:color w:val="000000"/>
          <w:sz w:val="28"/>
          <w:szCs w:val="28"/>
          <w:lang w:val="uk-UA"/>
        </w:rPr>
        <w:t xml:space="preserve"> отже</w:t>
      </w:r>
      <w:r w:rsidR="00B03A66">
        <w:rPr>
          <w:rFonts w:ascii="Times New Roman" w:hAnsi="Times New Roman"/>
          <w:color w:val="000000"/>
          <w:sz w:val="28"/>
          <w:szCs w:val="28"/>
          <w:lang w:val="uk-UA"/>
        </w:rPr>
        <w:t>,</w:t>
      </w:r>
      <w:r w:rsidRPr="000E5457">
        <w:rPr>
          <w:rFonts w:ascii="Times New Roman" w:hAnsi="Times New Roman"/>
          <w:color w:val="000000"/>
          <w:sz w:val="28"/>
          <w:szCs w:val="28"/>
          <w:lang w:val="uk-UA"/>
        </w:rPr>
        <w:t xml:space="preserve"> і фінансової безпеки держави, то </w:t>
      </w:r>
      <w:r w:rsidR="00141928">
        <w:rPr>
          <w:rFonts w:ascii="Times New Roman" w:hAnsi="Times New Roman"/>
          <w:sz w:val="28"/>
          <w:szCs w:val="28"/>
          <w:lang w:val="uk-UA"/>
        </w:rPr>
        <w:t xml:space="preserve">пропонуємо дослідити окремі </w:t>
      </w:r>
      <w:r w:rsidR="00BF0FD8">
        <w:rPr>
          <w:rFonts w:ascii="Times New Roman" w:hAnsi="Times New Roman"/>
          <w:sz w:val="28"/>
          <w:szCs w:val="28"/>
          <w:lang w:val="uk-UA"/>
        </w:rPr>
        <w:t>показники, щ</w:t>
      </w:r>
      <w:r w:rsidR="00B03A66">
        <w:rPr>
          <w:rFonts w:ascii="Times New Roman" w:hAnsi="Times New Roman"/>
          <w:sz w:val="28"/>
          <w:szCs w:val="28"/>
          <w:lang w:val="uk-UA"/>
        </w:rPr>
        <w:t>о характеризують розвиток явища.</w:t>
      </w:r>
    </w:p>
    <w:p w:rsidR="00BF0FD8" w:rsidRPr="00E872DB" w:rsidRDefault="00BF0FD8" w:rsidP="00B03A66">
      <w:pPr>
        <w:widowControl w:val="0"/>
        <w:spacing w:after="0" w:line="360" w:lineRule="auto"/>
        <w:ind w:left="-567" w:firstLine="709"/>
        <w:jc w:val="both"/>
        <w:rPr>
          <w:rFonts w:ascii="Times New Roman" w:hAnsi="Times New Roman"/>
          <w:sz w:val="28"/>
          <w:szCs w:val="28"/>
        </w:rPr>
      </w:pPr>
      <w:proofErr w:type="spellStart"/>
      <w:r>
        <w:rPr>
          <w:rFonts w:ascii="Times New Roman" w:hAnsi="Times New Roman"/>
          <w:sz w:val="28"/>
          <w:szCs w:val="28"/>
        </w:rPr>
        <w:t>Аналіз</w:t>
      </w:r>
      <w:proofErr w:type="spellEnd"/>
      <w:r>
        <w:rPr>
          <w:rFonts w:ascii="Times New Roman" w:hAnsi="Times New Roman"/>
          <w:sz w:val="28"/>
          <w:szCs w:val="28"/>
        </w:rPr>
        <w:t xml:space="preserve"> </w:t>
      </w:r>
      <w:proofErr w:type="spellStart"/>
      <w:r>
        <w:rPr>
          <w:rFonts w:ascii="Times New Roman" w:hAnsi="Times New Roman"/>
          <w:sz w:val="28"/>
          <w:szCs w:val="28"/>
        </w:rPr>
        <w:t>динаміки</w:t>
      </w:r>
      <w:proofErr w:type="spellEnd"/>
      <w:r>
        <w:rPr>
          <w:rFonts w:ascii="Times New Roman" w:hAnsi="Times New Roman"/>
          <w:sz w:val="28"/>
          <w:szCs w:val="28"/>
        </w:rPr>
        <w:t xml:space="preserve"> </w:t>
      </w:r>
      <w:proofErr w:type="spellStart"/>
      <w:r>
        <w:rPr>
          <w:rFonts w:ascii="Times New Roman" w:hAnsi="Times New Roman"/>
          <w:sz w:val="28"/>
          <w:szCs w:val="28"/>
        </w:rPr>
        <w:t>податкового</w:t>
      </w:r>
      <w:proofErr w:type="spellEnd"/>
      <w:r>
        <w:rPr>
          <w:rFonts w:ascii="Times New Roman" w:hAnsi="Times New Roman"/>
          <w:sz w:val="28"/>
          <w:szCs w:val="28"/>
        </w:rPr>
        <w:t xml:space="preserve"> боргу, показаний на рис. </w:t>
      </w:r>
      <w:r>
        <w:rPr>
          <w:rFonts w:ascii="Times New Roman" w:hAnsi="Times New Roman"/>
          <w:sz w:val="28"/>
          <w:szCs w:val="28"/>
          <w:lang w:val="uk-UA"/>
        </w:rPr>
        <w:t>1</w:t>
      </w:r>
      <w:r>
        <w:rPr>
          <w:rFonts w:ascii="Times New Roman" w:hAnsi="Times New Roman"/>
          <w:sz w:val="28"/>
          <w:szCs w:val="28"/>
        </w:rPr>
        <w:t xml:space="preserve">, </w:t>
      </w:r>
      <w:proofErr w:type="spellStart"/>
      <w:r>
        <w:rPr>
          <w:rFonts w:ascii="Times New Roman" w:hAnsi="Times New Roman"/>
          <w:sz w:val="28"/>
          <w:szCs w:val="28"/>
        </w:rPr>
        <w:t>дає</w:t>
      </w:r>
      <w:proofErr w:type="spellEnd"/>
      <w:r>
        <w:rPr>
          <w:rFonts w:ascii="Times New Roman" w:hAnsi="Times New Roman"/>
          <w:sz w:val="28"/>
          <w:szCs w:val="28"/>
        </w:rPr>
        <w:t xml:space="preserve"> </w:t>
      </w:r>
      <w:proofErr w:type="spellStart"/>
      <w:r>
        <w:rPr>
          <w:rFonts w:ascii="Times New Roman" w:hAnsi="Times New Roman"/>
          <w:sz w:val="28"/>
          <w:szCs w:val="28"/>
        </w:rPr>
        <w:t>можливість</w:t>
      </w:r>
      <w:proofErr w:type="spellEnd"/>
      <w:r w:rsidRPr="00E872DB">
        <w:rPr>
          <w:rFonts w:ascii="Times New Roman" w:hAnsi="Times New Roman"/>
          <w:sz w:val="28"/>
          <w:szCs w:val="28"/>
        </w:rPr>
        <w:t xml:space="preserve"> </w:t>
      </w:r>
      <w:proofErr w:type="spellStart"/>
      <w:r>
        <w:rPr>
          <w:rFonts w:ascii="Times New Roman" w:hAnsi="Times New Roman"/>
          <w:sz w:val="28"/>
          <w:szCs w:val="28"/>
        </w:rPr>
        <w:t>охарактеризувати</w:t>
      </w:r>
      <w:proofErr w:type="spellEnd"/>
      <w:r>
        <w:rPr>
          <w:rFonts w:ascii="Times New Roman" w:hAnsi="Times New Roman"/>
          <w:sz w:val="28"/>
          <w:szCs w:val="28"/>
        </w:rPr>
        <w:t xml:space="preserve"> </w:t>
      </w:r>
      <w:proofErr w:type="spellStart"/>
      <w:r w:rsidRPr="00E872DB">
        <w:rPr>
          <w:rFonts w:ascii="Times New Roman" w:hAnsi="Times New Roman"/>
          <w:sz w:val="28"/>
          <w:szCs w:val="28"/>
        </w:rPr>
        <w:t>масштаби</w:t>
      </w:r>
      <w:proofErr w:type="spellEnd"/>
      <w:r w:rsidRPr="00E872DB">
        <w:rPr>
          <w:rFonts w:ascii="Times New Roman" w:hAnsi="Times New Roman"/>
          <w:sz w:val="28"/>
          <w:szCs w:val="28"/>
        </w:rPr>
        <w:t xml:space="preserve"> </w:t>
      </w:r>
      <w:proofErr w:type="spellStart"/>
      <w:r w:rsidRPr="00E872DB">
        <w:rPr>
          <w:rFonts w:ascii="Times New Roman" w:hAnsi="Times New Roman"/>
          <w:sz w:val="28"/>
          <w:szCs w:val="28"/>
        </w:rPr>
        <w:t>й</w:t>
      </w:r>
      <w:r>
        <w:rPr>
          <w:rFonts w:ascii="Times New Roman" w:hAnsi="Times New Roman"/>
          <w:sz w:val="28"/>
          <w:szCs w:val="28"/>
        </w:rPr>
        <w:t>ого</w:t>
      </w:r>
      <w:proofErr w:type="spellEnd"/>
      <w:r>
        <w:rPr>
          <w:rFonts w:ascii="Times New Roman" w:hAnsi="Times New Roman"/>
          <w:sz w:val="28"/>
          <w:szCs w:val="28"/>
        </w:rPr>
        <w:t xml:space="preserve"> деструктивного </w:t>
      </w:r>
      <w:proofErr w:type="spellStart"/>
      <w:r>
        <w:rPr>
          <w:rFonts w:ascii="Times New Roman" w:hAnsi="Times New Roman"/>
          <w:sz w:val="28"/>
          <w:szCs w:val="28"/>
        </w:rPr>
        <w:t>впливу</w:t>
      </w:r>
      <w:proofErr w:type="spellEnd"/>
      <w:r>
        <w:rPr>
          <w:rFonts w:ascii="Times New Roman" w:hAnsi="Times New Roman"/>
          <w:sz w:val="28"/>
          <w:szCs w:val="28"/>
        </w:rPr>
        <w:t xml:space="preserve"> та </w:t>
      </w:r>
      <w:proofErr w:type="spellStart"/>
      <w:r>
        <w:rPr>
          <w:rFonts w:ascii="Times New Roman" w:hAnsi="Times New Roman"/>
          <w:sz w:val="28"/>
          <w:szCs w:val="28"/>
        </w:rPr>
        <w:t>дає</w:t>
      </w:r>
      <w:proofErr w:type="spellEnd"/>
      <w:r w:rsidRPr="00E872DB">
        <w:rPr>
          <w:rFonts w:ascii="Times New Roman" w:hAnsi="Times New Roman"/>
          <w:sz w:val="28"/>
          <w:szCs w:val="28"/>
        </w:rPr>
        <w:t xml:space="preserve"> </w:t>
      </w:r>
      <w:proofErr w:type="spellStart"/>
      <w:proofErr w:type="gramStart"/>
      <w:r w:rsidRPr="00E872DB">
        <w:rPr>
          <w:rFonts w:ascii="Times New Roman" w:hAnsi="Times New Roman"/>
          <w:sz w:val="28"/>
          <w:szCs w:val="28"/>
        </w:rPr>
        <w:t>п</w:t>
      </w:r>
      <w:proofErr w:type="gramEnd"/>
      <w:r w:rsidRPr="00E872DB">
        <w:rPr>
          <w:rFonts w:ascii="Times New Roman" w:hAnsi="Times New Roman"/>
          <w:sz w:val="28"/>
          <w:szCs w:val="28"/>
        </w:rPr>
        <w:t>ідстави</w:t>
      </w:r>
      <w:proofErr w:type="spellEnd"/>
      <w:r w:rsidRPr="00E872DB">
        <w:rPr>
          <w:rFonts w:ascii="Times New Roman" w:hAnsi="Times New Roman"/>
          <w:sz w:val="28"/>
          <w:szCs w:val="28"/>
        </w:rPr>
        <w:t xml:space="preserve"> для </w:t>
      </w:r>
      <w:proofErr w:type="spellStart"/>
      <w:r w:rsidRPr="00E872DB">
        <w:rPr>
          <w:rFonts w:ascii="Times New Roman" w:hAnsi="Times New Roman"/>
          <w:sz w:val="28"/>
          <w:szCs w:val="28"/>
        </w:rPr>
        <w:t>оцінки</w:t>
      </w:r>
      <w:proofErr w:type="spellEnd"/>
      <w:r w:rsidRPr="00E872DB">
        <w:rPr>
          <w:rFonts w:ascii="Times New Roman" w:hAnsi="Times New Roman"/>
          <w:sz w:val="28"/>
          <w:szCs w:val="28"/>
        </w:rPr>
        <w:t xml:space="preserve"> </w:t>
      </w:r>
      <w:proofErr w:type="spellStart"/>
      <w:r w:rsidRPr="00E872DB">
        <w:rPr>
          <w:rFonts w:ascii="Times New Roman" w:hAnsi="Times New Roman"/>
          <w:sz w:val="28"/>
          <w:szCs w:val="28"/>
        </w:rPr>
        <w:t>ефективності</w:t>
      </w:r>
      <w:proofErr w:type="spellEnd"/>
      <w:r w:rsidRPr="00E872DB">
        <w:rPr>
          <w:rFonts w:ascii="Times New Roman" w:hAnsi="Times New Roman"/>
          <w:sz w:val="28"/>
          <w:szCs w:val="28"/>
        </w:rPr>
        <w:t xml:space="preserve"> </w:t>
      </w:r>
      <w:proofErr w:type="spellStart"/>
      <w:r w:rsidRPr="00E872DB">
        <w:rPr>
          <w:rFonts w:ascii="Times New Roman" w:hAnsi="Times New Roman"/>
          <w:sz w:val="28"/>
          <w:szCs w:val="28"/>
        </w:rPr>
        <w:t>реальних</w:t>
      </w:r>
      <w:proofErr w:type="spellEnd"/>
      <w:r w:rsidRPr="00E872DB">
        <w:rPr>
          <w:rFonts w:ascii="Times New Roman" w:hAnsi="Times New Roman"/>
          <w:sz w:val="28"/>
          <w:szCs w:val="28"/>
        </w:rPr>
        <w:t xml:space="preserve"> </w:t>
      </w:r>
      <w:proofErr w:type="spellStart"/>
      <w:r w:rsidRPr="00E872DB">
        <w:rPr>
          <w:rFonts w:ascii="Times New Roman" w:hAnsi="Times New Roman"/>
          <w:sz w:val="28"/>
          <w:szCs w:val="28"/>
        </w:rPr>
        <w:t>заходів</w:t>
      </w:r>
      <w:proofErr w:type="spellEnd"/>
      <w:r w:rsidRPr="00E872DB">
        <w:rPr>
          <w:rFonts w:ascii="Times New Roman" w:hAnsi="Times New Roman"/>
          <w:sz w:val="28"/>
          <w:szCs w:val="28"/>
        </w:rPr>
        <w:t xml:space="preserve"> </w:t>
      </w:r>
      <w:proofErr w:type="spellStart"/>
      <w:r w:rsidRPr="00E872DB">
        <w:rPr>
          <w:rFonts w:ascii="Times New Roman" w:hAnsi="Times New Roman"/>
          <w:sz w:val="28"/>
          <w:szCs w:val="28"/>
        </w:rPr>
        <w:t>з</w:t>
      </w:r>
      <w:proofErr w:type="spellEnd"/>
      <w:r w:rsidRPr="00E872DB">
        <w:rPr>
          <w:rFonts w:ascii="Times New Roman" w:hAnsi="Times New Roman"/>
          <w:sz w:val="28"/>
          <w:szCs w:val="28"/>
        </w:rPr>
        <w:t xml:space="preserve"> </w:t>
      </w:r>
      <w:proofErr w:type="spellStart"/>
      <w:r w:rsidRPr="00E872DB">
        <w:rPr>
          <w:rFonts w:ascii="Times New Roman" w:hAnsi="Times New Roman"/>
          <w:sz w:val="28"/>
          <w:szCs w:val="28"/>
        </w:rPr>
        <w:t>його</w:t>
      </w:r>
      <w:proofErr w:type="spellEnd"/>
      <w:r w:rsidRPr="00E872DB">
        <w:rPr>
          <w:rFonts w:ascii="Times New Roman" w:hAnsi="Times New Roman"/>
          <w:sz w:val="28"/>
          <w:szCs w:val="28"/>
        </w:rPr>
        <w:t xml:space="preserve"> </w:t>
      </w:r>
      <w:proofErr w:type="spellStart"/>
      <w:r w:rsidRPr="00E872DB">
        <w:rPr>
          <w:rFonts w:ascii="Times New Roman" w:hAnsi="Times New Roman"/>
          <w:sz w:val="28"/>
          <w:szCs w:val="28"/>
        </w:rPr>
        <w:t>мінімізації</w:t>
      </w:r>
      <w:proofErr w:type="spellEnd"/>
      <w:r w:rsidRPr="00E872DB">
        <w:rPr>
          <w:rFonts w:ascii="Times New Roman" w:hAnsi="Times New Roman"/>
          <w:sz w:val="28"/>
          <w:szCs w:val="28"/>
        </w:rPr>
        <w:t>.</w:t>
      </w:r>
    </w:p>
    <w:p w:rsidR="00BF0FD8" w:rsidRPr="00E872DB" w:rsidRDefault="00BF0FD8" w:rsidP="00BF0FD8">
      <w:pPr>
        <w:spacing w:after="0" w:line="360" w:lineRule="auto"/>
        <w:ind w:left="-284"/>
        <w:rPr>
          <w:rFonts w:ascii="Times New Roman" w:hAnsi="Times New Roman"/>
        </w:rPr>
      </w:pPr>
      <w:r>
        <w:rPr>
          <w:rFonts w:ascii="Times New Roman" w:hAnsi="Times New Roman"/>
          <w:noProof/>
          <w:lang w:val="uk-UA" w:eastAsia="uk-UA"/>
        </w:rPr>
        <w:lastRenderedPageBreak/>
        <w:drawing>
          <wp:inline distT="0" distB="0" distL="0" distR="0">
            <wp:extent cx="6276975" cy="2171700"/>
            <wp:effectExtent l="19050" t="0" r="9525" b="0"/>
            <wp:docPr id="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F0FD8" w:rsidRPr="00E872DB" w:rsidRDefault="00BF0FD8" w:rsidP="00BF0FD8">
      <w:pPr>
        <w:spacing w:after="0" w:line="360" w:lineRule="auto"/>
        <w:ind w:left="-284" w:firstLine="710"/>
        <w:rPr>
          <w:rFonts w:ascii="Times New Roman" w:hAnsi="Times New Roman"/>
          <w:sz w:val="28"/>
          <w:szCs w:val="28"/>
        </w:rPr>
      </w:pPr>
      <w:r>
        <w:rPr>
          <w:rFonts w:ascii="Times New Roman" w:hAnsi="Times New Roman"/>
          <w:sz w:val="28"/>
          <w:szCs w:val="28"/>
        </w:rPr>
        <w:t xml:space="preserve">Рис. </w:t>
      </w:r>
      <w:r>
        <w:rPr>
          <w:rFonts w:ascii="Times New Roman" w:hAnsi="Times New Roman"/>
          <w:sz w:val="28"/>
          <w:szCs w:val="28"/>
          <w:lang w:val="uk-UA"/>
        </w:rPr>
        <w:t>1</w:t>
      </w:r>
      <w:r w:rsidRPr="00E872DB">
        <w:rPr>
          <w:rFonts w:ascii="Times New Roman" w:hAnsi="Times New Roman"/>
          <w:sz w:val="28"/>
          <w:szCs w:val="28"/>
        </w:rPr>
        <w:t xml:space="preserve">. </w:t>
      </w:r>
      <w:proofErr w:type="spellStart"/>
      <w:r w:rsidRPr="00E872DB">
        <w:rPr>
          <w:rFonts w:ascii="Times New Roman" w:hAnsi="Times New Roman"/>
          <w:sz w:val="28"/>
          <w:szCs w:val="28"/>
        </w:rPr>
        <w:t>Динаміка</w:t>
      </w:r>
      <w:proofErr w:type="spellEnd"/>
      <w:r w:rsidRPr="00E872DB">
        <w:rPr>
          <w:rFonts w:ascii="Times New Roman" w:hAnsi="Times New Roman"/>
          <w:sz w:val="28"/>
          <w:szCs w:val="28"/>
        </w:rPr>
        <w:t xml:space="preserve"> </w:t>
      </w:r>
      <w:proofErr w:type="spellStart"/>
      <w:r w:rsidRPr="00E872DB">
        <w:rPr>
          <w:rFonts w:ascii="Times New Roman" w:hAnsi="Times New Roman"/>
          <w:sz w:val="28"/>
          <w:szCs w:val="28"/>
        </w:rPr>
        <w:t>п</w:t>
      </w:r>
      <w:r>
        <w:rPr>
          <w:rFonts w:ascii="Times New Roman" w:hAnsi="Times New Roman"/>
          <w:sz w:val="28"/>
          <w:szCs w:val="28"/>
        </w:rPr>
        <w:t>одаткового</w:t>
      </w:r>
      <w:proofErr w:type="spellEnd"/>
      <w:r>
        <w:rPr>
          <w:rFonts w:ascii="Times New Roman" w:hAnsi="Times New Roman"/>
          <w:sz w:val="28"/>
          <w:szCs w:val="28"/>
        </w:rPr>
        <w:t xml:space="preserve"> боргу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r w:rsidRPr="00E872DB">
        <w:rPr>
          <w:rFonts w:ascii="Times New Roman" w:hAnsi="Times New Roman"/>
          <w:sz w:val="28"/>
          <w:szCs w:val="28"/>
        </w:rPr>
        <w:t>2004-</w:t>
      </w:r>
      <w:r w:rsidRPr="00B03A66">
        <w:rPr>
          <w:rFonts w:ascii="Times New Roman" w:hAnsi="Times New Roman"/>
          <w:sz w:val="28"/>
          <w:szCs w:val="28"/>
        </w:rPr>
        <w:t>2015</w:t>
      </w:r>
      <w:r w:rsidRPr="00E872DB">
        <w:rPr>
          <w:rFonts w:ascii="Times New Roman" w:hAnsi="Times New Roman"/>
          <w:sz w:val="28"/>
          <w:szCs w:val="28"/>
        </w:rPr>
        <w:t xml:space="preserve"> </w:t>
      </w:r>
      <w:proofErr w:type="spellStart"/>
      <w:r w:rsidRPr="00E872DB">
        <w:rPr>
          <w:rFonts w:ascii="Times New Roman" w:hAnsi="Times New Roman"/>
          <w:sz w:val="28"/>
          <w:szCs w:val="28"/>
        </w:rPr>
        <w:t>рр</w:t>
      </w:r>
      <w:proofErr w:type="spellEnd"/>
      <w:r w:rsidRPr="00E872DB">
        <w:rPr>
          <w:rFonts w:ascii="Times New Roman" w:hAnsi="Times New Roman"/>
          <w:sz w:val="28"/>
          <w:szCs w:val="28"/>
        </w:rPr>
        <w:t xml:space="preserve">. </w:t>
      </w:r>
    </w:p>
    <w:p w:rsidR="00BF0FD8" w:rsidRDefault="00BF0FD8" w:rsidP="00BF0FD8">
      <w:pPr>
        <w:spacing w:after="0" w:line="360" w:lineRule="auto"/>
        <w:ind w:left="-284" w:firstLine="710"/>
        <w:rPr>
          <w:rFonts w:ascii="Times New Roman" w:hAnsi="Times New Roman"/>
          <w:sz w:val="28"/>
          <w:szCs w:val="28"/>
        </w:rPr>
      </w:pPr>
      <w:proofErr w:type="spellStart"/>
      <w:r w:rsidRPr="00E872DB">
        <w:rPr>
          <w:rFonts w:ascii="Times New Roman" w:hAnsi="Times New Roman"/>
          <w:sz w:val="28"/>
          <w:szCs w:val="28"/>
        </w:rPr>
        <w:t>Джерело</w:t>
      </w:r>
      <w:proofErr w:type="spellEnd"/>
      <w:r w:rsidRPr="00E872DB">
        <w:rPr>
          <w:rFonts w:ascii="Times New Roman" w:hAnsi="Times New Roman"/>
          <w:sz w:val="28"/>
          <w:szCs w:val="28"/>
        </w:rPr>
        <w:t xml:space="preserve">: </w:t>
      </w:r>
      <w:proofErr w:type="spellStart"/>
      <w:r w:rsidRPr="00E872DB">
        <w:rPr>
          <w:rFonts w:ascii="Times New Roman" w:hAnsi="Times New Roman"/>
          <w:sz w:val="28"/>
          <w:szCs w:val="28"/>
        </w:rPr>
        <w:t>складено</w:t>
      </w:r>
      <w:proofErr w:type="spellEnd"/>
      <w:r w:rsidRPr="00E872DB">
        <w:rPr>
          <w:rFonts w:ascii="Times New Roman" w:hAnsi="Times New Roman"/>
          <w:sz w:val="28"/>
          <w:szCs w:val="28"/>
        </w:rPr>
        <w:t xml:space="preserve"> автором за:</w:t>
      </w:r>
      <w:r w:rsidRPr="00E872DB">
        <w:rPr>
          <w:rFonts w:ascii="Times New Roman" w:hAnsi="Times New Roman"/>
          <w:sz w:val="16"/>
          <w:szCs w:val="16"/>
        </w:rPr>
        <w:t xml:space="preserve"> </w:t>
      </w:r>
      <w:r w:rsidRPr="00031071">
        <w:rPr>
          <w:rFonts w:ascii="Times New Roman" w:hAnsi="Times New Roman"/>
          <w:sz w:val="28"/>
          <w:szCs w:val="28"/>
        </w:rPr>
        <w:t>[</w:t>
      </w:r>
      <w:r w:rsidR="006410D2">
        <w:rPr>
          <w:rFonts w:ascii="Times New Roman" w:hAnsi="Times New Roman"/>
          <w:sz w:val="28"/>
          <w:szCs w:val="28"/>
          <w:lang w:val="uk-UA"/>
        </w:rPr>
        <w:fldChar w:fldCharType="begin"/>
      </w:r>
      <w:r w:rsidR="006410D2">
        <w:rPr>
          <w:rFonts w:ascii="Times New Roman" w:hAnsi="Times New Roman"/>
          <w:sz w:val="28"/>
          <w:szCs w:val="28"/>
        </w:rPr>
        <w:instrText xml:space="preserve"> REF _Ref449059581 \r \h </w:instrText>
      </w:r>
      <w:r w:rsidR="006410D2">
        <w:rPr>
          <w:rFonts w:ascii="Times New Roman" w:hAnsi="Times New Roman"/>
          <w:sz w:val="28"/>
          <w:szCs w:val="28"/>
          <w:lang w:val="uk-UA"/>
        </w:rPr>
      </w:r>
      <w:r w:rsidR="006410D2">
        <w:rPr>
          <w:rFonts w:ascii="Times New Roman" w:hAnsi="Times New Roman"/>
          <w:sz w:val="28"/>
          <w:szCs w:val="28"/>
          <w:lang w:val="uk-UA"/>
        </w:rPr>
        <w:fldChar w:fldCharType="separate"/>
      </w:r>
      <w:r w:rsidR="006B1E97">
        <w:rPr>
          <w:rFonts w:ascii="Times New Roman" w:hAnsi="Times New Roman"/>
          <w:sz w:val="28"/>
          <w:szCs w:val="28"/>
        </w:rPr>
        <w:t>1</w:t>
      </w:r>
      <w:r w:rsidR="006410D2">
        <w:rPr>
          <w:rFonts w:ascii="Times New Roman" w:hAnsi="Times New Roman"/>
          <w:sz w:val="28"/>
          <w:szCs w:val="28"/>
          <w:lang w:val="uk-UA"/>
        </w:rPr>
        <w:fldChar w:fldCharType="end"/>
      </w:r>
      <w:r w:rsidR="00CD7B82">
        <w:rPr>
          <w:rFonts w:ascii="Times New Roman" w:hAnsi="Times New Roman"/>
          <w:sz w:val="28"/>
          <w:szCs w:val="28"/>
          <w:lang w:val="uk-UA"/>
        </w:rPr>
        <w:t xml:space="preserve">; </w:t>
      </w:r>
      <w:r w:rsidR="006410D2">
        <w:rPr>
          <w:rFonts w:ascii="Times New Roman" w:hAnsi="Times New Roman"/>
          <w:sz w:val="28"/>
          <w:szCs w:val="28"/>
          <w:lang w:val="uk-UA"/>
        </w:rPr>
        <w:fldChar w:fldCharType="begin"/>
      </w:r>
      <w:r w:rsidR="006410D2">
        <w:rPr>
          <w:rFonts w:ascii="Times New Roman" w:hAnsi="Times New Roman"/>
          <w:sz w:val="28"/>
          <w:szCs w:val="28"/>
          <w:lang w:val="uk-UA"/>
        </w:rPr>
        <w:instrText xml:space="preserve"> REF _Ref449059588 \r \h </w:instrText>
      </w:r>
      <w:r w:rsidR="006410D2">
        <w:rPr>
          <w:rFonts w:ascii="Times New Roman" w:hAnsi="Times New Roman"/>
          <w:sz w:val="28"/>
          <w:szCs w:val="28"/>
          <w:lang w:val="uk-UA"/>
        </w:rPr>
      </w:r>
      <w:r w:rsidR="006410D2">
        <w:rPr>
          <w:rFonts w:ascii="Times New Roman" w:hAnsi="Times New Roman"/>
          <w:sz w:val="28"/>
          <w:szCs w:val="28"/>
          <w:lang w:val="uk-UA"/>
        </w:rPr>
        <w:fldChar w:fldCharType="separate"/>
      </w:r>
      <w:r w:rsidR="006B1E97">
        <w:rPr>
          <w:rFonts w:ascii="Times New Roman" w:hAnsi="Times New Roman"/>
          <w:sz w:val="28"/>
          <w:szCs w:val="28"/>
          <w:lang w:val="uk-UA"/>
        </w:rPr>
        <w:t>4</w:t>
      </w:r>
      <w:r w:rsidR="006410D2">
        <w:rPr>
          <w:rFonts w:ascii="Times New Roman" w:hAnsi="Times New Roman"/>
          <w:sz w:val="28"/>
          <w:szCs w:val="28"/>
          <w:lang w:val="uk-UA"/>
        </w:rPr>
        <w:fldChar w:fldCharType="end"/>
      </w:r>
      <w:r w:rsidRPr="00031071">
        <w:rPr>
          <w:rFonts w:ascii="Times New Roman" w:hAnsi="Times New Roman"/>
          <w:sz w:val="28"/>
          <w:szCs w:val="28"/>
        </w:rPr>
        <w:t>]</w:t>
      </w:r>
    </w:p>
    <w:p w:rsidR="00BF0FD8" w:rsidRPr="00031071" w:rsidRDefault="00BF0FD8" w:rsidP="00BF0FD8">
      <w:pPr>
        <w:spacing w:after="0" w:line="360" w:lineRule="auto"/>
        <w:ind w:left="-284" w:firstLine="710"/>
        <w:rPr>
          <w:rFonts w:ascii="Times New Roman" w:hAnsi="Times New Roman"/>
          <w:sz w:val="28"/>
          <w:szCs w:val="28"/>
        </w:rPr>
      </w:pPr>
    </w:p>
    <w:p w:rsidR="00BF0FD8" w:rsidRDefault="00BF0FD8" w:rsidP="00DE414E">
      <w:pPr>
        <w:pStyle w:val="NormalWeb"/>
        <w:tabs>
          <w:tab w:val="left" w:pos="993"/>
        </w:tabs>
        <w:spacing w:before="0" w:beforeAutospacing="0" w:after="0" w:afterAutospacing="0" w:line="360" w:lineRule="auto"/>
        <w:ind w:left="-567" w:firstLine="709"/>
        <w:jc w:val="both"/>
        <w:rPr>
          <w:sz w:val="28"/>
          <w:szCs w:val="28"/>
          <w:lang w:val="uk-UA"/>
        </w:rPr>
      </w:pPr>
      <w:r>
        <w:rPr>
          <w:sz w:val="28"/>
          <w:szCs w:val="28"/>
          <w:lang w:val="uk-UA"/>
        </w:rPr>
        <w:t xml:space="preserve">Рис. 1 демонструє, що в Україні протягом досліджуваного періоду </w:t>
      </w:r>
      <w:r w:rsidR="00A530FC">
        <w:rPr>
          <w:sz w:val="28"/>
          <w:szCs w:val="28"/>
          <w:lang w:val="uk-UA"/>
        </w:rPr>
        <w:t>утримувався</w:t>
      </w:r>
      <w:r w:rsidRPr="00E872DB">
        <w:rPr>
          <w:sz w:val="28"/>
          <w:szCs w:val="28"/>
          <w:lang w:val="uk-UA"/>
        </w:rPr>
        <w:t xml:space="preserve"> значний рівень податкового боргу за податковими </w:t>
      </w:r>
      <w:proofErr w:type="spellStart"/>
      <w:r w:rsidRPr="00E872DB">
        <w:rPr>
          <w:sz w:val="28"/>
          <w:szCs w:val="28"/>
          <w:lang w:val="uk-UA"/>
        </w:rPr>
        <w:t>зобовʼязаннями</w:t>
      </w:r>
      <w:proofErr w:type="spellEnd"/>
      <w:r w:rsidRPr="00E872DB">
        <w:rPr>
          <w:sz w:val="28"/>
          <w:szCs w:val="28"/>
          <w:lang w:val="uk-UA"/>
        </w:rPr>
        <w:t>. Незважаючи на суттєве зниженн</w:t>
      </w:r>
      <w:r>
        <w:rPr>
          <w:sz w:val="28"/>
          <w:szCs w:val="28"/>
          <w:lang w:val="uk-UA"/>
        </w:rPr>
        <w:t>я впродовж</w:t>
      </w:r>
      <w:r w:rsidRPr="00E872DB">
        <w:rPr>
          <w:sz w:val="28"/>
          <w:szCs w:val="28"/>
          <w:lang w:val="uk-UA"/>
        </w:rPr>
        <w:t xml:space="preserve"> 2005 – 2007 рр. його обсяги в 2008 – 2013 рр. не лише відновилися, а</w:t>
      </w:r>
      <w:r>
        <w:rPr>
          <w:sz w:val="28"/>
          <w:szCs w:val="28"/>
          <w:lang w:val="uk-UA"/>
        </w:rPr>
        <w:t xml:space="preserve"> в 2015 році</w:t>
      </w:r>
      <w:r w:rsidRPr="00E872DB">
        <w:rPr>
          <w:sz w:val="28"/>
          <w:szCs w:val="28"/>
          <w:lang w:val="uk-UA"/>
        </w:rPr>
        <w:t xml:space="preserve"> багатократно перевищили максимальні показники </w:t>
      </w:r>
      <w:r w:rsidR="00A530FC">
        <w:rPr>
          <w:sz w:val="28"/>
          <w:szCs w:val="28"/>
          <w:lang w:val="uk-UA"/>
        </w:rPr>
        <w:t>минулих періодів. Це відбувалося</w:t>
      </w:r>
      <w:r w:rsidRPr="00E872DB">
        <w:rPr>
          <w:sz w:val="28"/>
          <w:szCs w:val="28"/>
          <w:lang w:val="uk-UA"/>
        </w:rPr>
        <w:t xml:space="preserve"> в значній мірі через великі суми новоствореного податкового боргу: за оцінкою Рахункової палати</w:t>
      </w:r>
      <w:r>
        <w:rPr>
          <w:sz w:val="28"/>
          <w:szCs w:val="28"/>
          <w:lang w:val="uk-UA"/>
        </w:rPr>
        <w:t xml:space="preserve"> України</w:t>
      </w:r>
      <w:r w:rsidRPr="00E872DB">
        <w:rPr>
          <w:sz w:val="28"/>
          <w:szCs w:val="28"/>
          <w:lang w:val="uk-UA"/>
        </w:rPr>
        <w:t>, на кожну гривню сплаченого до бюджету грошовими коштами податкового боргу в 2012 році відбувся приріст новоутвореного податкового бор</w:t>
      </w:r>
      <w:r>
        <w:rPr>
          <w:sz w:val="28"/>
          <w:szCs w:val="28"/>
          <w:lang w:val="uk-UA"/>
        </w:rPr>
        <w:t>гу в розмірі 1,21 грн., а в 2014</w:t>
      </w:r>
      <w:r w:rsidRPr="00E872DB">
        <w:rPr>
          <w:sz w:val="28"/>
          <w:szCs w:val="28"/>
          <w:lang w:val="uk-UA"/>
        </w:rPr>
        <w:t xml:space="preserve"> році  – 3,12 гривні [</w:t>
      </w:r>
      <w:r w:rsidR="006410D2">
        <w:rPr>
          <w:sz w:val="28"/>
          <w:szCs w:val="28"/>
          <w:lang w:val="uk-UA"/>
        </w:rPr>
        <w:fldChar w:fldCharType="begin"/>
      </w:r>
      <w:r w:rsidR="006410D2">
        <w:rPr>
          <w:sz w:val="28"/>
          <w:szCs w:val="28"/>
          <w:lang w:val="uk-UA"/>
        </w:rPr>
        <w:instrText xml:space="preserve"> REF _Ref449059581 \r \h </w:instrText>
      </w:r>
      <w:r w:rsidR="006410D2">
        <w:rPr>
          <w:sz w:val="28"/>
          <w:szCs w:val="28"/>
          <w:lang w:val="uk-UA"/>
        </w:rPr>
      </w:r>
      <w:r w:rsidR="006410D2">
        <w:rPr>
          <w:sz w:val="28"/>
          <w:szCs w:val="28"/>
          <w:lang w:val="uk-UA"/>
        </w:rPr>
        <w:fldChar w:fldCharType="separate"/>
      </w:r>
      <w:r w:rsidR="006B1E97">
        <w:rPr>
          <w:sz w:val="28"/>
          <w:szCs w:val="28"/>
          <w:lang w:val="uk-UA"/>
        </w:rPr>
        <w:t>1</w:t>
      </w:r>
      <w:r w:rsidR="006410D2">
        <w:rPr>
          <w:sz w:val="28"/>
          <w:szCs w:val="28"/>
          <w:lang w:val="uk-UA"/>
        </w:rPr>
        <w:fldChar w:fldCharType="end"/>
      </w:r>
      <w:r w:rsidRPr="00E872DB">
        <w:rPr>
          <w:sz w:val="28"/>
          <w:szCs w:val="28"/>
          <w:lang w:val="uk-UA"/>
        </w:rPr>
        <w:t xml:space="preserve">]. Це </w:t>
      </w:r>
      <w:r w:rsidR="00A530FC">
        <w:rPr>
          <w:sz w:val="28"/>
          <w:szCs w:val="28"/>
          <w:lang w:val="uk-UA"/>
        </w:rPr>
        <w:t>зумовлено</w:t>
      </w:r>
      <w:r w:rsidRPr="00E872DB">
        <w:rPr>
          <w:sz w:val="28"/>
          <w:szCs w:val="28"/>
          <w:lang w:val="uk-UA"/>
        </w:rPr>
        <w:t xml:space="preserve"> як </w:t>
      </w:r>
      <w:r w:rsidR="00A530FC">
        <w:rPr>
          <w:sz w:val="28"/>
          <w:szCs w:val="28"/>
          <w:lang w:val="uk-UA"/>
        </w:rPr>
        <w:t>несплатою</w:t>
      </w:r>
      <w:r w:rsidRPr="00E872DB">
        <w:rPr>
          <w:sz w:val="28"/>
          <w:szCs w:val="28"/>
          <w:lang w:val="uk-UA"/>
        </w:rPr>
        <w:t xml:space="preserve"> підприємствами </w:t>
      </w:r>
      <w:r w:rsidR="00A530FC">
        <w:rPr>
          <w:sz w:val="28"/>
          <w:szCs w:val="28"/>
          <w:lang w:val="uk-UA"/>
        </w:rPr>
        <w:t>поточних платежів, так і через виявлені порушення</w:t>
      </w:r>
      <w:r w:rsidRPr="00E872DB">
        <w:rPr>
          <w:sz w:val="28"/>
          <w:szCs w:val="28"/>
          <w:lang w:val="uk-UA"/>
        </w:rPr>
        <w:t xml:space="preserve"> податкового законодавства, передусім, в результаті </w:t>
      </w:r>
      <w:r w:rsidR="00A530FC">
        <w:rPr>
          <w:sz w:val="28"/>
          <w:szCs w:val="28"/>
          <w:lang w:val="uk-UA"/>
        </w:rPr>
        <w:t xml:space="preserve">боротьби з «податковими ямами» та </w:t>
      </w:r>
      <w:r w:rsidRPr="00E872DB">
        <w:rPr>
          <w:sz w:val="28"/>
          <w:szCs w:val="28"/>
          <w:lang w:val="uk-UA"/>
        </w:rPr>
        <w:t xml:space="preserve">фіктивними фірмами. </w:t>
      </w:r>
    </w:p>
    <w:p w:rsidR="00BF0FD8" w:rsidRPr="00CD6D66" w:rsidRDefault="00BF0FD8" w:rsidP="00DE414E">
      <w:pPr>
        <w:pStyle w:val="ListParagraph"/>
        <w:spacing w:after="0" w:line="360" w:lineRule="auto"/>
        <w:ind w:left="-567" w:firstLine="709"/>
        <w:jc w:val="both"/>
        <w:rPr>
          <w:rFonts w:ascii="Times New Roman" w:hAnsi="Times New Roman"/>
          <w:sz w:val="28"/>
          <w:szCs w:val="28"/>
          <w:lang w:val="uk-UA"/>
        </w:rPr>
      </w:pPr>
      <w:r w:rsidRPr="00CD6D66">
        <w:rPr>
          <w:rFonts w:ascii="Times New Roman" w:hAnsi="Times New Roman"/>
          <w:sz w:val="28"/>
          <w:szCs w:val="28"/>
          <w:lang w:val="uk-UA"/>
        </w:rPr>
        <w:t xml:space="preserve">На динаміку зростання податкового боргу в Україні у 2014-2015 рр. суттєвий вплив здійснила окупація частин Донецької та Луганської областей внаслідок  військової агресії з боку Російської Федерації.  У зв’язку </w:t>
      </w:r>
      <w:r w:rsidR="006A1937">
        <w:rPr>
          <w:rFonts w:ascii="Times New Roman" w:hAnsi="Times New Roman"/>
          <w:sz w:val="28"/>
          <w:szCs w:val="28"/>
          <w:lang w:val="uk-UA"/>
        </w:rPr>
        <w:t>і</w:t>
      </w:r>
      <w:r w:rsidRPr="00CD6D66">
        <w:rPr>
          <w:rFonts w:ascii="Times New Roman" w:hAnsi="Times New Roman"/>
          <w:sz w:val="28"/>
          <w:szCs w:val="28"/>
          <w:lang w:val="uk-UA"/>
        </w:rPr>
        <w:t xml:space="preserve">з негативними подіями на території Донецької області податковий борг платників податків збільшився протягом 2014 р. – на 2,0 млрд. грн. та станом на 01.01.2015 р. склав 2,9 млрд. грн.; протягом І півріччя 2015 р. – </w:t>
      </w:r>
      <w:r>
        <w:rPr>
          <w:rFonts w:ascii="Times New Roman" w:hAnsi="Times New Roman"/>
          <w:sz w:val="28"/>
          <w:szCs w:val="28"/>
          <w:lang w:val="uk-UA"/>
        </w:rPr>
        <w:t xml:space="preserve">на 0,8 млрд. грн. та станом на </w:t>
      </w:r>
      <w:r w:rsidRPr="00CD6D66">
        <w:rPr>
          <w:rFonts w:ascii="Times New Roman" w:hAnsi="Times New Roman"/>
          <w:sz w:val="28"/>
          <w:szCs w:val="28"/>
          <w:lang w:val="uk-UA"/>
        </w:rPr>
        <w:t>01.07.2015 р. склав 3,7 млрд. грн. По інспекціях районів та міст, платники яких знаходяться на тимчасово неконтрольованій</w:t>
      </w:r>
      <w:r>
        <w:rPr>
          <w:rFonts w:ascii="Times New Roman" w:hAnsi="Times New Roman"/>
          <w:sz w:val="28"/>
          <w:szCs w:val="28"/>
          <w:lang w:val="uk-UA"/>
        </w:rPr>
        <w:t xml:space="preserve"> території області, борг склав  </w:t>
      </w:r>
      <w:r w:rsidRPr="00CD6D66">
        <w:rPr>
          <w:rFonts w:ascii="Times New Roman" w:hAnsi="Times New Roman"/>
          <w:sz w:val="28"/>
          <w:szCs w:val="28"/>
          <w:lang w:val="uk-UA"/>
        </w:rPr>
        <w:t xml:space="preserve">2471,7 </w:t>
      </w:r>
      <w:r w:rsidRPr="00CD6D66">
        <w:rPr>
          <w:rFonts w:ascii="Times New Roman" w:hAnsi="Times New Roman"/>
          <w:sz w:val="28"/>
          <w:szCs w:val="28"/>
          <w:lang w:val="uk-UA"/>
        </w:rPr>
        <w:lastRenderedPageBreak/>
        <w:t xml:space="preserve">млн. грн. або 66,1% загальної суми. Зростання обумовлено, перш за все, несплатою підприємствами своїх зобов’язань у зв’язку з призупиненням діяльності внаслідок захвату озброєними формуваннями території підприємств та неможливістю здійснювати свою діяльність в даному регіоні. Так, по інспекціях на підконтрольній Україні території станом на 01.07.2015 р. борг складає 1266,7 млн. грн. Зростання обумовлено відсутністю грошових коштів у підприємств у зв’язку з тяжким фінансовим станом дебіторів та зупиненням розрахунків за продукцію. Збільшення боргу також відбулось внаслідок несплати поточних нарахувань, а також </w:t>
      </w:r>
      <w:r w:rsidR="006A1937">
        <w:rPr>
          <w:rFonts w:ascii="Times New Roman" w:hAnsi="Times New Roman"/>
          <w:sz w:val="28"/>
          <w:szCs w:val="28"/>
          <w:lang w:val="uk-UA"/>
        </w:rPr>
        <w:t>непогашення</w:t>
      </w:r>
      <w:r w:rsidRPr="00CD6D66">
        <w:rPr>
          <w:rFonts w:ascii="Times New Roman" w:hAnsi="Times New Roman"/>
          <w:sz w:val="28"/>
          <w:szCs w:val="28"/>
          <w:lang w:val="uk-UA"/>
        </w:rPr>
        <w:t xml:space="preserve"> розстрочених податкових зобов’язань згідно рішень суду підприємствами вугільної галузі. Зобра</w:t>
      </w:r>
      <w:r w:rsidR="00DE414E">
        <w:rPr>
          <w:rFonts w:ascii="Times New Roman" w:hAnsi="Times New Roman"/>
          <w:sz w:val="28"/>
          <w:szCs w:val="28"/>
          <w:lang w:val="uk-UA"/>
        </w:rPr>
        <w:t>зимо динаміку графічно (рис. </w:t>
      </w:r>
      <w:r>
        <w:rPr>
          <w:rFonts w:ascii="Times New Roman" w:hAnsi="Times New Roman"/>
          <w:sz w:val="28"/>
          <w:szCs w:val="28"/>
          <w:lang w:val="uk-UA"/>
        </w:rPr>
        <w:t>2</w:t>
      </w:r>
      <w:r w:rsidRPr="00CD6D66">
        <w:rPr>
          <w:rFonts w:ascii="Times New Roman" w:hAnsi="Times New Roman"/>
          <w:sz w:val="28"/>
          <w:szCs w:val="28"/>
          <w:lang w:val="uk-UA"/>
        </w:rPr>
        <w:t>):</w:t>
      </w:r>
    </w:p>
    <w:p w:rsidR="00BF0FD8" w:rsidRDefault="00BF0FD8" w:rsidP="00BF0FD8">
      <w:pPr>
        <w:pStyle w:val="ListParagraph"/>
        <w:spacing w:after="0" w:line="360" w:lineRule="auto"/>
        <w:ind w:left="-284"/>
        <w:jc w:val="both"/>
        <w:rPr>
          <w:rFonts w:ascii="Times New Roman" w:hAnsi="Times New Roman"/>
          <w:sz w:val="28"/>
          <w:szCs w:val="28"/>
          <w:highlight w:val="yellow"/>
          <w:lang w:val="uk-UA"/>
        </w:rPr>
      </w:pPr>
      <w:r w:rsidRPr="005C6A6C">
        <w:rPr>
          <w:rFonts w:ascii="Times New Roman" w:hAnsi="Times New Roman"/>
          <w:sz w:val="28"/>
          <w:szCs w:val="28"/>
          <w:highlight w:val="yellow"/>
          <w:lang w:val="uk-UA"/>
        </w:rPr>
        <w:t xml:space="preserve"> </w:t>
      </w:r>
      <w:r w:rsidR="006A1937" w:rsidRPr="006A1937">
        <w:rPr>
          <w:rFonts w:ascii="Times New Roman" w:hAnsi="Times New Roman"/>
          <w:sz w:val="28"/>
          <w:szCs w:val="28"/>
          <w:lang w:val="uk-UA"/>
        </w:rPr>
        <w:drawing>
          <wp:inline distT="0" distB="0" distL="0" distR="0">
            <wp:extent cx="5940425" cy="1909422"/>
            <wp:effectExtent l="19050" t="0" r="22225"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F0FD8" w:rsidRPr="006A1937" w:rsidRDefault="00BF0FD8" w:rsidP="006A1937">
      <w:pPr>
        <w:spacing w:after="0" w:line="360" w:lineRule="auto"/>
        <w:jc w:val="both"/>
        <w:rPr>
          <w:rFonts w:ascii="Times New Roman" w:hAnsi="Times New Roman"/>
          <w:sz w:val="28"/>
          <w:szCs w:val="28"/>
          <w:lang w:val="uk-UA"/>
        </w:rPr>
      </w:pPr>
      <w:r w:rsidRPr="006A1937">
        <w:rPr>
          <w:rFonts w:ascii="Times New Roman" w:hAnsi="Times New Roman"/>
          <w:sz w:val="28"/>
          <w:szCs w:val="28"/>
          <w:lang w:val="uk-UA"/>
        </w:rPr>
        <w:t>Рис. 2. Динаміка податкового боргу в Донецькій області, 2014-2015 рр.</w:t>
      </w:r>
    </w:p>
    <w:p w:rsidR="00BF0FD8" w:rsidRPr="00CD6D66" w:rsidRDefault="00BF0FD8" w:rsidP="00BF0FD8">
      <w:pPr>
        <w:pStyle w:val="ListParagraph"/>
        <w:spacing w:after="0" w:line="360" w:lineRule="auto"/>
        <w:ind w:left="-284" w:firstLine="710"/>
        <w:jc w:val="both"/>
        <w:rPr>
          <w:rFonts w:ascii="Times New Roman" w:hAnsi="Times New Roman"/>
          <w:sz w:val="28"/>
          <w:szCs w:val="28"/>
          <w:lang w:val="uk-UA"/>
        </w:rPr>
      </w:pPr>
      <w:r w:rsidRPr="00CD6D66">
        <w:rPr>
          <w:rFonts w:ascii="Times New Roman" w:hAnsi="Times New Roman"/>
          <w:sz w:val="28"/>
          <w:szCs w:val="28"/>
          <w:lang w:val="uk-UA"/>
        </w:rPr>
        <w:t xml:space="preserve">Джерело: складено за: </w:t>
      </w:r>
      <w:r w:rsidRPr="00CD6D66">
        <w:rPr>
          <w:rFonts w:ascii="Times New Roman" w:hAnsi="Times New Roman"/>
          <w:sz w:val="28"/>
          <w:szCs w:val="28"/>
        </w:rPr>
        <w:t>[</w:t>
      </w:r>
      <w:r w:rsidR="006410D2">
        <w:rPr>
          <w:rFonts w:ascii="Times New Roman" w:hAnsi="Times New Roman"/>
          <w:sz w:val="28"/>
          <w:szCs w:val="28"/>
          <w:lang w:val="uk-UA"/>
        </w:rPr>
        <w:fldChar w:fldCharType="begin"/>
      </w:r>
      <w:r w:rsidR="006410D2">
        <w:rPr>
          <w:rFonts w:ascii="Times New Roman" w:hAnsi="Times New Roman"/>
          <w:sz w:val="28"/>
          <w:szCs w:val="28"/>
        </w:rPr>
        <w:instrText xml:space="preserve"> REF _Ref449059581 \r \h </w:instrText>
      </w:r>
      <w:r w:rsidR="006410D2">
        <w:rPr>
          <w:rFonts w:ascii="Times New Roman" w:hAnsi="Times New Roman"/>
          <w:sz w:val="28"/>
          <w:szCs w:val="28"/>
          <w:lang w:val="uk-UA"/>
        </w:rPr>
      </w:r>
      <w:r w:rsidR="006410D2">
        <w:rPr>
          <w:rFonts w:ascii="Times New Roman" w:hAnsi="Times New Roman"/>
          <w:sz w:val="28"/>
          <w:szCs w:val="28"/>
          <w:lang w:val="uk-UA"/>
        </w:rPr>
        <w:fldChar w:fldCharType="separate"/>
      </w:r>
      <w:r w:rsidR="006B1E97">
        <w:rPr>
          <w:rFonts w:ascii="Times New Roman" w:hAnsi="Times New Roman"/>
          <w:sz w:val="28"/>
          <w:szCs w:val="28"/>
        </w:rPr>
        <w:t>1</w:t>
      </w:r>
      <w:r w:rsidR="006410D2">
        <w:rPr>
          <w:rFonts w:ascii="Times New Roman" w:hAnsi="Times New Roman"/>
          <w:sz w:val="28"/>
          <w:szCs w:val="28"/>
          <w:lang w:val="uk-UA"/>
        </w:rPr>
        <w:fldChar w:fldCharType="end"/>
      </w:r>
      <w:r w:rsidR="00CD7B82">
        <w:rPr>
          <w:rFonts w:ascii="Times New Roman" w:hAnsi="Times New Roman"/>
          <w:sz w:val="28"/>
          <w:szCs w:val="28"/>
          <w:lang w:val="uk-UA"/>
        </w:rPr>
        <w:t xml:space="preserve">; </w:t>
      </w:r>
      <w:r w:rsidR="006410D2">
        <w:rPr>
          <w:rFonts w:ascii="Times New Roman" w:hAnsi="Times New Roman"/>
          <w:sz w:val="28"/>
          <w:szCs w:val="28"/>
          <w:lang w:val="uk-UA"/>
        </w:rPr>
        <w:fldChar w:fldCharType="begin"/>
      </w:r>
      <w:r w:rsidR="006410D2">
        <w:rPr>
          <w:rFonts w:ascii="Times New Roman" w:hAnsi="Times New Roman"/>
          <w:sz w:val="28"/>
          <w:szCs w:val="28"/>
          <w:lang w:val="uk-UA"/>
        </w:rPr>
        <w:instrText xml:space="preserve"> REF _Ref449059588 \r \h </w:instrText>
      </w:r>
      <w:r w:rsidR="006410D2">
        <w:rPr>
          <w:rFonts w:ascii="Times New Roman" w:hAnsi="Times New Roman"/>
          <w:sz w:val="28"/>
          <w:szCs w:val="28"/>
          <w:lang w:val="uk-UA"/>
        </w:rPr>
      </w:r>
      <w:r w:rsidR="006410D2">
        <w:rPr>
          <w:rFonts w:ascii="Times New Roman" w:hAnsi="Times New Roman"/>
          <w:sz w:val="28"/>
          <w:szCs w:val="28"/>
          <w:lang w:val="uk-UA"/>
        </w:rPr>
        <w:fldChar w:fldCharType="separate"/>
      </w:r>
      <w:r w:rsidR="006B1E97">
        <w:rPr>
          <w:rFonts w:ascii="Times New Roman" w:hAnsi="Times New Roman"/>
          <w:sz w:val="28"/>
          <w:szCs w:val="28"/>
          <w:lang w:val="uk-UA"/>
        </w:rPr>
        <w:t>4</w:t>
      </w:r>
      <w:r w:rsidR="006410D2">
        <w:rPr>
          <w:rFonts w:ascii="Times New Roman" w:hAnsi="Times New Roman"/>
          <w:sz w:val="28"/>
          <w:szCs w:val="28"/>
          <w:lang w:val="uk-UA"/>
        </w:rPr>
        <w:fldChar w:fldCharType="end"/>
      </w:r>
      <w:r w:rsidRPr="003C59A0">
        <w:rPr>
          <w:rFonts w:ascii="Times New Roman" w:hAnsi="Times New Roman"/>
          <w:sz w:val="28"/>
          <w:szCs w:val="28"/>
        </w:rPr>
        <w:t>]</w:t>
      </w:r>
    </w:p>
    <w:p w:rsidR="00BF0FD8" w:rsidRPr="00CD6D66" w:rsidRDefault="00BF0FD8" w:rsidP="00BF0FD8">
      <w:pPr>
        <w:pStyle w:val="ListParagraph"/>
        <w:spacing w:after="0" w:line="360" w:lineRule="auto"/>
        <w:ind w:left="-284" w:firstLine="710"/>
        <w:jc w:val="both"/>
        <w:rPr>
          <w:rFonts w:ascii="Times New Roman" w:hAnsi="Times New Roman"/>
          <w:sz w:val="28"/>
          <w:szCs w:val="28"/>
          <w:lang w:val="uk-UA"/>
        </w:rPr>
      </w:pPr>
    </w:p>
    <w:p w:rsidR="00BF0FD8" w:rsidRDefault="006A1937" w:rsidP="00DE414E">
      <w:pPr>
        <w:pStyle w:val="ListParagraph"/>
        <w:spacing w:after="0" w:line="360" w:lineRule="auto"/>
        <w:ind w:left="-567" w:firstLine="710"/>
        <w:jc w:val="both"/>
        <w:rPr>
          <w:rFonts w:ascii="Times New Roman" w:hAnsi="Times New Roman"/>
          <w:sz w:val="28"/>
          <w:szCs w:val="28"/>
          <w:lang w:val="uk-UA"/>
        </w:rPr>
      </w:pPr>
      <w:r>
        <w:rPr>
          <w:rFonts w:ascii="Times New Roman" w:hAnsi="Times New Roman"/>
          <w:sz w:val="28"/>
          <w:szCs w:val="28"/>
          <w:lang w:val="uk-UA"/>
        </w:rPr>
        <w:t>У загальному обсязі</w:t>
      </w:r>
      <w:r w:rsidR="00BF0FD8" w:rsidRPr="00CD6D66">
        <w:rPr>
          <w:rFonts w:ascii="Times New Roman" w:hAnsi="Times New Roman"/>
          <w:sz w:val="28"/>
          <w:szCs w:val="28"/>
          <w:lang w:val="uk-UA"/>
        </w:rPr>
        <w:t xml:space="preserve"> податкового боргу частка реального до стягнення боргу станом на 01.01.15 р. склала майже 55% (45</w:t>
      </w:r>
      <w:r>
        <w:rPr>
          <w:rFonts w:ascii="Times New Roman" w:hAnsi="Times New Roman"/>
          <w:sz w:val="28"/>
          <w:szCs w:val="28"/>
          <w:lang w:val="uk-UA"/>
        </w:rPr>
        <w:t>2,2 млн. грн.) та на 01.07.2015 </w:t>
      </w:r>
      <w:r w:rsidR="00BF0FD8" w:rsidRPr="00CD6D66">
        <w:rPr>
          <w:rFonts w:ascii="Times New Roman" w:hAnsi="Times New Roman"/>
          <w:sz w:val="28"/>
          <w:szCs w:val="28"/>
          <w:lang w:val="uk-UA"/>
        </w:rPr>
        <w:t>р. – майже 53% (671,4 млн. грн.). Погашення ускладнилось низкою причин, однією з яких є відсутність активів для його забезпечення.</w:t>
      </w:r>
      <w:r w:rsidR="00BF0FD8" w:rsidRPr="00BE6356">
        <w:rPr>
          <w:rFonts w:ascii="Times New Roman" w:hAnsi="Times New Roman"/>
          <w:sz w:val="28"/>
          <w:szCs w:val="28"/>
          <w:lang w:val="uk-UA"/>
        </w:rPr>
        <w:t xml:space="preserve"> </w:t>
      </w:r>
    </w:p>
    <w:p w:rsidR="00BF0FD8" w:rsidRPr="002E1528" w:rsidRDefault="00BF0FD8" w:rsidP="00DE414E">
      <w:pPr>
        <w:pStyle w:val="ListParagraph"/>
        <w:spacing w:after="0" w:line="360" w:lineRule="auto"/>
        <w:ind w:left="-567" w:firstLine="710"/>
        <w:jc w:val="both"/>
        <w:rPr>
          <w:rFonts w:ascii="Times New Roman" w:hAnsi="Times New Roman"/>
          <w:sz w:val="28"/>
          <w:szCs w:val="28"/>
          <w:lang w:val="uk-UA"/>
        </w:rPr>
      </w:pPr>
      <w:r w:rsidRPr="002E1528">
        <w:rPr>
          <w:rFonts w:ascii="Times New Roman" w:hAnsi="Times New Roman"/>
          <w:sz w:val="28"/>
          <w:szCs w:val="28"/>
          <w:lang w:val="uk-UA"/>
        </w:rPr>
        <w:t>Питома вага податкового боргу у ВВП України є</w:t>
      </w:r>
      <w:r>
        <w:rPr>
          <w:rFonts w:ascii="Times New Roman" w:hAnsi="Times New Roman"/>
          <w:sz w:val="28"/>
          <w:szCs w:val="28"/>
          <w:lang w:val="uk-UA"/>
        </w:rPr>
        <w:t xml:space="preserve"> чи не</w:t>
      </w:r>
      <w:r w:rsidRPr="002E1528">
        <w:rPr>
          <w:rFonts w:ascii="Times New Roman" w:hAnsi="Times New Roman"/>
          <w:sz w:val="28"/>
          <w:szCs w:val="28"/>
          <w:lang w:val="uk-UA"/>
        </w:rPr>
        <w:t xml:space="preserve"> єдиним показником, що розглядається вченими у контексті впливу явища на фінансову безпеку. Динаміка по</w:t>
      </w:r>
      <w:r>
        <w:rPr>
          <w:rFonts w:ascii="Times New Roman" w:hAnsi="Times New Roman"/>
          <w:sz w:val="28"/>
          <w:szCs w:val="28"/>
          <w:lang w:val="uk-UA"/>
        </w:rPr>
        <w:t>казника представлена на рис. 3</w:t>
      </w:r>
      <w:r w:rsidRPr="002E1528">
        <w:rPr>
          <w:rFonts w:ascii="Times New Roman" w:hAnsi="Times New Roman"/>
          <w:sz w:val="28"/>
          <w:szCs w:val="28"/>
          <w:lang w:val="uk-UA"/>
        </w:rPr>
        <w:t>:</w:t>
      </w:r>
    </w:p>
    <w:p w:rsidR="00BF0FD8" w:rsidRPr="00E872DB" w:rsidRDefault="00BF0FD8" w:rsidP="00BF0FD8">
      <w:pPr>
        <w:pStyle w:val="NormalWeb"/>
        <w:tabs>
          <w:tab w:val="left" w:pos="993"/>
        </w:tabs>
        <w:spacing w:before="0" w:beforeAutospacing="0" w:after="0" w:afterAutospacing="0" w:line="360" w:lineRule="auto"/>
        <w:ind w:left="-284"/>
        <w:jc w:val="both"/>
        <w:rPr>
          <w:sz w:val="28"/>
          <w:szCs w:val="28"/>
          <w:lang w:val="uk-UA"/>
        </w:rPr>
      </w:pPr>
      <w:r>
        <w:rPr>
          <w:noProof/>
          <w:lang w:val="uk-UA" w:eastAsia="uk-UA"/>
        </w:rPr>
        <w:lastRenderedPageBreak/>
        <w:drawing>
          <wp:inline distT="0" distB="0" distL="0" distR="0">
            <wp:extent cx="6248400" cy="2428875"/>
            <wp:effectExtent l="19050" t="0" r="19050" b="0"/>
            <wp:docPr id="1"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F0FD8" w:rsidRPr="00E872DB" w:rsidRDefault="00BF0FD8" w:rsidP="00DE414E">
      <w:pPr>
        <w:widowControl w:val="0"/>
        <w:spacing w:after="0" w:line="360" w:lineRule="auto"/>
        <w:ind w:left="-567" w:right="-283" w:firstLine="709"/>
        <w:jc w:val="both"/>
        <w:rPr>
          <w:rFonts w:ascii="Times New Roman" w:hAnsi="Times New Roman"/>
          <w:bCs/>
          <w:sz w:val="28"/>
          <w:szCs w:val="28"/>
        </w:rPr>
      </w:pPr>
      <w:r w:rsidRPr="00E872DB">
        <w:rPr>
          <w:rFonts w:ascii="Times New Roman" w:hAnsi="Times New Roman"/>
          <w:sz w:val="24"/>
          <w:szCs w:val="24"/>
        </w:rPr>
        <w:t xml:space="preserve"> </w:t>
      </w:r>
      <w:r>
        <w:rPr>
          <w:rFonts w:ascii="Times New Roman" w:hAnsi="Times New Roman"/>
          <w:bCs/>
          <w:sz w:val="28"/>
          <w:szCs w:val="28"/>
        </w:rPr>
        <w:t xml:space="preserve">Рис. </w:t>
      </w:r>
      <w:r>
        <w:rPr>
          <w:rFonts w:ascii="Times New Roman" w:hAnsi="Times New Roman"/>
          <w:bCs/>
          <w:sz w:val="28"/>
          <w:szCs w:val="28"/>
          <w:lang w:val="uk-UA"/>
        </w:rPr>
        <w:t>3</w:t>
      </w:r>
      <w:r w:rsidRPr="00E872DB">
        <w:rPr>
          <w:rFonts w:ascii="Times New Roman" w:hAnsi="Times New Roman"/>
          <w:bCs/>
          <w:sz w:val="28"/>
          <w:szCs w:val="28"/>
        </w:rPr>
        <w:t xml:space="preserve">. </w:t>
      </w:r>
      <w:proofErr w:type="spellStart"/>
      <w:r w:rsidRPr="00E872DB">
        <w:rPr>
          <w:rFonts w:ascii="Times New Roman" w:hAnsi="Times New Roman"/>
          <w:bCs/>
          <w:sz w:val="28"/>
          <w:szCs w:val="28"/>
        </w:rPr>
        <w:t>Динаміка</w:t>
      </w:r>
      <w:proofErr w:type="spellEnd"/>
      <w:r w:rsidRPr="00E872DB">
        <w:rPr>
          <w:rFonts w:ascii="Times New Roman" w:hAnsi="Times New Roman"/>
          <w:bCs/>
          <w:sz w:val="28"/>
          <w:szCs w:val="28"/>
        </w:rPr>
        <w:t xml:space="preserve"> </w:t>
      </w:r>
      <w:proofErr w:type="spellStart"/>
      <w:r>
        <w:rPr>
          <w:rFonts w:ascii="Times New Roman" w:hAnsi="Times New Roman"/>
          <w:bCs/>
          <w:sz w:val="28"/>
          <w:szCs w:val="28"/>
        </w:rPr>
        <w:t>частки</w:t>
      </w:r>
      <w:proofErr w:type="spellEnd"/>
      <w:r w:rsidRPr="00E872DB">
        <w:rPr>
          <w:rFonts w:ascii="Times New Roman" w:hAnsi="Times New Roman"/>
          <w:bCs/>
          <w:sz w:val="28"/>
          <w:szCs w:val="28"/>
        </w:rPr>
        <w:t xml:space="preserve"> </w:t>
      </w:r>
      <w:proofErr w:type="spellStart"/>
      <w:r w:rsidRPr="00E872DB">
        <w:rPr>
          <w:rFonts w:ascii="Times New Roman" w:hAnsi="Times New Roman"/>
          <w:bCs/>
          <w:sz w:val="28"/>
          <w:szCs w:val="28"/>
        </w:rPr>
        <w:t>податкового</w:t>
      </w:r>
      <w:proofErr w:type="spellEnd"/>
      <w:r w:rsidRPr="00E872DB">
        <w:rPr>
          <w:rFonts w:ascii="Times New Roman" w:hAnsi="Times New Roman"/>
          <w:bCs/>
          <w:sz w:val="28"/>
          <w:szCs w:val="28"/>
        </w:rPr>
        <w:t xml:space="preserve"> боргу у ВВП в </w:t>
      </w:r>
      <w:proofErr w:type="spellStart"/>
      <w:r w:rsidRPr="00E872DB">
        <w:rPr>
          <w:rFonts w:ascii="Times New Roman" w:hAnsi="Times New Roman"/>
          <w:bCs/>
          <w:sz w:val="28"/>
          <w:szCs w:val="28"/>
        </w:rPr>
        <w:t>Укра</w:t>
      </w:r>
      <w:r w:rsidR="006A1937">
        <w:rPr>
          <w:rFonts w:ascii="Times New Roman" w:hAnsi="Times New Roman"/>
          <w:bCs/>
          <w:sz w:val="28"/>
          <w:szCs w:val="28"/>
        </w:rPr>
        <w:t>їні</w:t>
      </w:r>
      <w:proofErr w:type="spellEnd"/>
      <w:r w:rsidR="006A1937">
        <w:rPr>
          <w:rFonts w:ascii="Times New Roman" w:hAnsi="Times New Roman"/>
          <w:bCs/>
          <w:sz w:val="28"/>
          <w:szCs w:val="28"/>
        </w:rPr>
        <w:t>, 2004 - 201</w:t>
      </w:r>
      <w:r w:rsidR="006A1937">
        <w:rPr>
          <w:rFonts w:ascii="Times New Roman" w:hAnsi="Times New Roman"/>
          <w:bCs/>
          <w:sz w:val="28"/>
          <w:szCs w:val="28"/>
          <w:lang w:val="uk-UA"/>
        </w:rPr>
        <w:t>5</w:t>
      </w:r>
      <w:r w:rsidRPr="00E872DB">
        <w:rPr>
          <w:rFonts w:ascii="Times New Roman" w:hAnsi="Times New Roman"/>
          <w:bCs/>
          <w:sz w:val="28"/>
          <w:szCs w:val="28"/>
        </w:rPr>
        <w:t xml:space="preserve"> </w:t>
      </w:r>
      <w:proofErr w:type="spellStart"/>
      <w:r w:rsidRPr="00E872DB">
        <w:rPr>
          <w:rFonts w:ascii="Times New Roman" w:hAnsi="Times New Roman"/>
          <w:bCs/>
          <w:sz w:val="28"/>
          <w:szCs w:val="28"/>
        </w:rPr>
        <w:t>рр</w:t>
      </w:r>
      <w:proofErr w:type="spellEnd"/>
      <w:r w:rsidRPr="00E872DB">
        <w:rPr>
          <w:rFonts w:ascii="Times New Roman" w:hAnsi="Times New Roman"/>
          <w:bCs/>
          <w:sz w:val="28"/>
          <w:szCs w:val="28"/>
        </w:rPr>
        <w:t xml:space="preserve">. </w:t>
      </w:r>
    </w:p>
    <w:p w:rsidR="00BF0FD8" w:rsidRDefault="00BF0FD8" w:rsidP="00DE414E">
      <w:pPr>
        <w:widowControl w:val="0"/>
        <w:spacing w:after="0" w:line="360" w:lineRule="auto"/>
        <w:ind w:left="-567" w:right="-283" w:firstLine="709"/>
        <w:jc w:val="both"/>
        <w:rPr>
          <w:rFonts w:ascii="Times New Roman" w:hAnsi="Times New Roman"/>
          <w:bCs/>
          <w:sz w:val="28"/>
          <w:szCs w:val="28"/>
        </w:rPr>
      </w:pPr>
      <w:proofErr w:type="spellStart"/>
      <w:r w:rsidRPr="00E872DB">
        <w:rPr>
          <w:rFonts w:ascii="Times New Roman" w:hAnsi="Times New Roman"/>
          <w:bCs/>
          <w:sz w:val="28"/>
          <w:szCs w:val="28"/>
        </w:rPr>
        <w:t>Джерело</w:t>
      </w:r>
      <w:proofErr w:type="spellEnd"/>
      <w:r w:rsidRPr="00E872DB">
        <w:rPr>
          <w:rFonts w:ascii="Times New Roman" w:hAnsi="Times New Roman"/>
          <w:bCs/>
          <w:sz w:val="28"/>
          <w:szCs w:val="28"/>
        </w:rPr>
        <w:t xml:space="preserve">: </w:t>
      </w:r>
      <w:proofErr w:type="spellStart"/>
      <w:r w:rsidRPr="00E872DB">
        <w:rPr>
          <w:rFonts w:ascii="Times New Roman" w:hAnsi="Times New Roman"/>
          <w:bCs/>
          <w:sz w:val="28"/>
          <w:szCs w:val="28"/>
        </w:rPr>
        <w:t>складено</w:t>
      </w:r>
      <w:proofErr w:type="spellEnd"/>
      <w:r w:rsidRPr="00E872DB">
        <w:rPr>
          <w:rFonts w:ascii="Times New Roman" w:hAnsi="Times New Roman"/>
          <w:bCs/>
          <w:sz w:val="28"/>
          <w:szCs w:val="28"/>
        </w:rPr>
        <w:t xml:space="preserve"> автором за</w:t>
      </w:r>
      <w:r w:rsidRPr="00031071">
        <w:rPr>
          <w:rFonts w:ascii="Times New Roman" w:hAnsi="Times New Roman"/>
          <w:bCs/>
          <w:sz w:val="28"/>
          <w:szCs w:val="28"/>
        </w:rPr>
        <w:t>: [</w:t>
      </w:r>
      <w:r w:rsidR="006410D2">
        <w:rPr>
          <w:rFonts w:ascii="Times New Roman" w:hAnsi="Times New Roman"/>
          <w:sz w:val="28"/>
          <w:szCs w:val="28"/>
          <w:lang w:val="uk-UA"/>
        </w:rPr>
        <w:fldChar w:fldCharType="begin"/>
      </w:r>
      <w:r w:rsidR="006410D2">
        <w:rPr>
          <w:rFonts w:ascii="Times New Roman" w:hAnsi="Times New Roman"/>
          <w:bCs/>
          <w:sz w:val="28"/>
          <w:szCs w:val="28"/>
        </w:rPr>
        <w:instrText xml:space="preserve"> REF _Ref449059581 \r \h </w:instrText>
      </w:r>
      <w:r w:rsidR="006410D2">
        <w:rPr>
          <w:rFonts w:ascii="Times New Roman" w:hAnsi="Times New Roman"/>
          <w:sz w:val="28"/>
          <w:szCs w:val="28"/>
          <w:lang w:val="uk-UA"/>
        </w:rPr>
      </w:r>
      <w:r w:rsidR="006410D2">
        <w:rPr>
          <w:rFonts w:ascii="Times New Roman" w:hAnsi="Times New Roman"/>
          <w:sz w:val="28"/>
          <w:szCs w:val="28"/>
          <w:lang w:val="uk-UA"/>
        </w:rPr>
        <w:fldChar w:fldCharType="separate"/>
      </w:r>
      <w:r w:rsidR="006B1E97">
        <w:rPr>
          <w:rFonts w:ascii="Times New Roman" w:hAnsi="Times New Roman"/>
          <w:bCs/>
          <w:sz w:val="28"/>
          <w:szCs w:val="28"/>
        </w:rPr>
        <w:t>1</w:t>
      </w:r>
      <w:r w:rsidR="006410D2">
        <w:rPr>
          <w:rFonts w:ascii="Times New Roman" w:hAnsi="Times New Roman"/>
          <w:sz w:val="28"/>
          <w:szCs w:val="28"/>
          <w:lang w:val="uk-UA"/>
        </w:rPr>
        <w:fldChar w:fldCharType="end"/>
      </w:r>
      <w:r w:rsidR="003C59A0" w:rsidRPr="003C59A0">
        <w:rPr>
          <w:rFonts w:ascii="Times New Roman" w:hAnsi="Times New Roman"/>
          <w:sz w:val="28"/>
          <w:szCs w:val="28"/>
          <w:lang w:val="uk-UA"/>
        </w:rPr>
        <w:t xml:space="preserve">; </w:t>
      </w:r>
      <w:r w:rsidR="006410D2">
        <w:rPr>
          <w:rFonts w:ascii="Times New Roman" w:hAnsi="Times New Roman"/>
          <w:sz w:val="28"/>
          <w:szCs w:val="28"/>
          <w:lang w:val="uk-UA"/>
        </w:rPr>
        <w:fldChar w:fldCharType="begin"/>
      </w:r>
      <w:r w:rsidR="006410D2">
        <w:rPr>
          <w:rFonts w:ascii="Times New Roman" w:hAnsi="Times New Roman"/>
          <w:sz w:val="28"/>
          <w:szCs w:val="28"/>
          <w:lang w:val="uk-UA"/>
        </w:rPr>
        <w:instrText xml:space="preserve"> REF _Ref424653837 \r \h </w:instrText>
      </w:r>
      <w:r w:rsidR="006410D2">
        <w:rPr>
          <w:rFonts w:ascii="Times New Roman" w:hAnsi="Times New Roman"/>
          <w:sz w:val="28"/>
          <w:szCs w:val="28"/>
          <w:lang w:val="uk-UA"/>
        </w:rPr>
      </w:r>
      <w:r w:rsidR="006410D2">
        <w:rPr>
          <w:rFonts w:ascii="Times New Roman" w:hAnsi="Times New Roman"/>
          <w:sz w:val="28"/>
          <w:szCs w:val="28"/>
          <w:lang w:val="uk-UA"/>
        </w:rPr>
        <w:fldChar w:fldCharType="separate"/>
      </w:r>
      <w:r w:rsidR="006B1E97">
        <w:rPr>
          <w:rFonts w:ascii="Times New Roman" w:hAnsi="Times New Roman"/>
          <w:sz w:val="28"/>
          <w:szCs w:val="28"/>
          <w:lang w:val="uk-UA"/>
        </w:rPr>
        <w:t>5</w:t>
      </w:r>
      <w:r w:rsidR="006410D2">
        <w:rPr>
          <w:rFonts w:ascii="Times New Roman" w:hAnsi="Times New Roman"/>
          <w:sz w:val="28"/>
          <w:szCs w:val="28"/>
          <w:lang w:val="uk-UA"/>
        </w:rPr>
        <w:fldChar w:fldCharType="end"/>
      </w:r>
      <w:r w:rsidRPr="003C59A0">
        <w:rPr>
          <w:rFonts w:ascii="Times New Roman" w:hAnsi="Times New Roman"/>
          <w:bCs/>
          <w:sz w:val="28"/>
          <w:szCs w:val="28"/>
        </w:rPr>
        <w:t>]</w:t>
      </w:r>
    </w:p>
    <w:p w:rsidR="00BF0FD8" w:rsidRPr="00031071" w:rsidRDefault="00BF0FD8" w:rsidP="00DE414E">
      <w:pPr>
        <w:widowControl w:val="0"/>
        <w:spacing w:after="0" w:line="360" w:lineRule="auto"/>
        <w:ind w:left="-567" w:right="-283" w:firstLine="710"/>
        <w:jc w:val="both"/>
        <w:rPr>
          <w:rFonts w:ascii="Times New Roman" w:hAnsi="Times New Roman"/>
          <w:bCs/>
          <w:sz w:val="28"/>
          <w:szCs w:val="28"/>
        </w:rPr>
      </w:pPr>
    </w:p>
    <w:p w:rsidR="00BF0FD8" w:rsidRDefault="00BF0FD8" w:rsidP="00DE414E">
      <w:pPr>
        <w:pStyle w:val="NormalWeb"/>
        <w:tabs>
          <w:tab w:val="left" w:pos="993"/>
        </w:tabs>
        <w:spacing w:before="0" w:beforeAutospacing="0" w:after="0" w:afterAutospacing="0" w:line="360" w:lineRule="auto"/>
        <w:ind w:left="-567" w:firstLine="710"/>
        <w:jc w:val="both"/>
        <w:rPr>
          <w:sz w:val="28"/>
          <w:szCs w:val="28"/>
          <w:lang w:val="uk-UA"/>
        </w:rPr>
      </w:pPr>
      <w:r>
        <w:rPr>
          <w:sz w:val="28"/>
          <w:szCs w:val="28"/>
          <w:lang w:val="uk-UA"/>
        </w:rPr>
        <w:t>Як видно із рис. 3</w:t>
      </w:r>
      <w:r w:rsidRPr="00E872DB">
        <w:rPr>
          <w:sz w:val="28"/>
          <w:szCs w:val="28"/>
          <w:lang w:val="uk-UA"/>
        </w:rPr>
        <w:t xml:space="preserve">, станом на 01.01.2015 показник співвідношення податкового боргу до ВВП становить 2,34%, тобто </w:t>
      </w:r>
      <w:r>
        <w:rPr>
          <w:sz w:val="28"/>
          <w:szCs w:val="28"/>
          <w:lang w:val="uk-UA"/>
        </w:rPr>
        <w:t xml:space="preserve">майже втричі перевищує </w:t>
      </w:r>
      <w:proofErr w:type="spellStart"/>
      <w:r>
        <w:rPr>
          <w:sz w:val="28"/>
          <w:szCs w:val="28"/>
          <w:lang w:val="uk-UA"/>
        </w:rPr>
        <w:t>пороговий</w:t>
      </w:r>
      <w:proofErr w:type="spellEnd"/>
      <w:r>
        <w:rPr>
          <w:sz w:val="28"/>
          <w:szCs w:val="28"/>
          <w:lang w:val="uk-UA"/>
        </w:rPr>
        <w:t xml:space="preserve"> 1%-й рівень </w:t>
      </w:r>
      <w:r w:rsidRPr="00B83017">
        <w:rPr>
          <w:sz w:val="28"/>
          <w:szCs w:val="28"/>
        </w:rPr>
        <w:t>[</w:t>
      </w:r>
      <w:r w:rsidR="006410D2">
        <w:rPr>
          <w:sz w:val="28"/>
          <w:szCs w:val="28"/>
          <w:lang w:val="uk-UA"/>
        </w:rPr>
        <w:fldChar w:fldCharType="begin"/>
      </w:r>
      <w:r w:rsidR="006410D2">
        <w:rPr>
          <w:sz w:val="28"/>
          <w:szCs w:val="28"/>
        </w:rPr>
        <w:instrText xml:space="preserve"> REF _Ref428484710 \r \h </w:instrText>
      </w:r>
      <w:r w:rsidR="006410D2">
        <w:rPr>
          <w:sz w:val="28"/>
          <w:szCs w:val="28"/>
          <w:lang w:val="uk-UA"/>
        </w:rPr>
      </w:r>
      <w:r w:rsidR="006410D2">
        <w:rPr>
          <w:sz w:val="28"/>
          <w:szCs w:val="28"/>
          <w:lang w:val="uk-UA"/>
        </w:rPr>
        <w:fldChar w:fldCharType="separate"/>
      </w:r>
      <w:r w:rsidR="006B1E97">
        <w:rPr>
          <w:sz w:val="28"/>
          <w:szCs w:val="28"/>
        </w:rPr>
        <w:t>6</w:t>
      </w:r>
      <w:r w:rsidR="006410D2">
        <w:rPr>
          <w:sz w:val="28"/>
          <w:szCs w:val="28"/>
          <w:lang w:val="uk-UA"/>
        </w:rPr>
        <w:fldChar w:fldCharType="end"/>
      </w:r>
      <w:r w:rsidRPr="00B83017">
        <w:rPr>
          <w:sz w:val="28"/>
          <w:szCs w:val="28"/>
        </w:rPr>
        <w:t>]</w:t>
      </w:r>
      <w:r>
        <w:rPr>
          <w:sz w:val="28"/>
          <w:szCs w:val="28"/>
          <w:lang w:val="uk-UA"/>
        </w:rPr>
        <w:t xml:space="preserve">. Поряд із цим, за граничними значеннями, встановленими Світовим банком, показник </w:t>
      </w:r>
      <w:r w:rsidRPr="00E872DB">
        <w:rPr>
          <w:sz w:val="28"/>
          <w:szCs w:val="28"/>
          <w:lang w:val="uk-UA"/>
        </w:rPr>
        <w:t xml:space="preserve">знаходиться в межах </w:t>
      </w:r>
      <w:proofErr w:type="spellStart"/>
      <w:r w:rsidRPr="00E872DB">
        <w:rPr>
          <w:sz w:val="28"/>
          <w:szCs w:val="28"/>
          <w:lang w:val="uk-UA"/>
        </w:rPr>
        <w:t>порогового</w:t>
      </w:r>
      <w:proofErr w:type="spellEnd"/>
      <w:r w:rsidRPr="00E872DB">
        <w:rPr>
          <w:sz w:val="28"/>
          <w:szCs w:val="28"/>
          <w:lang w:val="uk-UA"/>
        </w:rPr>
        <w:t xml:space="preserve"> (безпечного) рівня у 3%, хоч і стрімко до нього наближається. Надзвичайно ризикованою вважаємо тенденцію зростання показника – протягом останнього року більше ніж на 1%. </w:t>
      </w:r>
      <w:r w:rsidR="0076083B">
        <w:rPr>
          <w:sz w:val="28"/>
          <w:szCs w:val="28"/>
          <w:lang w:val="uk-UA"/>
        </w:rPr>
        <w:t xml:space="preserve">Крім того, за 1 квартал 2015 р. показник зріс майже </w:t>
      </w:r>
      <w:proofErr w:type="spellStart"/>
      <w:r w:rsidR="0076083B">
        <w:rPr>
          <w:sz w:val="28"/>
          <w:szCs w:val="28"/>
          <w:lang w:val="uk-UA"/>
        </w:rPr>
        <w:t>пʼятикратно</w:t>
      </w:r>
      <w:proofErr w:type="spellEnd"/>
      <w:r w:rsidR="0076083B">
        <w:rPr>
          <w:sz w:val="28"/>
          <w:szCs w:val="28"/>
          <w:lang w:val="uk-UA"/>
        </w:rPr>
        <w:t xml:space="preserve">. Квартальний показник, звичайно, не може у повній мірі розцінюватися як індикатор розвитку явища, однак він демонструє тенденції, які, як бачимо, надзвичайно критичні. </w:t>
      </w:r>
    </w:p>
    <w:p w:rsidR="00E3633E" w:rsidRDefault="00BF0FD8" w:rsidP="00E3633E">
      <w:pPr>
        <w:shd w:val="clear" w:color="auto" w:fill="FFFFFF"/>
        <w:spacing w:after="0" w:line="360" w:lineRule="auto"/>
        <w:ind w:left="-567" w:firstLine="709"/>
        <w:jc w:val="both"/>
        <w:rPr>
          <w:rFonts w:ascii="Times New Roman" w:hAnsi="Times New Roman"/>
          <w:sz w:val="28"/>
          <w:szCs w:val="28"/>
          <w:lang w:val="uk-UA"/>
        </w:rPr>
      </w:pPr>
      <w:r w:rsidRPr="00BF0FD8">
        <w:rPr>
          <w:rFonts w:ascii="Times New Roman" w:hAnsi="Times New Roman"/>
          <w:sz w:val="28"/>
          <w:szCs w:val="28"/>
          <w:lang w:val="uk-UA"/>
        </w:rPr>
        <w:t>Побудова Програми забезпечення фінансової безпеки неможлива без врахування закономірностей розвитку всіх її елементів, без ідентифікації, відстеження тенденцій та  подолання ризиків у всіх сферах фінансових відносин.</w:t>
      </w:r>
      <w:r w:rsidRPr="00BF0FD8">
        <w:rPr>
          <w:rFonts w:ascii="Times New Roman" w:hAnsi="Times New Roman"/>
          <w:color w:val="000000"/>
          <w:sz w:val="28"/>
          <w:szCs w:val="28"/>
          <w:lang w:val="uk-UA"/>
        </w:rPr>
        <w:t xml:space="preserve"> </w:t>
      </w:r>
      <w:proofErr w:type="spellStart"/>
      <w:r w:rsidRPr="0012560E">
        <w:rPr>
          <w:rFonts w:ascii="Times New Roman" w:hAnsi="Times New Roman"/>
          <w:color w:val="000000"/>
          <w:sz w:val="28"/>
          <w:szCs w:val="28"/>
        </w:rPr>
        <w:t>Оскільки</w:t>
      </w:r>
      <w:proofErr w:type="spell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явище</w:t>
      </w:r>
      <w:proofErr w:type="spell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податкового</w:t>
      </w:r>
      <w:proofErr w:type="spellEnd"/>
      <w:r w:rsidRPr="0012560E">
        <w:rPr>
          <w:rFonts w:ascii="Times New Roman" w:hAnsi="Times New Roman"/>
          <w:color w:val="000000"/>
          <w:sz w:val="28"/>
          <w:szCs w:val="28"/>
        </w:rPr>
        <w:t xml:space="preserve"> боргу ми </w:t>
      </w:r>
      <w:proofErr w:type="spellStart"/>
      <w:r w:rsidRPr="0012560E">
        <w:rPr>
          <w:rFonts w:ascii="Times New Roman" w:hAnsi="Times New Roman"/>
          <w:color w:val="000000"/>
          <w:sz w:val="28"/>
          <w:szCs w:val="28"/>
        </w:rPr>
        <w:t>виносимо</w:t>
      </w:r>
      <w:proofErr w:type="spellEnd"/>
      <w:r w:rsidRPr="0012560E">
        <w:rPr>
          <w:rFonts w:ascii="Times New Roman" w:hAnsi="Times New Roman"/>
          <w:color w:val="000000"/>
          <w:sz w:val="28"/>
          <w:szCs w:val="28"/>
        </w:rPr>
        <w:t xml:space="preserve"> на </w:t>
      </w:r>
      <w:proofErr w:type="spellStart"/>
      <w:r w:rsidRPr="0012560E">
        <w:rPr>
          <w:rFonts w:ascii="Times New Roman" w:hAnsi="Times New Roman"/>
          <w:color w:val="000000"/>
          <w:sz w:val="28"/>
          <w:szCs w:val="28"/>
        </w:rPr>
        <w:t>високий</w:t>
      </w:r>
      <w:proofErr w:type="spell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щабель</w:t>
      </w:r>
      <w:proofErr w:type="spell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серед</w:t>
      </w:r>
      <w:proofErr w:type="spell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чинників</w:t>
      </w:r>
      <w:proofErr w:type="spell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податкової</w:t>
      </w:r>
      <w:proofErr w:type="spellEnd"/>
      <w:r w:rsidRPr="0012560E">
        <w:rPr>
          <w:rFonts w:ascii="Times New Roman" w:hAnsi="Times New Roman"/>
          <w:color w:val="000000"/>
          <w:sz w:val="28"/>
          <w:szCs w:val="28"/>
        </w:rPr>
        <w:t xml:space="preserve">, а </w:t>
      </w:r>
      <w:proofErr w:type="spellStart"/>
      <w:r w:rsidRPr="0012560E">
        <w:rPr>
          <w:rFonts w:ascii="Times New Roman" w:hAnsi="Times New Roman"/>
          <w:color w:val="000000"/>
          <w:sz w:val="28"/>
          <w:szCs w:val="28"/>
        </w:rPr>
        <w:t>отже</w:t>
      </w:r>
      <w:proofErr w:type="spell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і</w:t>
      </w:r>
      <w:proofErr w:type="spell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фінансової</w:t>
      </w:r>
      <w:proofErr w:type="spell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безпеки</w:t>
      </w:r>
      <w:proofErr w:type="spell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держави</w:t>
      </w:r>
      <w:proofErr w:type="spellEnd"/>
      <w:r w:rsidRPr="0012560E">
        <w:rPr>
          <w:rFonts w:ascii="Times New Roman" w:hAnsi="Times New Roman"/>
          <w:color w:val="000000"/>
          <w:sz w:val="28"/>
          <w:szCs w:val="28"/>
        </w:rPr>
        <w:t xml:space="preserve">, то </w:t>
      </w:r>
      <w:proofErr w:type="spellStart"/>
      <w:r w:rsidRPr="0012560E">
        <w:rPr>
          <w:rFonts w:ascii="Times New Roman" w:hAnsi="Times New Roman"/>
          <w:sz w:val="28"/>
          <w:szCs w:val="28"/>
        </w:rPr>
        <w:t>розробка</w:t>
      </w:r>
      <w:proofErr w:type="spellEnd"/>
      <w:r w:rsidRPr="0012560E">
        <w:rPr>
          <w:rFonts w:ascii="Times New Roman" w:hAnsi="Times New Roman"/>
          <w:sz w:val="28"/>
          <w:szCs w:val="28"/>
        </w:rPr>
        <w:t xml:space="preserve"> методичного </w:t>
      </w:r>
      <w:proofErr w:type="spellStart"/>
      <w:r w:rsidRPr="0012560E">
        <w:rPr>
          <w:rFonts w:ascii="Times New Roman" w:hAnsi="Times New Roman"/>
          <w:sz w:val="28"/>
          <w:szCs w:val="28"/>
        </w:rPr>
        <w:t>інструментарію</w:t>
      </w:r>
      <w:proofErr w:type="spellEnd"/>
      <w:r w:rsidRPr="0012560E">
        <w:rPr>
          <w:rFonts w:ascii="Times New Roman" w:hAnsi="Times New Roman"/>
          <w:sz w:val="28"/>
          <w:szCs w:val="28"/>
        </w:rPr>
        <w:t xml:space="preserve"> для </w:t>
      </w:r>
      <w:proofErr w:type="spellStart"/>
      <w:r w:rsidRPr="0012560E">
        <w:rPr>
          <w:rFonts w:ascii="Times New Roman" w:hAnsi="Times New Roman"/>
          <w:sz w:val="28"/>
          <w:szCs w:val="28"/>
        </w:rPr>
        <w:t>його</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оцінки</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набуває</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неабиякого</w:t>
      </w:r>
      <w:proofErr w:type="spellEnd"/>
      <w:r w:rsidRPr="0012560E">
        <w:rPr>
          <w:rFonts w:ascii="Times New Roman" w:hAnsi="Times New Roman"/>
          <w:sz w:val="28"/>
          <w:szCs w:val="28"/>
        </w:rPr>
        <w:t xml:space="preserve"> практичного </w:t>
      </w:r>
      <w:proofErr w:type="spellStart"/>
      <w:r w:rsidRPr="0012560E">
        <w:rPr>
          <w:rFonts w:ascii="Times New Roman" w:hAnsi="Times New Roman"/>
          <w:sz w:val="28"/>
          <w:szCs w:val="28"/>
        </w:rPr>
        <w:t>значення.</w:t>
      </w:r>
      <w:proofErr w:type="spellEnd"/>
    </w:p>
    <w:p w:rsidR="00BF0FD8" w:rsidRPr="003C59A0" w:rsidRDefault="00E3633E" w:rsidP="003C59A0">
      <w:pPr>
        <w:shd w:val="clear" w:color="auto" w:fill="FFFFFF"/>
        <w:spacing w:after="0" w:line="360" w:lineRule="auto"/>
        <w:ind w:left="-567" w:firstLine="709"/>
        <w:jc w:val="both"/>
        <w:rPr>
          <w:rFonts w:ascii="Times New Roman" w:hAnsi="Times New Roman"/>
          <w:color w:val="000000"/>
          <w:sz w:val="28"/>
          <w:szCs w:val="28"/>
          <w:lang w:val="uk-UA"/>
        </w:rPr>
      </w:pPr>
      <w:r>
        <w:rPr>
          <w:rFonts w:ascii="Times New Roman" w:hAnsi="Times New Roman"/>
          <w:sz w:val="28"/>
          <w:szCs w:val="28"/>
          <w:lang w:val="uk-UA"/>
        </w:rPr>
        <w:t>На даний час фіскальними органами о</w:t>
      </w:r>
      <w:proofErr w:type="spellStart"/>
      <w:r w:rsidR="00BF0FD8" w:rsidRPr="0012560E">
        <w:rPr>
          <w:rFonts w:ascii="Times New Roman" w:hAnsi="Times New Roman"/>
          <w:color w:val="000000"/>
          <w:sz w:val="28"/>
          <w:szCs w:val="28"/>
        </w:rPr>
        <w:t>бсяг</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податкового</w:t>
      </w:r>
      <w:proofErr w:type="spellEnd"/>
      <w:r w:rsidR="00BF0FD8" w:rsidRPr="0012560E">
        <w:rPr>
          <w:rFonts w:ascii="Times New Roman" w:hAnsi="Times New Roman"/>
          <w:color w:val="000000"/>
          <w:sz w:val="28"/>
          <w:szCs w:val="28"/>
        </w:rPr>
        <w:t xml:space="preserve"> боргу </w:t>
      </w:r>
      <w:proofErr w:type="spellStart"/>
      <w:r w:rsidR="00BF0FD8" w:rsidRPr="0012560E">
        <w:rPr>
          <w:rFonts w:ascii="Times New Roman" w:hAnsi="Times New Roman"/>
          <w:color w:val="000000"/>
          <w:sz w:val="28"/>
          <w:szCs w:val="28"/>
        </w:rPr>
        <w:t>о</w:t>
      </w:r>
      <w:r>
        <w:rPr>
          <w:rFonts w:ascii="Times New Roman" w:hAnsi="Times New Roman"/>
          <w:color w:val="000000"/>
          <w:sz w:val="28"/>
          <w:szCs w:val="28"/>
        </w:rPr>
        <w:t>цінюється</w:t>
      </w:r>
      <w:proofErr w:type="spellEnd"/>
      <w:r>
        <w:rPr>
          <w:rFonts w:ascii="Times New Roman" w:hAnsi="Times New Roman"/>
          <w:color w:val="000000"/>
          <w:sz w:val="28"/>
          <w:szCs w:val="28"/>
        </w:rPr>
        <w:t xml:space="preserve"> в абсолютному </w:t>
      </w:r>
      <w:proofErr w:type="spellStart"/>
      <w:r>
        <w:rPr>
          <w:rFonts w:ascii="Times New Roman" w:hAnsi="Times New Roman"/>
          <w:color w:val="000000"/>
          <w:sz w:val="28"/>
          <w:szCs w:val="28"/>
        </w:rPr>
        <w:t>вимірі</w:t>
      </w:r>
      <w:proofErr w:type="spellEnd"/>
      <w:r>
        <w:rPr>
          <w:rFonts w:ascii="Times New Roman" w:hAnsi="Times New Roman"/>
          <w:color w:val="000000"/>
          <w:sz w:val="28"/>
          <w:szCs w:val="28"/>
          <w:lang w:val="uk-UA"/>
        </w:rPr>
        <w:t xml:space="preserve"> </w:t>
      </w:r>
      <w:r w:rsidR="00BF0FD8" w:rsidRPr="0012560E">
        <w:rPr>
          <w:rFonts w:ascii="Times New Roman" w:hAnsi="Times New Roman"/>
          <w:color w:val="000000"/>
          <w:sz w:val="28"/>
          <w:szCs w:val="28"/>
        </w:rPr>
        <w:t xml:space="preserve">без </w:t>
      </w:r>
      <w:proofErr w:type="spellStart"/>
      <w:r w:rsidR="00BF0FD8" w:rsidRPr="0012560E">
        <w:rPr>
          <w:rFonts w:ascii="Times New Roman" w:hAnsi="Times New Roman"/>
          <w:color w:val="000000"/>
          <w:sz w:val="28"/>
          <w:szCs w:val="28"/>
        </w:rPr>
        <w:t>врахування</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будь-яких</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ін</w:t>
      </w:r>
      <w:r>
        <w:rPr>
          <w:rFonts w:ascii="Times New Roman" w:hAnsi="Times New Roman"/>
          <w:color w:val="000000"/>
          <w:sz w:val="28"/>
          <w:szCs w:val="28"/>
        </w:rPr>
        <w:t>ших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корелюючих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показників</w:t>
      </w:r>
      <w:proofErr w:type="spellEnd"/>
      <w:r>
        <w:rPr>
          <w:rFonts w:ascii="Times New Roman" w:hAnsi="Times New Roman"/>
          <w:color w:val="000000"/>
          <w:sz w:val="28"/>
          <w:szCs w:val="28"/>
        </w:rPr>
        <w:t xml:space="preserve">. </w:t>
      </w:r>
      <w:r w:rsidRPr="003C59A0">
        <w:rPr>
          <w:rFonts w:ascii="Times New Roman" w:hAnsi="Times New Roman"/>
          <w:color w:val="000000"/>
          <w:sz w:val="28"/>
          <w:szCs w:val="28"/>
          <w:lang w:val="uk-UA"/>
        </w:rPr>
        <w:lastRenderedPageBreak/>
        <w:t>Так, а</w:t>
      </w:r>
      <w:r w:rsidR="00BF0FD8" w:rsidRPr="003C59A0">
        <w:rPr>
          <w:rFonts w:ascii="Times New Roman" w:hAnsi="Times New Roman"/>
          <w:color w:val="000000"/>
          <w:sz w:val="28"/>
          <w:szCs w:val="28"/>
          <w:lang w:val="uk-UA"/>
        </w:rPr>
        <w:t xml:space="preserve">бсолютна динаміка номінального податкового боргу, </w:t>
      </w:r>
      <m:oMath>
        <m:sSub>
          <m:sSubPr>
            <m:ctrlPr>
              <w:rPr>
                <w:rFonts w:ascii="Cambria Math" w:hAnsi="Times New Roman"/>
                <w:i/>
                <w:color w:val="000000"/>
                <w:sz w:val="28"/>
                <w:szCs w:val="28"/>
              </w:rPr>
            </m:ctrlPr>
          </m:sSubPr>
          <m:e>
            <m:r>
              <w:rPr>
                <w:rFonts w:ascii="Cambria Math" w:hAnsi="Times New Roman"/>
                <w:color w:val="000000"/>
                <w:sz w:val="28"/>
                <w:szCs w:val="28"/>
              </w:rPr>
              <m:t>Д</m:t>
            </m:r>
          </m:e>
          <m:sub>
            <m:r>
              <w:rPr>
                <w:rFonts w:ascii="Cambria Math" w:hAnsi="Times New Roman"/>
                <w:color w:val="000000"/>
                <w:sz w:val="28"/>
                <w:szCs w:val="28"/>
              </w:rPr>
              <m:t>АБС</m:t>
            </m:r>
            <m:r>
              <w:rPr>
                <w:rFonts w:ascii="Cambria Math" w:hAnsi="Times New Roman"/>
                <w:color w:val="000000"/>
                <w:sz w:val="28"/>
                <w:szCs w:val="28"/>
              </w:rPr>
              <m:t xml:space="preserve"> </m:t>
            </m:r>
            <m:r>
              <w:rPr>
                <w:rFonts w:ascii="Cambria Math" w:hAnsi="Times New Roman"/>
                <w:color w:val="000000"/>
                <w:sz w:val="28"/>
                <w:szCs w:val="28"/>
              </w:rPr>
              <m:t>ном</m:t>
            </m:r>
          </m:sub>
        </m:sSub>
      </m:oMath>
      <w:r w:rsidRPr="003C59A0">
        <w:rPr>
          <w:rFonts w:ascii="Times New Roman" w:hAnsi="Times New Roman"/>
          <w:color w:val="000000"/>
          <w:sz w:val="28"/>
          <w:szCs w:val="28"/>
          <w:lang w:val="uk-UA"/>
        </w:rPr>
        <w:t xml:space="preserve">, </w:t>
      </w:r>
      <w:r w:rsidR="00BF0FD8" w:rsidRPr="003C59A0">
        <w:rPr>
          <w:rFonts w:ascii="Times New Roman" w:hAnsi="Times New Roman"/>
          <w:color w:val="000000"/>
          <w:sz w:val="28"/>
          <w:szCs w:val="28"/>
          <w:lang w:val="uk-UA"/>
        </w:rPr>
        <w:t xml:space="preserve">ілюструє напрямок зміни загальної тенденції податкового боргу у сторону збільшення або зменшення, при цьому значення певного періоду повинно зменшуватися на обсяг попереднього проміжку часу: </w:t>
      </w:r>
    </w:p>
    <w:p w:rsidR="00BF0FD8" w:rsidRPr="0012560E" w:rsidRDefault="00BF0FD8" w:rsidP="00BF0FD8">
      <w:pPr>
        <w:pStyle w:val="ListParagraph"/>
        <w:spacing w:after="0" w:line="360" w:lineRule="auto"/>
        <w:ind w:left="-284" w:firstLine="710"/>
        <w:jc w:val="both"/>
        <w:rPr>
          <w:rFonts w:ascii="Times New Roman" w:hAnsi="Times New Roman"/>
          <w:i/>
          <w:color w:val="000000"/>
          <w:sz w:val="28"/>
          <w:szCs w:val="28"/>
          <w:lang w:val="uk-UA"/>
        </w:rPr>
      </w:pPr>
      <w:r>
        <w:rPr>
          <w:rFonts w:ascii="Times New Roman" w:hAnsi="Times New Roman"/>
          <w:color w:val="000000"/>
          <w:sz w:val="28"/>
          <w:szCs w:val="28"/>
          <w:lang w:val="uk-UA"/>
        </w:rPr>
        <w:t xml:space="preserve">  </w:t>
      </w:r>
      <w:r w:rsidR="00E3633E">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m:oMath>
        <m:sSub>
          <m:sSubPr>
            <m:ctrlPr>
              <w:rPr>
                <w:rFonts w:ascii="Cambria Math" w:hAnsi="Times New Roman"/>
                <w:i/>
                <w:color w:val="000000"/>
                <w:sz w:val="28"/>
                <w:szCs w:val="28"/>
              </w:rPr>
            </m:ctrlPr>
          </m:sSubPr>
          <m:e>
            <m:r>
              <w:rPr>
                <w:rFonts w:ascii="Cambria Math" w:hAnsi="Times New Roman"/>
                <w:color w:val="000000"/>
                <w:sz w:val="28"/>
                <w:szCs w:val="28"/>
              </w:rPr>
              <m:t>Д</m:t>
            </m:r>
          </m:e>
          <m:sub>
            <m:r>
              <w:rPr>
                <w:rFonts w:ascii="Cambria Math" w:hAnsi="Times New Roman"/>
                <w:color w:val="000000"/>
                <w:sz w:val="28"/>
                <w:szCs w:val="28"/>
              </w:rPr>
              <m:t>АБС</m:t>
            </m:r>
            <m:r>
              <w:rPr>
                <w:rFonts w:ascii="Cambria Math" w:hAnsi="Times New Roman"/>
                <w:color w:val="000000"/>
                <w:sz w:val="28"/>
                <w:szCs w:val="28"/>
              </w:rPr>
              <m:t xml:space="preserve"> </m:t>
            </m:r>
            <m:r>
              <w:rPr>
                <w:rFonts w:ascii="Cambria Math" w:hAnsi="Times New Roman"/>
                <w:color w:val="000000"/>
                <w:sz w:val="28"/>
                <w:szCs w:val="28"/>
              </w:rPr>
              <m:t>ном</m:t>
            </m:r>
          </m:sub>
        </m:sSub>
      </m:oMath>
      <w:r w:rsidRPr="0012560E">
        <w:rPr>
          <w:rFonts w:ascii="Times New Roman" w:hAnsi="Times New Roman"/>
          <w:color w:val="000000"/>
          <w:sz w:val="28"/>
          <w:szCs w:val="28"/>
          <w:lang w:val="uk-UA"/>
        </w:rPr>
        <w:t xml:space="preserve"> = </w:t>
      </w:r>
      <w:proofErr w:type="spellStart"/>
      <w:r w:rsidRPr="00F27AE9">
        <w:rPr>
          <w:rFonts w:ascii="Times New Roman" w:hAnsi="Times New Roman"/>
          <w:i/>
          <w:color w:val="000000"/>
          <w:sz w:val="28"/>
          <w:szCs w:val="28"/>
          <w:lang w:val="uk-UA"/>
        </w:rPr>
        <w:t>ПБ</w:t>
      </w:r>
      <w:proofErr w:type="spellEnd"/>
      <w:r w:rsidRPr="0012560E">
        <w:rPr>
          <w:rFonts w:ascii="Times New Roman" w:hAnsi="Times New Roman"/>
          <w:color w:val="000000"/>
          <w:sz w:val="28"/>
          <w:szCs w:val="28"/>
          <w:lang w:val="uk-UA"/>
        </w:rPr>
        <w:t xml:space="preserve"> </w:t>
      </w:r>
      <m:oMath>
        <m:sSub>
          <m:sSubPr>
            <m:ctrlPr>
              <w:rPr>
                <w:rFonts w:ascii="Cambria Math" w:hAnsi="Times New Roman"/>
                <w:i/>
                <w:color w:val="000000"/>
                <w:sz w:val="20"/>
                <w:szCs w:val="20"/>
              </w:rPr>
            </m:ctrlPr>
          </m:sSubPr>
          <m:e>
            <m:r>
              <w:rPr>
                <w:rFonts w:ascii="Cambria Math" w:hAnsi="Times New Roman"/>
                <w:color w:val="000000"/>
                <w:sz w:val="20"/>
                <w:szCs w:val="20"/>
              </w:rPr>
              <m:t>ном</m:t>
            </m:r>
          </m:e>
          <m:sub>
            <m:r>
              <w:rPr>
                <w:rFonts w:ascii="Cambria Math" w:hAnsi="Cambria Math"/>
                <w:color w:val="000000"/>
                <w:sz w:val="20"/>
                <w:szCs w:val="20"/>
              </w:rPr>
              <m:t>n</m:t>
            </m:r>
          </m:sub>
        </m:sSub>
      </m:oMath>
      <w:r w:rsidRPr="0012560E">
        <w:rPr>
          <w:rFonts w:ascii="Times New Roman" w:hAnsi="Times New Roman"/>
          <w:color w:val="000000"/>
          <w:sz w:val="28"/>
          <w:szCs w:val="28"/>
          <w:lang w:val="uk-UA"/>
        </w:rPr>
        <w:t xml:space="preserve"> -  </w:t>
      </w:r>
      <w:r w:rsidR="00E40DA1" w:rsidRPr="0026153D">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hideGrammaticalErrors/&gt;&lt;w:defaultTabStop w:val=&quot;708&quot;/&gt;&lt;w:hyphenationZone w:val=&quot;425&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498&quot;/&gt;&lt;wsp:rsid wsp:val=&quot;00000B30&quot;/&gt;&lt;wsp:rsid wsp:val=&quot;0000613F&quot;/&gt;&lt;wsp:rsid wsp:val=&quot;0000647E&quot;/&gt;&lt;wsp:rsid wsp:val=&quot;00006DDA&quot;/&gt;&lt;wsp:rsid wsp:val=&quot;000103B3&quot;/&gt;&lt;wsp:rsid wsp:val=&quot;00011149&quot;/&gt;&lt;wsp:rsid wsp:val=&quot;00015870&quot;/&gt;&lt;wsp:rsid wsp:val=&quot;0001612E&quot;/&gt;&lt;wsp:rsid wsp:val=&quot;00020575&quot;/&gt;&lt;wsp:rsid wsp:val=&quot;00020E81&quot;/&gt;&lt;wsp:rsid wsp:val=&quot;0002292C&quot;/&gt;&lt;wsp:rsid wsp:val=&quot;000304F5&quot;/&gt;&lt;wsp:rsid wsp:val=&quot;00031071&quot;/&gt;&lt;wsp:rsid wsp:val=&quot;0003158B&quot;/&gt;&lt;wsp:rsid wsp:val=&quot;00031939&quot;/&gt;&lt;wsp:rsid wsp:val=&quot;00040FF7&quot;/&gt;&lt;wsp:rsid wsp:val=&quot;00042D57&quot;/&gt;&lt;wsp:rsid wsp:val=&quot;00043230&quot;/&gt;&lt;wsp:rsid wsp:val=&quot;00047D4A&quot;/&gt;&lt;wsp:rsid wsp:val=&quot;00047DFA&quot;/&gt;&lt;wsp:rsid wsp:val=&quot;000511CB&quot;/&gt;&lt;wsp:rsid wsp:val=&quot;000538CB&quot;/&gt;&lt;wsp:rsid wsp:val=&quot;00054801&quot;/&gt;&lt;wsp:rsid wsp:val=&quot;00055953&quot;/&gt;&lt;wsp:rsid wsp:val=&quot;00060010&quot;/&gt;&lt;wsp:rsid wsp:val=&quot;0006037F&quot;/&gt;&lt;wsp:rsid wsp:val=&quot;00060685&quot;/&gt;&lt;wsp:rsid wsp:val=&quot;00060A5D&quot;/&gt;&lt;wsp:rsid wsp:val=&quot;00061C70&quot;/&gt;&lt;wsp:rsid wsp:val=&quot;0006440B&quot;/&gt;&lt;wsp:rsid wsp:val=&quot;00064764&quot;/&gt;&lt;wsp:rsid wsp:val=&quot;00066E1B&quot;/&gt;&lt;wsp:rsid wsp:val=&quot;0007077A&quot;/&gt;&lt;wsp:rsid wsp:val=&quot;000767B1&quot;/&gt;&lt;wsp:rsid wsp:val=&quot;00080352&quot;/&gt;&lt;wsp:rsid wsp:val=&quot;000843D0&quot;/&gt;&lt;wsp:rsid wsp:val=&quot;00087BCB&quot;/&gt;&lt;wsp:rsid wsp:val=&quot;00087DF2&quot;/&gt;&lt;wsp:rsid wsp:val=&quot;00091818&quot;/&gt;&lt;wsp:rsid wsp:val=&quot;0009260A&quot;/&gt;&lt;wsp:rsid wsp:val=&quot;00093E4A&quot;/&gt;&lt;wsp:rsid wsp:val=&quot;000948D0&quot;/&gt;&lt;wsp:rsid wsp:val=&quot;00094CCE&quot;/&gt;&lt;wsp:rsid wsp:val=&quot;00095B3D&quot;/&gt;&lt;wsp:rsid wsp:val=&quot;00095EDF&quot;/&gt;&lt;wsp:rsid wsp:val=&quot;00096152&quot;/&gt;&lt;wsp:rsid wsp:val=&quot;00096A39&quot;/&gt;&lt;wsp:rsid wsp:val=&quot;0009759A&quot;/&gt;&lt;wsp:rsid wsp:val=&quot;00097E84&quot;/&gt;&lt;wsp:rsid wsp:val=&quot;000A1F7F&quot;/&gt;&lt;wsp:rsid wsp:val=&quot;000A38D6&quot;/&gt;&lt;wsp:rsid wsp:val=&quot;000A3A31&quot;/&gt;&lt;wsp:rsid wsp:val=&quot;000A3B39&quot;/&gt;&lt;wsp:rsid wsp:val=&quot;000A4EC6&quot;/&gt;&lt;wsp:rsid wsp:val=&quot;000A5BE8&quot;/&gt;&lt;wsp:rsid wsp:val=&quot;000A79B2&quot;/&gt;&lt;wsp:rsid wsp:val=&quot;000A7BDC&quot;/&gt;&lt;wsp:rsid wsp:val=&quot;000B0708&quot;/&gt;&lt;wsp:rsid wsp:val=&quot;000B0B13&quot;/&gt;&lt;wsp:rsid wsp:val=&quot;000B0E50&quot;/&gt;&lt;wsp:rsid wsp:val=&quot;000B12A2&quot;/&gt;&lt;wsp:rsid wsp:val=&quot;000B2A41&quot;/&gt;&lt;wsp:rsid wsp:val=&quot;000B40B8&quot;/&gt;&lt;wsp:rsid wsp:val=&quot;000B6B5F&quot;/&gt;&lt;wsp:rsid wsp:val=&quot;000B6DDF&quot;/&gt;&lt;wsp:rsid wsp:val=&quot;000B73FE&quot;/&gt;&lt;wsp:rsid wsp:val=&quot;000C0125&quot;/&gt;&lt;wsp:rsid wsp:val=&quot;000C3CAE&quot;/&gt;&lt;wsp:rsid wsp:val=&quot;000C469D&quot;/&gt;&lt;wsp:rsid wsp:val=&quot;000C4AB8&quot;/&gt;&lt;wsp:rsid wsp:val=&quot;000D08B5&quot;/&gt;&lt;wsp:rsid wsp:val=&quot;000D1B6A&quot;/&gt;&lt;wsp:rsid wsp:val=&quot;000D3761&quot;/&gt;&lt;wsp:rsid wsp:val=&quot;000D5A4C&quot;/&gt;&lt;wsp:rsid wsp:val=&quot;000D7306&quot;/&gt;&lt;wsp:rsid wsp:val=&quot;000D7B83&quot;/&gt;&lt;wsp:rsid wsp:val=&quot;000E1CAD&quot;/&gt;&lt;wsp:rsid wsp:val=&quot;000E31BC&quot;/&gt;&lt;wsp:rsid wsp:val=&quot;000E3E85&quot;/&gt;&lt;wsp:rsid wsp:val=&quot;000E4DDE&quot;/&gt;&lt;wsp:rsid wsp:val=&quot;000E7F3D&quot;/&gt;&lt;wsp:rsid wsp:val=&quot;000F0544&quot;/&gt;&lt;wsp:rsid wsp:val=&quot;000F0E03&quot;/&gt;&lt;wsp:rsid wsp:val=&quot;000F11D0&quot;/&gt;&lt;wsp:rsid wsp:val=&quot;000F2FF2&quot;/&gt;&lt;wsp:rsid wsp:val=&quot;000F5F32&quot;/&gt;&lt;wsp:rsid wsp:val=&quot;000F6D59&quot;/&gt;&lt;wsp:rsid wsp:val=&quot;000F6DBE&quot;/&gt;&lt;wsp:rsid wsp:val=&quot;001000CE&quot;/&gt;&lt;wsp:rsid wsp:val=&quot;0010424C&quot;/&gt;&lt;wsp:rsid wsp:val=&quot;00104C0F&quot;/&gt;&lt;wsp:rsid wsp:val=&quot;00105873&quot;/&gt;&lt;wsp:rsid wsp:val=&quot;00105D35&quot;/&gt;&lt;wsp:rsid wsp:val=&quot;00106F19&quot;/&gt;&lt;wsp:rsid wsp:val=&quot;00110DA7&quot;/&gt;&lt;wsp:rsid wsp:val=&quot;00110E92&quot;/&gt;&lt;wsp:rsid wsp:val=&quot;00111562&quot;/&gt;&lt;wsp:rsid wsp:val=&quot;00114CB1&quot;/&gt;&lt;wsp:rsid wsp:val=&quot;00114FEB&quot;/&gt;&lt;wsp:rsid wsp:val=&quot;00116274&quot;/&gt;&lt;wsp:rsid wsp:val=&quot;0012001C&quot;/&gt;&lt;wsp:rsid wsp:val=&quot;00123145&quot;/&gt;&lt;wsp:rsid wsp:val=&quot;001238CD&quot;/&gt;&lt;wsp:rsid wsp:val=&quot;001255FF&quot;/&gt;&lt;wsp:rsid wsp:val=&quot;001258ED&quot;/&gt;&lt;wsp:rsid wsp:val=&quot;00127766&quot;/&gt;&lt;wsp:rsid wsp:val=&quot;00127CE7&quot;/&gt;&lt;wsp:rsid wsp:val=&quot;00127F2A&quot;/&gt;&lt;wsp:rsid wsp:val=&quot;00130618&quot;/&gt;&lt;wsp:rsid wsp:val=&quot;001325D8&quot;/&gt;&lt;wsp:rsid wsp:val=&quot;001345AA&quot;/&gt;&lt;wsp:rsid wsp:val=&quot;00135714&quot;/&gt;&lt;wsp:rsid wsp:val=&quot;00135A74&quot;/&gt;&lt;wsp:rsid wsp:val=&quot;00136436&quot;/&gt;&lt;wsp:rsid wsp:val=&quot;00136A1C&quot;/&gt;&lt;wsp:rsid wsp:val=&quot;0013784A&quot;/&gt;&lt;wsp:rsid wsp:val=&quot;0014000F&quot;/&gt;&lt;wsp:rsid wsp:val=&quot;001447A5&quot;/&gt;&lt;wsp:rsid wsp:val=&quot;001461FD&quot;/&gt;&lt;wsp:rsid wsp:val=&quot;001462BE&quot;/&gt;&lt;wsp:rsid wsp:val=&quot;0015095F&quot;/&gt;&lt;wsp:rsid wsp:val=&quot;00150A06&quot;/&gt;&lt;wsp:rsid wsp:val=&quot;00150F66&quot;/&gt;&lt;wsp:rsid wsp:val=&quot;001512F0&quot;/&gt;&lt;wsp:rsid wsp:val=&quot;00152E78&quot;/&gt;&lt;wsp:rsid wsp:val=&quot;00154985&quot;/&gt;&lt;wsp:rsid wsp:val=&quot;00156DA8&quot;/&gt;&lt;wsp:rsid wsp:val=&quot;00157A6B&quot;/&gt;&lt;wsp:rsid wsp:val=&quot;0016229A&quot;/&gt;&lt;wsp:rsid wsp:val=&quot;001639E7&quot;/&gt;&lt;wsp:rsid wsp:val=&quot;001653CE&quot;/&gt;&lt;wsp:rsid wsp:val=&quot;00165577&quot;/&gt;&lt;wsp:rsid wsp:val=&quot;00166F07&quot;/&gt;&lt;wsp:rsid wsp:val=&quot;001756D1&quot;/&gt;&lt;wsp:rsid wsp:val=&quot;001766DE&quot;/&gt;&lt;wsp:rsid wsp:val=&quot;00183923&quot;/&gt;&lt;wsp:rsid wsp:val=&quot;0018482B&quot;/&gt;&lt;wsp:rsid wsp:val=&quot;0019030A&quot;/&gt;&lt;wsp:rsid wsp:val=&quot;00190520&quot;/&gt;&lt;wsp:rsid wsp:val=&quot;00190ADC&quot;/&gt;&lt;wsp:rsid wsp:val=&quot;0019119C&quot;/&gt;&lt;wsp:rsid wsp:val=&quot;001916C6&quot;/&gt;&lt;wsp:rsid wsp:val=&quot;0019607D&quot;/&gt;&lt;wsp:rsid wsp:val=&quot;00197537&quot;/&gt;&lt;wsp:rsid wsp:val=&quot;001A0A95&quot;/&gt;&lt;wsp:rsid wsp:val=&quot;001A1290&quot;/&gt;&lt;wsp:rsid wsp:val=&quot;001A1B86&quot;/&gt;&lt;wsp:rsid wsp:val=&quot;001A1EC8&quot;/&gt;&lt;wsp:rsid wsp:val=&quot;001A2E44&quot;/&gt;&lt;wsp:rsid wsp:val=&quot;001A575F&quot;/&gt;&lt;wsp:rsid wsp:val=&quot;001B16DE&quot;/&gt;&lt;wsp:rsid wsp:val=&quot;001B3045&quot;/&gt;&lt;wsp:rsid wsp:val=&quot;001B35B2&quot;/&gt;&lt;wsp:rsid wsp:val=&quot;001B3C64&quot;/&gt;&lt;wsp:rsid wsp:val=&quot;001B4385&quot;/&gt;&lt;wsp:rsid wsp:val=&quot;001B5408&quot;/&gt;&lt;wsp:rsid wsp:val=&quot;001B6361&quot;/&gt;&lt;wsp:rsid wsp:val=&quot;001B7206&quot;/&gt;&lt;wsp:rsid wsp:val=&quot;001B7D02&quot;/&gt;&lt;wsp:rsid wsp:val=&quot;001C0085&quot;/&gt;&lt;wsp:rsid wsp:val=&quot;001C11AB&quot;/&gt;&lt;wsp:rsid wsp:val=&quot;001C1ED1&quot;/&gt;&lt;wsp:rsid wsp:val=&quot;001C2380&quot;/&gt;&lt;wsp:rsid wsp:val=&quot;001C5F70&quot;/&gt;&lt;wsp:rsid wsp:val=&quot;001D0410&quot;/&gt;&lt;wsp:rsid wsp:val=&quot;001D1F28&quot;/&gt;&lt;wsp:rsid wsp:val=&quot;001D7A3B&quot;/&gt;&lt;wsp:rsid wsp:val=&quot;001E1945&quot;/&gt;&lt;wsp:rsid wsp:val=&quot;001E1A6B&quot;/&gt;&lt;wsp:rsid wsp:val=&quot;001E2281&quot;/&gt;&lt;wsp:rsid wsp:val=&quot;001E2C29&quot;/&gt;&lt;wsp:rsid wsp:val=&quot;001E6C0E&quot;/&gt;&lt;wsp:rsid wsp:val=&quot;001F22C5&quot;/&gt;&lt;wsp:rsid wsp:val=&quot;001F666E&quot;/&gt;&lt;wsp:rsid wsp:val=&quot;0020052D&quot;/&gt;&lt;wsp:rsid wsp:val=&quot;00200B78&quot;/&gt;&lt;wsp:rsid wsp:val=&quot;002018E3&quot;/&gt;&lt;wsp:rsid wsp:val=&quot;00203F6C&quot;/&gt;&lt;wsp:rsid wsp:val=&quot;0020555B&quot;/&gt;&lt;wsp:rsid wsp:val=&quot;0020609A&quot;/&gt;&lt;wsp:rsid wsp:val=&quot;00206C47&quot;/&gt;&lt;wsp:rsid wsp:val=&quot;0021143C&quot;/&gt;&lt;wsp:rsid wsp:val=&quot;00212A22&quot;/&gt;&lt;wsp:rsid wsp:val=&quot;002152D8&quot;/&gt;&lt;wsp:rsid wsp:val=&quot;002202CE&quot;/&gt;&lt;wsp:rsid wsp:val=&quot;00222867&quot;/&gt;&lt;wsp:rsid wsp:val=&quot;00224AE8&quot;/&gt;&lt;wsp:rsid wsp:val=&quot;00230BCC&quot;/&gt;&lt;wsp:rsid wsp:val=&quot;00231EF2&quot;/&gt;&lt;wsp:rsid wsp:val=&quot;0023294A&quot;/&gt;&lt;wsp:rsid wsp:val=&quot;00235688&quot;/&gt;&lt;wsp:rsid wsp:val=&quot;00244872&quot;/&gt;&lt;wsp:rsid wsp:val=&quot;002448D8&quot;/&gt;&lt;wsp:rsid wsp:val=&quot;0024496C&quot;/&gt;&lt;wsp:rsid wsp:val=&quot;00247EC4&quot;/&gt;&lt;wsp:rsid wsp:val=&quot;002522BA&quot;/&gt;&lt;wsp:rsid wsp:val=&quot;00253BBE&quot;/&gt;&lt;wsp:rsid wsp:val=&quot;0025444D&quot;/&gt;&lt;wsp:rsid wsp:val=&quot;00255B54&quot;/&gt;&lt;wsp:rsid wsp:val=&quot;00255FA4&quot;/&gt;&lt;wsp:rsid wsp:val=&quot;00256F35&quot;/&gt;&lt;wsp:rsid wsp:val=&quot;002574FE&quot;/&gt;&lt;wsp:rsid wsp:val=&quot;0026084A&quot;/&gt;&lt;wsp:rsid wsp:val=&quot;00261EAB&quot;/&gt;&lt;wsp:rsid wsp:val=&quot;0026234D&quot;/&gt;&lt;wsp:rsid wsp:val=&quot;00262B6A&quot;/&gt;&lt;wsp:rsid wsp:val=&quot;00264169&quot;/&gt;&lt;wsp:rsid wsp:val=&quot;0026574A&quot;/&gt;&lt;wsp:rsid wsp:val=&quot;00267D64&quot;/&gt;&lt;wsp:rsid wsp:val=&quot;00271B79&quot;/&gt;&lt;wsp:rsid wsp:val=&quot;00275172&quot;/&gt;&lt;wsp:rsid wsp:val=&quot;00275E9A&quot;/&gt;&lt;wsp:rsid wsp:val=&quot;0027708A&quot;/&gt;&lt;wsp:rsid wsp:val=&quot;00277304&quot;/&gt;&lt;wsp:rsid wsp:val=&quot;0028309A&quot;/&gt;&lt;wsp:rsid wsp:val=&quot;002835C1&quot;/&gt;&lt;wsp:rsid wsp:val=&quot;00283FD0&quot;/&gt;&lt;wsp:rsid wsp:val=&quot;00285A14&quot;/&gt;&lt;wsp:rsid wsp:val=&quot;00287485&quot;/&gt;&lt;wsp:rsid wsp:val=&quot;00292FD3&quot;/&gt;&lt;wsp:rsid wsp:val=&quot;00293C75&quot;/&gt;&lt;wsp:rsid wsp:val=&quot;002955CF&quot;/&gt;&lt;wsp:rsid wsp:val=&quot;002966E3&quot;/&gt;&lt;wsp:rsid wsp:val=&quot;002A050A&quot;/&gt;&lt;wsp:rsid wsp:val=&quot;002A246C&quot;/&gt;&lt;wsp:rsid wsp:val=&quot;002A4F3E&quot;/&gt;&lt;wsp:rsid wsp:val=&quot;002A5EDA&quot;/&gt;&lt;wsp:rsid wsp:val=&quot;002B1CD5&quot;/&gt;&lt;wsp:rsid wsp:val=&quot;002B3F7E&quot;/&gt;&lt;wsp:rsid wsp:val=&quot;002C1B84&quot;/&gt;&lt;wsp:rsid wsp:val=&quot;002C6998&quot;/&gt;&lt;wsp:rsid wsp:val=&quot;002D0533&quot;/&gt;&lt;wsp:rsid wsp:val=&quot;002D185B&quot;/&gt;&lt;wsp:rsid wsp:val=&quot;002D3236&quot;/&gt;&lt;wsp:rsid wsp:val=&quot;002D4076&quot;/&gt;&lt;wsp:rsid wsp:val=&quot;002E1528&quot;/&gt;&lt;wsp:rsid wsp:val=&quot;002E1A17&quot;/&gt;&lt;wsp:rsid wsp:val=&quot;002E4592&quot;/&gt;&lt;wsp:rsid wsp:val=&quot;002F0E0B&quot;/&gt;&lt;wsp:rsid wsp:val=&quot;002F1609&quot;/&gt;&lt;wsp:rsid wsp:val=&quot;002F5CF5&quot;/&gt;&lt;wsp:rsid wsp:val=&quot;00302D5C&quot;/&gt;&lt;wsp:rsid wsp:val=&quot;0030639B&quot;/&gt;&lt;wsp:rsid wsp:val=&quot;00307DE3&quot;/&gt;&lt;wsp:rsid wsp:val=&quot;00307E1F&quot;/&gt;&lt;wsp:rsid wsp:val=&quot;003101A5&quot;/&gt;&lt;wsp:rsid wsp:val=&quot;00313C86&quot;/&gt;&lt;wsp:rsid wsp:val=&quot;00315B48&quot;/&gt;&lt;wsp:rsid wsp:val=&quot;00316834&quot;/&gt;&lt;wsp:rsid wsp:val=&quot;003174E2&quot;/&gt;&lt;wsp:rsid wsp:val=&quot;00322377&quot;/&gt;&lt;wsp:rsid wsp:val=&quot;00323514&quot;/&gt;&lt;wsp:rsid wsp:val=&quot;00323736&quot;/&gt;&lt;wsp:rsid wsp:val=&quot;00330C1E&quot;/&gt;&lt;wsp:rsid wsp:val=&quot;00332F67&quot;/&gt;&lt;wsp:rsid wsp:val=&quot;003332FC&quot;/&gt;&lt;wsp:rsid wsp:val=&quot;003334E6&quot;/&gt;&lt;wsp:rsid wsp:val=&quot;00334FA4&quot;/&gt;&lt;wsp:rsid wsp:val=&quot;0033507C&quot;/&gt;&lt;wsp:rsid wsp:val=&quot;003377E0&quot;/&gt;&lt;wsp:rsid wsp:val=&quot;0033792C&quot;/&gt;&lt;wsp:rsid wsp:val=&quot;00340A21&quot;/&gt;&lt;wsp:rsid wsp:val=&quot;0034276A&quot;/&gt;&lt;wsp:rsid wsp:val=&quot;00344B26&quot;/&gt;&lt;wsp:rsid wsp:val=&quot;00345681&quot;/&gt;&lt;wsp:rsid wsp:val=&quot;00351836&quot;/&gt;&lt;wsp:rsid wsp:val=&quot;0035291B&quot;/&gt;&lt;wsp:rsid wsp:val=&quot;003555FE&quot;/&gt;&lt;wsp:rsid wsp:val=&quot;003558C3&quot;/&gt;&lt;wsp:rsid wsp:val=&quot;00356AC8&quot;/&gt;&lt;wsp:rsid wsp:val=&quot;003605E5&quot;/&gt;&lt;wsp:rsid wsp:val=&quot;0036116E&quot;/&gt;&lt;wsp:rsid wsp:val=&quot;003641DC&quot;/&gt;&lt;wsp:rsid wsp:val=&quot;003663A0&quot;/&gt;&lt;wsp:rsid wsp:val=&quot;003674C8&quot;/&gt;&lt;wsp:rsid wsp:val=&quot;00370431&quot;/&gt;&lt;wsp:rsid wsp:val=&quot;00370A81&quot;/&gt;&lt;wsp:rsid wsp:val=&quot;00373A6E&quot;/&gt;&lt;wsp:rsid wsp:val=&quot;00374018&quot;/&gt;&lt;wsp:rsid wsp:val=&quot;00374C4A&quot;/&gt;&lt;wsp:rsid wsp:val=&quot;00376197&quot;/&gt;&lt;wsp:rsid wsp:val=&quot;00380C92&quot;/&gt;&lt;wsp:rsid wsp:val=&quot;0038284D&quot;/&gt;&lt;wsp:rsid wsp:val=&quot;0038453C&quot;/&gt;&lt;wsp:rsid wsp:val=&quot;00385625&quot;/&gt;&lt;wsp:rsid wsp:val=&quot;0038617D&quot;/&gt;&lt;wsp:rsid wsp:val=&quot;003867DC&quot;/&gt;&lt;wsp:rsid wsp:val=&quot;003877A0&quot;/&gt;&lt;wsp:rsid wsp:val=&quot;00390928&quot;/&gt;&lt;wsp:rsid wsp:val=&quot;00390FFF&quot;/&gt;&lt;wsp:rsid wsp:val=&quot;00392752&quot;/&gt;&lt;wsp:rsid wsp:val=&quot;0039284A&quot;/&gt;&lt;wsp:rsid wsp:val=&quot;00396121&quot;/&gt;&lt;wsp:rsid wsp:val=&quot;003A0414&quot;/&gt;&lt;wsp:rsid wsp:val=&quot;003A1CDB&quot;/&gt;&lt;wsp:rsid wsp:val=&quot;003A763A&quot;/&gt;&lt;wsp:rsid wsp:val=&quot;003A78FF&quot;/&gt;&lt;wsp:rsid wsp:val=&quot;003B0C9B&quot;/&gt;&lt;wsp:rsid wsp:val=&quot;003B4719&quot;/&gt;&lt;wsp:rsid wsp:val=&quot;003B6FB9&quot;/&gt;&lt;wsp:rsid wsp:val=&quot;003C0245&quot;/&gt;&lt;wsp:rsid wsp:val=&quot;003C0B6E&quot;/&gt;&lt;wsp:rsid wsp:val=&quot;003C38B1&quot;/&gt;&lt;wsp:rsid wsp:val=&quot;003D175A&quot;/&gt;&lt;wsp:rsid wsp:val=&quot;003D17CA&quot;/&gt;&lt;wsp:rsid wsp:val=&quot;003D375A&quot;/&gt;&lt;wsp:rsid wsp:val=&quot;003D4E14&quot;/&gt;&lt;wsp:rsid wsp:val=&quot;003D5136&quot;/&gt;&lt;wsp:rsid wsp:val=&quot;003D75CC&quot;/&gt;&lt;wsp:rsid wsp:val=&quot;003E2527&quot;/&gt;&lt;wsp:rsid wsp:val=&quot;003E3BAD&quot;/&gt;&lt;wsp:rsid wsp:val=&quot;003E5EAB&quot;/&gt;&lt;wsp:rsid wsp:val=&quot;003E62A0&quot;/&gt;&lt;wsp:rsid wsp:val=&quot;003F024A&quot;/&gt;&lt;wsp:rsid wsp:val=&quot;003F1228&quot;/&gt;&lt;wsp:rsid wsp:val=&quot;003F1864&quot;/&gt;&lt;wsp:rsid wsp:val=&quot;003F31C3&quot;/&gt;&lt;wsp:rsid wsp:val=&quot;003F61F9&quot;/&gt;&lt;wsp:rsid wsp:val=&quot;003F64AE&quot;/&gt;&lt;wsp:rsid wsp:val=&quot;00406197&quot;/&gt;&lt;wsp:rsid wsp:val=&quot;00407A67&quot;/&gt;&lt;wsp:rsid wsp:val=&quot;004101DF&quot;/&gt;&lt;wsp:rsid wsp:val=&quot;00413555&quot;/&gt;&lt;wsp:rsid wsp:val=&quot;004150E2&quot;/&gt;&lt;wsp:rsid wsp:val=&quot;00415A5B&quot;/&gt;&lt;wsp:rsid wsp:val=&quot;0042214D&quot;/&gt;&lt;wsp:rsid wsp:val=&quot;00423ACB&quot;/&gt;&lt;wsp:rsid wsp:val=&quot;00425F18&quot;/&gt;&lt;wsp:rsid wsp:val=&quot;00426DBD&quot;/&gt;&lt;wsp:rsid wsp:val=&quot;00431A4C&quot;/&gt;&lt;wsp:rsid wsp:val=&quot;00431C7B&quot;/&gt;&lt;wsp:rsid wsp:val=&quot;00432388&quot;/&gt;&lt;wsp:rsid wsp:val=&quot;0043569B&quot;/&gt;&lt;wsp:rsid wsp:val=&quot;0044042A&quot;/&gt;&lt;wsp:rsid wsp:val=&quot;00444D6F&quot;/&gt;&lt;wsp:rsid wsp:val=&quot;00450C1E&quot;/&gt;&lt;wsp:rsid wsp:val=&quot;004533C3&quot;/&gt;&lt;wsp:rsid wsp:val=&quot;0045431B&quot;/&gt;&lt;wsp:rsid wsp:val=&quot;00456DC1&quot;/&gt;&lt;wsp:rsid wsp:val=&quot;00456FFE&quot;/&gt;&lt;wsp:rsid wsp:val=&quot;00460095&quot;/&gt;&lt;wsp:rsid wsp:val=&quot;004618AD&quot;/&gt;&lt;wsp:rsid wsp:val=&quot;004618BE&quot;/&gt;&lt;wsp:rsid wsp:val=&quot;004654E8&quot;/&gt;&lt;wsp:rsid wsp:val=&quot;0047096C&quot;/&gt;&lt;wsp:rsid wsp:val=&quot;0047131E&quot;/&gt;&lt;wsp:rsid wsp:val=&quot;00471F7A&quot;/&gt;&lt;wsp:rsid wsp:val=&quot;004740D2&quot;/&gt;&lt;wsp:rsid wsp:val=&quot;004804D0&quot;/&gt;&lt;wsp:rsid wsp:val=&quot;00481718&quot;/&gt;&lt;wsp:rsid wsp:val=&quot;00482635&quot;/&gt;&lt;wsp:rsid wsp:val=&quot;0048426F&quot;/&gt;&lt;wsp:rsid wsp:val=&quot;00485852&quot;/&gt;&lt;wsp:rsid wsp:val=&quot;00485D81&quot;/&gt;&lt;wsp:rsid wsp:val=&quot;0048675A&quot;/&gt;&lt;wsp:rsid wsp:val=&quot;00490243&quot;/&gt;&lt;wsp:rsid wsp:val=&quot;00491E33&quot;/&gt;&lt;wsp:rsid wsp:val=&quot;00493252&quot;/&gt;&lt;wsp:rsid wsp:val=&quot;00495522&quot;/&gt;&lt;wsp:rsid wsp:val=&quot;00495940&quot;/&gt;&lt;wsp:rsid wsp:val=&quot;004960A9&quot;/&gt;&lt;wsp:rsid wsp:val=&quot;004976C0&quot;/&gt;&lt;wsp:rsid wsp:val=&quot;004979CB&quot;/&gt;&lt;wsp:rsid wsp:val=&quot;004A0711&quot;/&gt;&lt;wsp:rsid wsp:val=&quot;004B0889&quot;/&gt;&lt;wsp:rsid wsp:val=&quot;004B27C5&quot;/&gt;&lt;wsp:rsid wsp:val=&quot;004B350E&quot;/&gt;&lt;wsp:rsid wsp:val=&quot;004B3C40&quot;/&gt;&lt;wsp:rsid wsp:val=&quot;004C0B34&quot;/&gt;&lt;wsp:rsid wsp:val=&quot;004C21D2&quot;/&gt;&lt;wsp:rsid wsp:val=&quot;004C725C&quot;/&gt;&lt;wsp:rsid wsp:val=&quot;004D07FC&quot;/&gt;&lt;wsp:rsid wsp:val=&quot;004D2084&quot;/&gt;&lt;wsp:rsid wsp:val=&quot;004D3BAF&quot;/&gt;&lt;wsp:rsid wsp:val=&quot;004D661C&quot;/&gt;&lt;wsp:rsid wsp:val=&quot;004E3290&quot;/&gt;&lt;wsp:rsid wsp:val=&quot;004E4031&quot;/&gt;&lt;wsp:rsid wsp:val=&quot;004E6CDF&quot;/&gt;&lt;wsp:rsid wsp:val=&quot;004E77E8&quot;/&gt;&lt;wsp:rsid wsp:val=&quot;004F3C5A&quot;/&gt;&lt;wsp:rsid wsp:val=&quot;004F6DF9&quot;/&gt;&lt;wsp:rsid wsp:val=&quot;0050024B&quot;/&gt;&lt;wsp:rsid wsp:val=&quot;005019ED&quot;/&gt;&lt;wsp:rsid wsp:val=&quot;00501B0B&quot;/&gt;&lt;wsp:rsid wsp:val=&quot;005022B0&quot;/&gt;&lt;wsp:rsid wsp:val=&quot;005054A3&quot;/&gt;&lt;wsp:rsid wsp:val=&quot;005079D8&quot;/&gt;&lt;wsp:rsid wsp:val=&quot;00510DBD&quot;/&gt;&lt;wsp:rsid wsp:val=&quot;00511264&quot;/&gt;&lt;wsp:rsid wsp:val=&quot;00514FD9&quot;/&gt;&lt;wsp:rsid wsp:val=&quot;00516F90&quot;/&gt;&lt;wsp:rsid wsp:val=&quot;0052218B&quot;/&gt;&lt;wsp:rsid wsp:val=&quot;005226C9&quot;/&gt;&lt;wsp:rsid wsp:val=&quot;005268AC&quot;/&gt;&lt;wsp:rsid wsp:val=&quot;00527B5D&quot;/&gt;&lt;wsp:rsid wsp:val=&quot;00530150&quot;/&gt;&lt;wsp:rsid wsp:val=&quot;0053294C&quot;/&gt;&lt;wsp:rsid wsp:val=&quot;00533119&quot;/&gt;&lt;wsp:rsid wsp:val=&quot;00534E69&quot;/&gt;&lt;wsp:rsid wsp:val=&quot;005351F3&quot;/&gt;&lt;wsp:rsid wsp:val=&quot;0053665C&quot;/&gt;&lt;wsp:rsid wsp:val=&quot;005413D8&quot;/&gt;&lt;wsp:rsid wsp:val=&quot;0054282A&quot;/&gt;&lt;wsp:rsid wsp:val=&quot;00545125&quot;/&gt;&lt;wsp:rsid wsp:val=&quot;005508F6&quot;/&gt;&lt;wsp:rsid wsp:val=&quot;0055101C&quot;/&gt;&lt;wsp:rsid wsp:val=&quot;005512E0&quot;/&gt;&lt;wsp:rsid wsp:val=&quot;00553743&quot;/&gt;&lt;wsp:rsid wsp:val=&quot;005568A7&quot;/&gt;&lt;wsp:rsid wsp:val=&quot;00557B90&quot;/&gt;&lt;wsp:rsid wsp:val=&quot;005611AF&quot;/&gt;&lt;wsp:rsid wsp:val=&quot;00561A07&quot;/&gt;&lt;wsp:rsid wsp:val=&quot;00561FF6&quot;/&gt;&lt;wsp:rsid wsp:val=&quot;00562342&quot;/&gt;&lt;wsp:rsid wsp:val=&quot;00562BA9&quot;/&gt;&lt;wsp:rsid wsp:val=&quot;005632BA&quot;/&gt;&lt;wsp:rsid wsp:val=&quot;00571CE9&quot;/&gt;&lt;wsp:rsid wsp:val=&quot;00572210&quot;/&gt;&lt;wsp:rsid wsp:val=&quot;0057315D&quot;/&gt;&lt;wsp:rsid wsp:val=&quot;005737CE&quot;/&gt;&lt;wsp:rsid wsp:val=&quot;00575A87&quot;/&gt;&lt;wsp:rsid wsp:val=&quot;00576245&quot;/&gt;&lt;wsp:rsid wsp:val=&quot;00583B0B&quot;/&gt;&lt;wsp:rsid wsp:val=&quot;00583B30&quot;/&gt;&lt;wsp:rsid wsp:val=&quot;00585E84&quot;/&gt;&lt;wsp:rsid wsp:val=&quot;00586510&quot;/&gt;&lt;wsp:rsid wsp:val=&quot;00593B8E&quot;/&gt;&lt;wsp:rsid wsp:val=&quot;00593C4D&quot;/&gt;&lt;wsp:rsid wsp:val=&quot;005963FA&quot;/&gt;&lt;wsp:rsid wsp:val=&quot;00597399&quot;/&gt;&lt;wsp:rsid wsp:val=&quot;005A10BB&quot;/&gt;&lt;wsp:rsid wsp:val=&quot;005A1835&quot;/&gt;&lt;wsp:rsid wsp:val=&quot;005A268D&quot;/&gt;&lt;wsp:rsid wsp:val=&quot;005A54F4&quot;/&gt;&lt;wsp:rsid wsp:val=&quot;005A59D4&quot;/&gt;&lt;wsp:rsid wsp:val=&quot;005B34B0&quot;/&gt;&lt;wsp:rsid wsp:val=&quot;005B4B24&quot;/&gt;&lt;wsp:rsid wsp:val=&quot;005B6A7E&quot;/&gt;&lt;wsp:rsid wsp:val=&quot;005B7B42&quot;/&gt;&lt;wsp:rsid wsp:val=&quot;005C0BA6&quot;/&gt;&lt;wsp:rsid wsp:val=&quot;005C0D76&quot;/&gt;&lt;wsp:rsid wsp:val=&quot;005C4C55&quot;/&gt;&lt;wsp:rsid wsp:val=&quot;005C5072&quot;/&gt;&lt;wsp:rsid wsp:val=&quot;005C6A6C&quot;/&gt;&lt;wsp:rsid wsp:val=&quot;005C6E07&quot;/&gt;&lt;wsp:rsid wsp:val=&quot;005C7AC0&quot;/&gt;&lt;wsp:rsid wsp:val=&quot;005C7C36&quot;/&gt;&lt;wsp:rsid wsp:val=&quot;005D00AB&quot;/&gt;&lt;wsp:rsid wsp:val=&quot;005D0B9C&quot;/&gt;&lt;wsp:rsid wsp:val=&quot;005D2627&quot;/&gt;&lt;wsp:rsid wsp:val=&quot;005D4658&quot;/&gt;&lt;wsp:rsid wsp:val=&quot;005D5AD6&quot;/&gt;&lt;wsp:rsid wsp:val=&quot;005E33CB&quot;/&gt;&lt;wsp:rsid wsp:val=&quot;005E3701&quot;/&gt;&lt;wsp:rsid wsp:val=&quot;005E3DE7&quot;/&gt;&lt;wsp:rsid wsp:val=&quot;005E598F&quot;/&gt;&lt;wsp:rsid wsp:val=&quot;005E6C2D&quot;/&gt;&lt;wsp:rsid wsp:val=&quot;005F2505&quot;/&gt;&lt;wsp:rsid wsp:val=&quot;00600A8B&quot;/&gt;&lt;wsp:rsid wsp:val=&quot;006035B0&quot;/&gt;&lt;wsp:rsid wsp:val=&quot;006037BF&quot;/&gt;&lt;wsp:rsid wsp:val=&quot;006055EF&quot;/&gt;&lt;wsp:rsid wsp:val=&quot;00614564&quot;/&gt;&lt;wsp:rsid wsp:val=&quot;006146A8&quot;/&gt;&lt;wsp:rsid wsp:val=&quot;00616883&quot;/&gt;&lt;wsp:rsid wsp:val=&quot;006200B1&quot;/&gt;&lt;wsp:rsid wsp:val=&quot;00621130&quot;/&gt;&lt;wsp:rsid wsp:val=&quot;0062372F&quot;/&gt;&lt;wsp:rsid wsp:val=&quot;00623A63&quot;/&gt;&lt;wsp:rsid wsp:val=&quot;00623B96&quot;/&gt;&lt;wsp:rsid wsp:val=&quot;00626635&quot;/&gt;&lt;wsp:rsid wsp:val=&quot;00631793&quot;/&gt;&lt;wsp:rsid wsp:val=&quot;00634501&quot;/&gt;&lt;wsp:rsid wsp:val=&quot;00635A7A&quot;/&gt;&lt;wsp:rsid wsp:val=&quot;006364AE&quot;/&gt;&lt;wsp:rsid wsp:val=&quot;006402BA&quot;/&gt;&lt;wsp:rsid wsp:val=&quot;00643CC8&quot;/&gt;&lt;wsp:rsid wsp:val=&quot;00646898&quot;/&gt;&lt;wsp:rsid wsp:val=&quot;00647DFD&quot;/&gt;&lt;wsp:rsid wsp:val=&quot;00650D34&quot;/&gt;&lt;wsp:rsid wsp:val=&quot;00651D06&quot;/&gt;&lt;wsp:rsid wsp:val=&quot;006538BD&quot;/&gt;&lt;wsp:rsid wsp:val=&quot;006538FC&quot;/&gt;&lt;wsp:rsid wsp:val=&quot;00653C92&quot;/&gt;&lt;wsp:rsid wsp:val=&quot;00656E84&quot;/&gt;&lt;wsp:rsid wsp:val=&quot;00660B03&quot;/&gt;&lt;wsp:rsid wsp:val=&quot;006618FB&quot;/&gt;&lt;wsp:rsid wsp:val=&quot;00662054&quot;/&gt;&lt;wsp:rsid wsp:val=&quot;00664FA3&quot;/&gt;&lt;wsp:rsid wsp:val=&quot;00666097&quot;/&gt;&lt;wsp:rsid wsp:val=&quot;00672E22&quot;/&gt;&lt;wsp:rsid wsp:val=&quot;00673009&quot;/&gt;&lt;wsp:rsid wsp:val=&quot;0067461D&quot;/&gt;&lt;wsp:rsid wsp:val=&quot;006755D5&quot;/&gt;&lt;wsp:rsid wsp:val=&quot;0067585C&quot;/&gt;&lt;wsp:rsid wsp:val=&quot;00675B8E&quot;/&gt;&lt;wsp:rsid wsp:val=&quot;0068116A&quot;/&gt;&lt;wsp:rsid wsp:val=&quot;00681CA8&quot;/&gt;&lt;wsp:rsid wsp:val=&quot;0068436B&quot;/&gt;&lt;wsp:rsid wsp:val=&quot;00685105&quot;/&gt;&lt;wsp:rsid wsp:val=&quot;00686B23&quot;/&gt;&lt;wsp:rsid wsp:val=&quot;00691773&quot;/&gt;&lt;wsp:rsid wsp:val=&quot;00692EC2&quot;/&gt;&lt;wsp:rsid wsp:val=&quot;006931AF&quot;/&gt;&lt;wsp:rsid wsp:val=&quot;0069411C&quot;/&gt;&lt;wsp:rsid wsp:val=&quot;006955A5&quot;/&gt;&lt;wsp:rsid wsp:val=&quot;00695B77&quot;/&gt;&lt;wsp:rsid wsp:val=&quot;00696B51&quot;/&gt;&lt;wsp:rsid wsp:val=&quot;006A0434&quot;/&gt;&lt;wsp:rsid wsp:val=&quot;006A08EB&quot;/&gt;&lt;wsp:rsid wsp:val=&quot;006A6EDE&quot;/&gt;&lt;wsp:rsid wsp:val=&quot;006A7C51&quot;/&gt;&lt;wsp:rsid wsp:val=&quot;006B42EC&quot;/&gt;&lt;wsp:rsid wsp:val=&quot;006B60CD&quot;/&gt;&lt;wsp:rsid wsp:val=&quot;006B765D&quot;/&gt;&lt;wsp:rsid wsp:val=&quot;006B7F4B&quot;/&gt;&lt;wsp:rsid wsp:val=&quot;006C1631&quot;/&gt;&lt;wsp:rsid wsp:val=&quot;006C2D86&quot;/&gt;&lt;wsp:rsid wsp:val=&quot;006C5249&quot;/&gt;&lt;wsp:rsid wsp:val=&quot;006C5379&quot;/&gt;&lt;wsp:rsid wsp:val=&quot;006C5F99&quot;/&gt;&lt;wsp:rsid wsp:val=&quot;006C7498&quot;/&gt;&lt;wsp:rsid wsp:val=&quot;006C7B6F&quot;/&gt;&lt;wsp:rsid wsp:val=&quot;006D142F&quot;/&gt;&lt;wsp:rsid wsp:val=&quot;006D2100&quot;/&gt;&lt;wsp:rsid wsp:val=&quot;006D4D40&quot;/&gt;&lt;wsp:rsid wsp:val=&quot;006D59B4&quot;/&gt;&lt;wsp:rsid wsp:val=&quot;006D6E62&quot;/&gt;&lt;wsp:rsid wsp:val=&quot;006D7D0D&quot;/&gt;&lt;wsp:rsid wsp:val=&quot;006E11B4&quot;/&gt;&lt;wsp:rsid wsp:val=&quot;006E1CE5&quot;/&gt;&lt;wsp:rsid wsp:val=&quot;006E35D8&quot;/&gt;&lt;wsp:rsid wsp:val=&quot;006E3E74&quot;/&gt;&lt;wsp:rsid wsp:val=&quot;006E4591&quot;/&gt;&lt;wsp:rsid wsp:val=&quot;006E5989&quot;/&gt;&lt;wsp:rsid wsp:val=&quot;006E777E&quot;/&gt;&lt;wsp:rsid wsp:val=&quot;006E792D&quot;/&gt;&lt;wsp:rsid wsp:val=&quot;006F23F0&quot;/&gt;&lt;wsp:rsid wsp:val=&quot;006F3BCD&quot;/&gt;&lt;wsp:rsid wsp:val=&quot;006F593E&quot;/&gt;&lt;wsp:rsid wsp:val=&quot;007014D4&quot;/&gt;&lt;wsp:rsid wsp:val=&quot;00702227&quot;/&gt;&lt;wsp:rsid wsp:val=&quot;007024E9&quot;/&gt;&lt;wsp:rsid wsp:val=&quot;00706753&quot;/&gt;&lt;wsp:rsid wsp:val=&quot;0070736D&quot;/&gt;&lt;wsp:rsid wsp:val=&quot;0071122E&quot;/&gt;&lt;wsp:rsid wsp:val=&quot;00711860&quot;/&gt;&lt;wsp:rsid wsp:val=&quot;007134C2&quot;/&gt;&lt;wsp:rsid wsp:val=&quot;00715E11&quot;/&gt;&lt;wsp:rsid wsp:val=&quot;007221D1&quot;/&gt;&lt;wsp:rsid wsp:val=&quot;00724677&quot;/&gt;&lt;wsp:rsid wsp:val=&quot;007279CC&quot;/&gt;&lt;wsp:rsid wsp:val=&quot;007352EC&quot;/&gt;&lt;wsp:rsid wsp:val=&quot;007361C6&quot;/&gt;&lt;wsp:rsid wsp:val=&quot;0074121B&quot;/&gt;&lt;wsp:rsid wsp:val=&quot;00741A68&quot;/&gt;&lt;wsp:rsid wsp:val=&quot;00741CE1&quot;/&gt;&lt;wsp:rsid wsp:val=&quot;00742394&quot;/&gt;&lt;wsp:rsid wsp:val=&quot;00742C2D&quot;/&gt;&lt;wsp:rsid wsp:val=&quot;0074388E&quot;/&gt;&lt;wsp:rsid wsp:val=&quot;00743B27&quot;/&gt;&lt;wsp:rsid wsp:val=&quot;0075153B&quot;/&gt;&lt;wsp:rsid wsp:val=&quot;007542BC&quot;/&gt;&lt;wsp:rsid wsp:val=&quot;00756523&quot;/&gt;&lt;wsp:rsid wsp:val=&quot;00756D65&quot;/&gt;&lt;wsp:rsid wsp:val=&quot;007576B0&quot;/&gt;&lt;wsp:rsid wsp:val=&quot;007614D1&quot;/&gt;&lt;wsp:rsid wsp:val=&quot;00765CCF&quot;/&gt;&lt;wsp:rsid wsp:val=&quot;00770BFD&quot;/&gt;&lt;wsp:rsid wsp:val=&quot;00775127&quot;/&gt;&lt;wsp:rsid wsp:val=&quot;00775FEC&quot;/&gt;&lt;wsp:rsid wsp:val=&quot;007760B0&quot;/&gt;&lt;wsp:rsid wsp:val=&quot;007819E1&quot;/&gt;&lt;wsp:rsid wsp:val=&quot;00782FD2&quot;/&gt;&lt;wsp:rsid wsp:val=&quot;00783BB5&quot;/&gt;&lt;wsp:rsid wsp:val=&quot;00787A4F&quot;/&gt;&lt;wsp:rsid wsp:val=&quot;007920A5&quot;/&gt;&lt;wsp:rsid wsp:val=&quot;00792794&quot;/&gt;&lt;wsp:rsid wsp:val=&quot;007934FE&quot;/&gt;&lt;wsp:rsid wsp:val=&quot;0079536D&quot;/&gt;&lt;wsp:rsid wsp:val=&quot;007A140D&quot;/&gt;&lt;wsp:rsid wsp:val=&quot;007A1436&quot;/&gt;&lt;wsp:rsid wsp:val=&quot;007A462A&quot;/&gt;&lt;wsp:rsid wsp:val=&quot;007A4D64&quot;/&gt;&lt;wsp:rsid wsp:val=&quot;007A6BB9&quot;/&gt;&lt;wsp:rsid wsp:val=&quot;007A7F37&quot;/&gt;&lt;wsp:rsid wsp:val=&quot;007B19F9&quot;/&gt;&lt;wsp:rsid wsp:val=&quot;007B2E37&quot;/&gt;&lt;wsp:rsid wsp:val=&quot;007C0DCE&quot;/&gt;&lt;wsp:rsid wsp:val=&quot;007C5BE6&quot;/&gt;&lt;wsp:rsid wsp:val=&quot;007D0A0A&quot;/&gt;&lt;wsp:rsid wsp:val=&quot;007D224E&quot;/&gt;&lt;wsp:rsid wsp:val=&quot;007D3197&quot;/&gt;&lt;wsp:rsid wsp:val=&quot;007D35F5&quot;/&gt;&lt;wsp:rsid wsp:val=&quot;007D53D4&quot;/&gt;&lt;wsp:rsid wsp:val=&quot;007D679F&quot;/&gt;&lt;wsp:rsid wsp:val=&quot;007E0858&quot;/&gt;&lt;wsp:rsid wsp:val=&quot;007E0CCA&quot;/&gt;&lt;wsp:rsid wsp:val=&quot;007E658E&quot;/&gt;&lt;wsp:rsid wsp:val=&quot;007F073E&quot;/&gt;&lt;wsp:rsid wsp:val=&quot;007F0DED&quot;/&gt;&lt;wsp:rsid wsp:val=&quot;007F14A9&quot;/&gt;&lt;wsp:rsid wsp:val=&quot;007F1AD0&quot;/&gt;&lt;wsp:rsid wsp:val=&quot;007F1BF4&quot;/&gt;&lt;wsp:rsid wsp:val=&quot;007F64B6&quot;/&gt;&lt;wsp:rsid wsp:val=&quot;008045FD&quot;/&gt;&lt;wsp:rsid wsp:val=&quot;008114E1&quot;/&gt;&lt;wsp:rsid wsp:val=&quot;0082275A&quot;/&gt;&lt;wsp:rsid wsp:val=&quot;008234B6&quot;/&gt;&lt;wsp:rsid wsp:val=&quot;00831A3A&quot;/&gt;&lt;wsp:rsid wsp:val=&quot;00835F3A&quot;/&gt;&lt;wsp:rsid wsp:val=&quot;00836EF2&quot;/&gt;&lt;wsp:rsid wsp:val=&quot;00843D00&quot;/&gt;&lt;wsp:rsid wsp:val=&quot;008459E2&quot;/&gt;&lt;wsp:rsid wsp:val=&quot;00846100&quot;/&gt;&lt;wsp:rsid wsp:val=&quot;00847380&quot;/&gt;&lt;wsp:rsid wsp:val=&quot;00851936&quot;/&gt;&lt;wsp:rsid wsp:val=&quot;008569E8&quot;/&gt;&lt;wsp:rsid wsp:val=&quot;00860457&quot;/&gt;&lt;wsp:rsid wsp:val=&quot;00861B38&quot;/&gt;&lt;wsp:rsid wsp:val=&quot;00867044&quot;/&gt;&lt;wsp:rsid wsp:val=&quot;00867737&quot;/&gt;&lt;wsp:rsid wsp:val=&quot;00876042&quot;/&gt;&lt;wsp:rsid wsp:val=&quot;008817C0&quot;/&gt;&lt;wsp:rsid wsp:val=&quot;00882535&quot;/&gt;&lt;wsp:rsid wsp:val=&quot;00884E3C&quot;/&gt;&lt;wsp:rsid wsp:val=&quot;008914B5&quot;/&gt;&lt;wsp:rsid wsp:val=&quot;00891B84&quot;/&gt;&lt;wsp:rsid wsp:val=&quot;0089225E&quot;/&gt;&lt;wsp:rsid wsp:val=&quot;00893F4E&quot;/&gt;&lt;wsp:rsid wsp:val=&quot;00894A5C&quot;/&gt;&lt;wsp:rsid wsp:val=&quot;00895FAF&quot;/&gt;&lt;wsp:rsid wsp:val=&quot;008964E3&quot;/&gt;&lt;wsp:rsid wsp:val=&quot;008969C9&quot;/&gt;&lt;wsp:rsid wsp:val=&quot;00897242&quot;/&gt;&lt;wsp:rsid wsp:val=&quot;0089749F&quot;/&gt;&lt;wsp:rsid wsp:val=&quot;008A064A&quot;/&gt;&lt;wsp:rsid wsp:val=&quot;008A11EA&quot;/&gt;&lt;wsp:rsid wsp:val=&quot;008A788D&quot;/&gt;&lt;wsp:rsid wsp:val=&quot;008B06A9&quot;/&gt;&lt;wsp:rsid wsp:val=&quot;008B1779&quot;/&gt;&lt;wsp:rsid wsp:val=&quot;008B316E&quot;/&gt;&lt;wsp:rsid wsp:val=&quot;008B5F0C&quot;/&gt;&lt;wsp:rsid wsp:val=&quot;008B7C6C&quot;/&gt;&lt;wsp:rsid wsp:val=&quot;008C1E87&quot;/&gt;&lt;wsp:rsid wsp:val=&quot;008D05EE&quot;/&gt;&lt;wsp:rsid wsp:val=&quot;008D4AAA&quot;/&gt;&lt;wsp:rsid wsp:val=&quot;008D5A4D&quot;/&gt;&lt;wsp:rsid wsp:val=&quot;008D6431&quot;/&gt;&lt;wsp:rsid wsp:val=&quot;008E2618&quot;/&gt;&lt;wsp:rsid wsp:val=&quot;008E3373&quot;/&gt;&lt;wsp:rsid wsp:val=&quot;008E5F5E&quot;/&gt;&lt;wsp:rsid wsp:val=&quot;008E6D3D&quot;/&gt;&lt;wsp:rsid wsp:val=&quot;008F0BD9&quot;/&gt;&lt;wsp:rsid wsp:val=&quot;008F20DB&quot;/&gt;&lt;wsp:rsid wsp:val=&quot;008F278E&quot;/&gt;&lt;wsp:rsid wsp:val=&quot;008F3380&quot;/&gt;&lt;wsp:rsid wsp:val=&quot;008F44CF&quot;/&gt;&lt;wsp:rsid wsp:val=&quot;008F4595&quot;/&gt;&lt;wsp:rsid wsp:val=&quot;00900309&quot;/&gt;&lt;wsp:rsid wsp:val=&quot;009006BB&quot;/&gt;&lt;wsp:rsid wsp:val=&quot;00902311&quot;/&gt;&lt;wsp:rsid wsp:val=&quot;00902678&quot;/&gt;&lt;wsp:rsid wsp:val=&quot;00902F7E&quot;/&gt;&lt;wsp:rsid wsp:val=&quot;009106B7&quot;/&gt;&lt;wsp:rsid wsp:val=&quot;0091074B&quot;/&gt;&lt;wsp:rsid wsp:val=&quot;00911DFF&quot;/&gt;&lt;wsp:rsid wsp:val=&quot;00912C99&quot;/&gt;&lt;wsp:rsid wsp:val=&quot;0091596B&quot;/&gt;&lt;wsp:rsid wsp:val=&quot;00916174&quot;/&gt;&lt;wsp:rsid wsp:val=&quot;00917568&quot;/&gt;&lt;wsp:rsid wsp:val=&quot;009249C7&quot;/&gt;&lt;wsp:rsid wsp:val=&quot;0092796B&quot;/&gt;&lt;wsp:rsid wsp:val=&quot;00932E50&quot;/&gt;&lt;wsp:rsid wsp:val=&quot;00933882&quot;/&gt;&lt;wsp:rsid wsp:val=&quot;00934B11&quot;/&gt;&lt;wsp:rsid wsp:val=&quot;009373EA&quot;/&gt;&lt;wsp:rsid wsp:val=&quot;00944D32&quot;/&gt;&lt;wsp:rsid wsp:val=&quot;009470A8&quot;/&gt;&lt;wsp:rsid wsp:val=&quot;00954387&quot;/&gt;&lt;wsp:rsid wsp:val=&quot;009559CD&quot;/&gt;&lt;wsp:rsid wsp:val=&quot;00960FD3&quot;/&gt;&lt;wsp:rsid wsp:val=&quot;0097071E&quot;/&gt;&lt;wsp:rsid wsp:val=&quot;00970980&quot;/&gt;&lt;wsp:rsid wsp:val=&quot;009715BB&quot;/&gt;&lt;wsp:rsid wsp:val=&quot;00975449&quot;/&gt;&lt;wsp:rsid wsp:val=&quot;00975D6F&quot;/&gt;&lt;wsp:rsid wsp:val=&quot;00980B2B&quot;/&gt;&lt;wsp:rsid wsp:val=&quot;00980BC3&quot;/&gt;&lt;wsp:rsid wsp:val=&quot;0098371D&quot;/&gt;&lt;wsp:rsid wsp:val=&quot;00993B0E&quot;/&gt;&lt;wsp:rsid wsp:val=&quot;00994C36&quot;/&gt;&lt;wsp:rsid wsp:val=&quot;009974B9&quot;/&gt;&lt;wsp:rsid wsp:val=&quot;00997FED&quot;/&gt;&lt;wsp:rsid wsp:val=&quot;009A0A2A&quot;/&gt;&lt;wsp:rsid wsp:val=&quot;009A41D6&quot;/&gt;&lt;wsp:rsid wsp:val=&quot;009B0FA4&quot;/&gt;&lt;wsp:rsid wsp:val=&quot;009B3F32&quot;/&gt;&lt;wsp:rsid wsp:val=&quot;009B57AC&quot;/&gt;&lt;wsp:rsid wsp:val=&quot;009B7B28&quot;/&gt;&lt;wsp:rsid wsp:val=&quot;009C4702&quot;/&gt;&lt;wsp:rsid wsp:val=&quot;009C49AD&quot;/&gt;&lt;wsp:rsid wsp:val=&quot;009E1B8C&quot;/&gt;&lt;wsp:rsid wsp:val=&quot;009F021A&quot;/&gt;&lt;wsp:rsid wsp:val=&quot;009F3E88&quot;/&gt;&lt;wsp:rsid wsp:val=&quot;009F5FF6&quot;/&gt;&lt;wsp:rsid wsp:val=&quot;009F6EA5&quot;/&gt;&lt;wsp:rsid wsp:val=&quot;00A00430&quot;/&gt;&lt;wsp:rsid wsp:val=&quot;00A01D03&quot;/&gt;&lt;wsp:rsid wsp:val=&quot;00A0349A&quot;/&gt;&lt;wsp:rsid wsp:val=&quot;00A05B64&quot;/&gt;&lt;wsp:rsid wsp:val=&quot;00A078D1&quot;/&gt;&lt;wsp:rsid wsp:val=&quot;00A11903&quot;/&gt;&lt;wsp:rsid wsp:val=&quot;00A12928&quot;/&gt;&lt;wsp:rsid wsp:val=&quot;00A13CF6&quot;/&gt;&lt;wsp:rsid wsp:val=&quot;00A166EF&quot;/&gt;&lt;wsp:rsid wsp:val=&quot;00A17061&quot;/&gt;&lt;wsp:rsid wsp:val=&quot;00A22290&quot;/&gt;&lt;wsp:rsid wsp:val=&quot;00A24A72&quot;/&gt;&lt;wsp:rsid wsp:val=&quot;00A26A8E&quot;/&gt;&lt;wsp:rsid wsp:val=&quot;00A26BAF&quot;/&gt;&lt;wsp:rsid wsp:val=&quot;00A27917&quot;/&gt;&lt;wsp:rsid wsp:val=&quot;00A32F80&quot;/&gt;&lt;wsp:rsid wsp:val=&quot;00A345F3&quot;/&gt;&lt;wsp:rsid wsp:val=&quot;00A403CF&quot;/&gt;&lt;wsp:rsid wsp:val=&quot;00A419B9&quot;/&gt;&lt;wsp:rsid wsp:val=&quot;00A42A84&quot;/&gt;&lt;wsp:rsid wsp:val=&quot;00A43BA5&quot;/&gt;&lt;wsp:rsid wsp:val=&quot;00A45B4C&quot;/&gt;&lt;wsp:rsid wsp:val=&quot;00A50828&quot;/&gt;&lt;wsp:rsid wsp:val=&quot;00A55864&quot;/&gt;&lt;wsp:rsid wsp:val=&quot;00A57330&quot;/&gt;&lt;wsp:rsid wsp:val=&quot;00A64204&quot;/&gt;&lt;wsp:rsid wsp:val=&quot;00A642B1&quot;/&gt;&lt;wsp:rsid wsp:val=&quot;00A66A54&quot;/&gt;&lt;wsp:rsid wsp:val=&quot;00A66D4A&quot;/&gt;&lt;wsp:rsid wsp:val=&quot;00A72A05&quot;/&gt;&lt;wsp:rsid wsp:val=&quot;00A77529&quot;/&gt;&lt;wsp:rsid wsp:val=&quot;00A811CC&quot;/&gt;&lt;wsp:rsid wsp:val=&quot;00A81F02&quot;/&gt;&lt;wsp:rsid wsp:val=&quot;00A8274D&quot;/&gt;&lt;wsp:rsid wsp:val=&quot;00A831B7&quot;/&gt;&lt;wsp:rsid wsp:val=&quot;00A83789&quot;/&gt;&lt;wsp:rsid wsp:val=&quot;00A86DF0&quot;/&gt;&lt;wsp:rsid wsp:val=&quot;00A905BE&quot;/&gt;&lt;wsp:rsid wsp:val=&quot;00A91049&quot;/&gt;&lt;wsp:rsid wsp:val=&quot;00A928A8&quot;/&gt;&lt;wsp:rsid wsp:val=&quot;00A94253&quot;/&gt;&lt;wsp:rsid wsp:val=&quot;00A95FAF&quot;/&gt;&lt;wsp:rsid wsp:val=&quot;00A97B6B&quot;/&gt;&lt;wsp:rsid wsp:val=&quot;00AA3E8A&quot;/&gt;&lt;wsp:rsid wsp:val=&quot;00AA7EFA&quot;/&gt;&lt;wsp:rsid wsp:val=&quot;00AB0598&quot;/&gt;&lt;wsp:rsid wsp:val=&quot;00AB436C&quot;/&gt;&lt;wsp:rsid wsp:val=&quot;00AB5496&quot;/&gt;&lt;wsp:rsid wsp:val=&quot;00AC0907&quot;/&gt;&lt;wsp:rsid wsp:val=&quot;00AC1CE9&quot;/&gt;&lt;wsp:rsid wsp:val=&quot;00AC2E8F&quot;/&gt;&lt;wsp:rsid wsp:val=&quot;00AC37D5&quot;/&gt;&lt;wsp:rsid wsp:val=&quot;00AC7A65&quot;/&gt;&lt;wsp:rsid wsp:val=&quot;00AD0FE9&quot;/&gt;&lt;wsp:rsid wsp:val=&quot;00AD3FDC&quot;/&gt;&lt;wsp:rsid wsp:val=&quot;00AD6068&quot;/&gt;&lt;wsp:rsid wsp:val=&quot;00AD6621&quot;/&gt;&lt;wsp:rsid wsp:val=&quot;00AD6B92&quot;/&gt;&lt;wsp:rsid wsp:val=&quot;00AD6BC1&quot;/&gt;&lt;wsp:rsid wsp:val=&quot;00AE2130&quot;/&gt;&lt;wsp:rsid wsp:val=&quot;00AE34C5&quot;/&gt;&lt;wsp:rsid wsp:val=&quot;00AE5253&quot;/&gt;&lt;wsp:rsid wsp:val=&quot;00AE61BE&quot;/&gt;&lt;wsp:rsid wsp:val=&quot;00AE670E&quot;/&gt;&lt;wsp:rsid wsp:val=&quot;00AF2188&quot;/&gt;&lt;wsp:rsid wsp:val=&quot;00AF56CD&quot;/&gt;&lt;wsp:rsid wsp:val=&quot;00AF7B19&quot;/&gt;&lt;wsp:rsid wsp:val=&quot;00B007F5&quot;/&gt;&lt;wsp:rsid wsp:val=&quot;00B00A94&quot;/&gt;&lt;wsp:rsid wsp:val=&quot;00B00F1F&quot;/&gt;&lt;wsp:rsid wsp:val=&quot;00B017EF&quot;/&gt;&lt;wsp:rsid wsp:val=&quot;00B01803&quot;/&gt;&lt;wsp:rsid wsp:val=&quot;00B02737&quot;/&gt;&lt;wsp:rsid wsp:val=&quot;00B03CCC&quot;/&gt;&lt;wsp:rsid wsp:val=&quot;00B04703&quot;/&gt;&lt;wsp:rsid wsp:val=&quot;00B04C03&quot;/&gt;&lt;wsp:rsid wsp:val=&quot;00B07325&quot;/&gt;&lt;wsp:rsid wsp:val=&quot;00B10D83&quot;/&gt;&lt;wsp:rsid wsp:val=&quot;00B119E0&quot;/&gt;&lt;wsp:rsid wsp:val=&quot;00B149B2&quot;/&gt;&lt;wsp:rsid wsp:val=&quot;00B20F4E&quot;/&gt;&lt;wsp:rsid wsp:val=&quot;00B3009D&quot;/&gt;&lt;wsp:rsid wsp:val=&quot;00B32918&quot;/&gt;&lt;wsp:rsid wsp:val=&quot;00B34792&quot;/&gt;&lt;wsp:rsid wsp:val=&quot;00B353A7&quot;/&gt;&lt;wsp:rsid wsp:val=&quot;00B35558&quot;/&gt;&lt;wsp:rsid wsp:val=&quot;00B3555F&quot;/&gt;&lt;wsp:rsid wsp:val=&quot;00B356E1&quot;/&gt;&lt;wsp:rsid wsp:val=&quot;00B35BE2&quot;/&gt;&lt;wsp:rsid wsp:val=&quot;00B40133&quot;/&gt;&lt;wsp:rsid wsp:val=&quot;00B41576&quot;/&gt;&lt;wsp:rsid wsp:val=&quot;00B43A1B&quot;/&gt;&lt;wsp:rsid wsp:val=&quot;00B43B6A&quot;/&gt;&lt;wsp:rsid wsp:val=&quot;00B446B1&quot;/&gt;&lt;wsp:rsid wsp:val=&quot;00B4558D&quot;/&gt;&lt;wsp:rsid wsp:val=&quot;00B50692&quot;/&gt;&lt;wsp:rsid wsp:val=&quot;00B50D02&quot;/&gt;&lt;wsp:rsid wsp:val=&quot;00B543F9&quot;/&gt;&lt;wsp:rsid wsp:val=&quot;00B55829&quot;/&gt;&lt;wsp:rsid wsp:val=&quot;00B57749&quot;/&gt;&lt;wsp:rsid wsp:val=&quot;00B57821&quot;/&gt;&lt;wsp:rsid wsp:val=&quot;00B61890&quot;/&gt;&lt;wsp:rsid wsp:val=&quot;00B63DE4&quot;/&gt;&lt;wsp:rsid wsp:val=&quot;00B65B70&quot;/&gt;&lt;wsp:rsid wsp:val=&quot;00B65F00&quot;/&gt;&lt;wsp:rsid wsp:val=&quot;00B66BF6&quot;/&gt;&lt;wsp:rsid wsp:val=&quot;00B72790&quot;/&gt;&lt;wsp:rsid wsp:val=&quot;00B743E2&quot;/&gt;&lt;wsp:rsid wsp:val=&quot;00B80166&quot;/&gt;&lt;wsp:rsid wsp:val=&quot;00B80FAD&quot;/&gt;&lt;wsp:rsid wsp:val=&quot;00B83017&quot;/&gt;&lt;wsp:rsid wsp:val=&quot;00B86007&quot;/&gt;&lt;wsp:rsid wsp:val=&quot;00B90624&quot;/&gt;&lt;wsp:rsid wsp:val=&quot;00B90BCC&quot;/&gt;&lt;wsp:rsid wsp:val=&quot;00B937C8&quot;/&gt;&lt;wsp:rsid wsp:val=&quot;00B93B88&quot;/&gt;&lt;wsp:rsid wsp:val=&quot;00B94FDC&quot;/&gt;&lt;wsp:rsid wsp:val=&quot;00B961F4&quot;/&gt;&lt;wsp:rsid wsp:val=&quot;00B96539&quot;/&gt;&lt;wsp:rsid wsp:val=&quot;00B97E3F&quot;/&gt;&lt;wsp:rsid wsp:val=&quot;00BA1577&quot;/&gt;&lt;wsp:rsid wsp:val=&quot;00BA47A1&quot;/&gt;&lt;wsp:rsid wsp:val=&quot;00BA620A&quot;/&gt;&lt;wsp:rsid wsp:val=&quot;00BA6D42&quot;/&gt;&lt;wsp:rsid wsp:val=&quot;00BB075C&quot;/&gt;&lt;wsp:rsid wsp:val=&quot;00BB4D2F&quot;/&gt;&lt;wsp:rsid wsp:val=&quot;00BB5F58&quot;/&gt;&lt;wsp:rsid wsp:val=&quot;00BB6132&quot;/&gt;&lt;wsp:rsid wsp:val=&quot;00BB6348&quot;/&gt;&lt;wsp:rsid wsp:val=&quot;00BB7B0C&quot;/&gt;&lt;wsp:rsid wsp:val=&quot;00BC383A&quot;/&gt;&lt;wsp:rsid wsp:val=&quot;00BC7376&quot;/&gt;&lt;wsp:rsid wsp:val=&quot;00BC7791&quot;/&gt;&lt;wsp:rsid wsp:val=&quot;00BC7D37&quot;/&gt;&lt;wsp:rsid wsp:val=&quot;00BD0E78&quot;/&gt;&lt;wsp:rsid wsp:val=&quot;00BD2744&quot;/&gt;&lt;wsp:rsid wsp:val=&quot;00BD4F46&quot;/&gt;&lt;wsp:rsid wsp:val=&quot;00BE1C11&quot;/&gt;&lt;wsp:rsid wsp:val=&quot;00BE35AA&quot;/&gt;&lt;wsp:rsid wsp:val=&quot;00BE3B0F&quot;/&gt;&lt;wsp:rsid wsp:val=&quot;00BE4D11&quot;/&gt;&lt;wsp:rsid wsp:val=&quot;00BF44F0&quot;/&gt;&lt;wsp:rsid wsp:val=&quot;00C10220&quot;/&gt;&lt;wsp:rsid wsp:val=&quot;00C16A63&quot;/&gt;&lt;wsp:rsid wsp:val=&quot;00C1749B&quot;/&gt;&lt;wsp:rsid wsp:val=&quot;00C25490&quot;/&gt;&lt;wsp:rsid wsp:val=&quot;00C25899&quot;/&gt;&lt;wsp:rsid wsp:val=&quot;00C25BDC&quot;/&gt;&lt;wsp:rsid wsp:val=&quot;00C2623C&quot;/&gt;&lt;wsp:rsid wsp:val=&quot;00C26E51&quot;/&gt;&lt;wsp:rsid wsp:val=&quot;00C31E69&quot;/&gt;&lt;wsp:rsid wsp:val=&quot;00C33335&quot;/&gt;&lt;wsp:rsid wsp:val=&quot;00C37339&quot;/&gt;&lt;wsp:rsid wsp:val=&quot;00C41876&quot;/&gt;&lt;wsp:rsid wsp:val=&quot;00C41FCE&quot;/&gt;&lt;wsp:rsid wsp:val=&quot;00C43FC9&quot;/&gt;&lt;wsp:rsid wsp:val=&quot;00C54B87&quot;/&gt;&lt;wsp:rsid wsp:val=&quot;00C57365&quot;/&gt;&lt;wsp:rsid wsp:val=&quot;00C57F03&quot;/&gt;&lt;wsp:rsid wsp:val=&quot;00C629F9&quot;/&gt;&lt;wsp:rsid wsp:val=&quot;00C64CD2&quot;/&gt;&lt;wsp:rsid wsp:val=&quot;00C65800&quot;/&gt;&lt;wsp:rsid wsp:val=&quot;00C66C85&quot;/&gt;&lt;wsp:rsid wsp:val=&quot;00C67552&quot;/&gt;&lt;wsp:rsid wsp:val=&quot;00C723C4&quot;/&gt;&lt;wsp:rsid wsp:val=&quot;00C73213&quot;/&gt;&lt;wsp:rsid wsp:val=&quot;00C736EA&quot;/&gt;&lt;wsp:rsid wsp:val=&quot;00C74463&quot;/&gt;&lt;wsp:rsid wsp:val=&quot;00C77ED8&quot;/&gt;&lt;wsp:rsid wsp:val=&quot;00C86E4A&quot;/&gt;&lt;wsp:rsid wsp:val=&quot;00C87811&quot;/&gt;&lt;wsp:rsid wsp:val=&quot;00C91502&quot;/&gt;&lt;wsp:rsid wsp:val=&quot;00C96BCE&quot;/&gt;&lt;wsp:rsid wsp:val=&quot;00CA09D3&quot;/&gt;&lt;wsp:rsid wsp:val=&quot;00CA3458&quot;/&gt;&lt;wsp:rsid wsp:val=&quot;00CA4660&quot;/&gt;&lt;wsp:rsid wsp:val=&quot;00CA5927&quot;/&gt;&lt;wsp:rsid wsp:val=&quot;00CA7112&quot;/&gt;&lt;wsp:rsid wsp:val=&quot;00CB11C2&quot;/&gt;&lt;wsp:rsid wsp:val=&quot;00CB177B&quot;/&gt;&lt;wsp:rsid wsp:val=&quot;00CB1787&quot;/&gt;&lt;wsp:rsid wsp:val=&quot;00CB5844&quot;/&gt;&lt;wsp:rsid wsp:val=&quot;00CC0F39&quot;/&gt;&lt;wsp:rsid wsp:val=&quot;00CC116D&quot;/&gt;&lt;wsp:rsid wsp:val=&quot;00CC1A89&quot;/&gt;&lt;wsp:rsid wsp:val=&quot;00CC4AC0&quot;/&gt;&lt;wsp:rsid wsp:val=&quot;00CD2108&quot;/&gt;&lt;wsp:rsid wsp:val=&quot;00CD2FC4&quot;/&gt;&lt;wsp:rsid wsp:val=&quot;00CD3ED9&quot;/&gt;&lt;wsp:rsid wsp:val=&quot;00CD6797&quot;/&gt;&lt;wsp:rsid wsp:val=&quot;00CD6D66&quot;/&gt;&lt;wsp:rsid wsp:val=&quot;00CD7F75&quot;/&gt;&lt;wsp:rsid wsp:val=&quot;00CE13A0&quot;/&gt;&lt;wsp:rsid wsp:val=&quot;00CE1E37&quot;/&gt;&lt;wsp:rsid wsp:val=&quot;00CE3045&quot;/&gt;&lt;wsp:rsid wsp:val=&quot;00CE3FED&quot;/&gt;&lt;wsp:rsid wsp:val=&quot;00CE6E20&quot;/&gt;&lt;wsp:rsid wsp:val=&quot;00CF3166&quot;/&gt;&lt;wsp:rsid wsp:val=&quot;00CF5593&quot;/&gt;&lt;wsp:rsid wsp:val=&quot;00CF5B8F&quot;/&gt;&lt;wsp:rsid wsp:val=&quot;00D02C4A&quot;/&gt;&lt;wsp:rsid wsp:val=&quot;00D03F63&quot;/&gt;&lt;wsp:rsid wsp:val=&quot;00D04B86&quot;/&gt;&lt;wsp:rsid wsp:val=&quot;00D05C20&quot;/&gt;&lt;wsp:rsid wsp:val=&quot;00D06A61&quot;/&gt;&lt;wsp:rsid wsp:val=&quot;00D11AE1&quot;/&gt;&lt;wsp:rsid wsp:val=&quot;00D12CF9&quot;/&gt;&lt;wsp:rsid wsp:val=&quot;00D1488C&quot;/&gt;&lt;wsp:rsid wsp:val=&quot;00D14FCD&quot;/&gt;&lt;wsp:rsid wsp:val=&quot;00D2104A&quot;/&gt;&lt;wsp:rsid wsp:val=&quot;00D2111B&quot;/&gt;&lt;wsp:rsid wsp:val=&quot;00D24FF7&quot;/&gt;&lt;wsp:rsid wsp:val=&quot;00D3110A&quot;/&gt;&lt;wsp:rsid wsp:val=&quot;00D313EE&quot;/&gt;&lt;wsp:rsid wsp:val=&quot;00D31E2B&quot;/&gt;&lt;wsp:rsid wsp:val=&quot;00D3229A&quot;/&gt;&lt;wsp:rsid wsp:val=&quot;00D3229D&quot;/&gt;&lt;wsp:rsid wsp:val=&quot;00D34151&quot;/&gt;&lt;wsp:rsid wsp:val=&quot;00D3671E&quot;/&gt;&lt;wsp:rsid wsp:val=&quot;00D3731C&quot;/&gt;&lt;wsp:rsid wsp:val=&quot;00D3778C&quot;/&gt;&lt;wsp:rsid wsp:val=&quot;00D37D01&quot;/&gt;&lt;wsp:rsid wsp:val=&quot;00D40A1E&quot;/&gt;&lt;wsp:rsid wsp:val=&quot;00D40E6E&quot;/&gt;&lt;wsp:rsid wsp:val=&quot;00D47A3F&quot;/&gt;&lt;wsp:rsid wsp:val=&quot;00D51C15&quot;/&gt;&lt;wsp:rsid wsp:val=&quot;00D52BFB&quot;/&gt;&lt;wsp:rsid wsp:val=&quot;00D52CAB&quot;/&gt;&lt;wsp:rsid wsp:val=&quot;00D57712&quot;/&gt;&lt;wsp:rsid wsp:val=&quot;00D65D4C&quot;/&gt;&lt;wsp:rsid wsp:val=&quot;00D71FFA&quot;/&gt;&lt;wsp:rsid wsp:val=&quot;00D72149&quot;/&gt;&lt;wsp:rsid wsp:val=&quot;00D73FBF&quot;/&gt;&lt;wsp:rsid wsp:val=&quot;00D74E8A&quot;/&gt;&lt;wsp:rsid wsp:val=&quot;00D77F5A&quot;/&gt;&lt;wsp:rsid wsp:val=&quot;00D80341&quot;/&gt;&lt;wsp:rsid wsp:val=&quot;00D81EB2&quot;/&gt;&lt;wsp:rsid wsp:val=&quot;00D82706&quot;/&gt;&lt;wsp:rsid wsp:val=&quot;00D82E53&quot;/&gt;&lt;wsp:rsid wsp:val=&quot;00D8501B&quot;/&gt;&lt;wsp:rsid wsp:val=&quot;00D85FF0&quot;/&gt;&lt;wsp:rsid wsp:val=&quot;00D87FEC&quot;/&gt;&lt;wsp:rsid wsp:val=&quot;00D90A68&quot;/&gt;&lt;wsp:rsid wsp:val=&quot;00D932A8&quot;/&gt;&lt;wsp:rsid wsp:val=&quot;00D94469&quot;/&gt;&lt;wsp:rsid wsp:val=&quot;00D95D21&quot;/&gt;&lt;wsp:rsid wsp:val=&quot;00DA1A16&quot;/&gt;&lt;wsp:rsid wsp:val=&quot;00DA1AE6&quot;/&gt;&lt;wsp:rsid wsp:val=&quot;00DA1FD3&quot;/&gt;&lt;wsp:rsid wsp:val=&quot;00DB1EB4&quot;/&gt;&lt;wsp:rsid wsp:val=&quot;00DB24DC&quot;/&gt;&lt;wsp:rsid wsp:val=&quot;00DB52BB&quot;/&gt;&lt;wsp:rsid wsp:val=&quot;00DB5C7F&quot;/&gt;&lt;wsp:rsid wsp:val=&quot;00DC2E2F&quot;/&gt;&lt;wsp:rsid wsp:val=&quot;00DC42A9&quot;/&gt;&lt;wsp:rsid wsp:val=&quot;00DC5510&quot;/&gt;&lt;wsp:rsid wsp:val=&quot;00DC6C5F&quot;/&gt;&lt;wsp:rsid wsp:val=&quot;00DC76A0&quot;/&gt;&lt;wsp:rsid wsp:val=&quot;00DE1064&quot;/&gt;&lt;wsp:rsid wsp:val=&quot;00DE11CA&quot;/&gt;&lt;wsp:rsid wsp:val=&quot;00DE1FEA&quot;/&gt;&lt;wsp:rsid wsp:val=&quot;00DE394B&quot;/&gt;&lt;wsp:rsid wsp:val=&quot;00DE7216&quot;/&gt;&lt;wsp:rsid wsp:val=&quot;00DF0ABE&quot;/&gt;&lt;wsp:rsid wsp:val=&quot;00DF2721&quot;/&gt;&lt;wsp:rsid wsp:val=&quot;00DF3C56&quot;/&gt;&lt;wsp:rsid wsp:val=&quot;00DF52F5&quot;/&gt;&lt;wsp:rsid wsp:val=&quot;00DF73CB&quot;/&gt;&lt;wsp:rsid wsp:val=&quot;00E006C3&quot;/&gt;&lt;wsp:rsid wsp:val=&quot;00E00C89&quot;/&gt;&lt;wsp:rsid wsp:val=&quot;00E03CE5&quot;/&gt;&lt;wsp:rsid wsp:val=&quot;00E05807&quot;/&gt;&lt;wsp:rsid wsp:val=&quot;00E062E4&quot;/&gt;&lt;wsp:rsid wsp:val=&quot;00E07D26&quot;/&gt;&lt;wsp:rsid wsp:val=&quot;00E07DD3&quot;/&gt;&lt;wsp:rsid wsp:val=&quot;00E1171A&quot;/&gt;&lt;wsp:rsid wsp:val=&quot;00E11A61&quot;/&gt;&lt;wsp:rsid wsp:val=&quot;00E1205A&quot;/&gt;&lt;wsp:rsid wsp:val=&quot;00E14772&quot;/&gt;&lt;wsp:rsid wsp:val=&quot;00E14C0E&quot;/&gt;&lt;wsp:rsid wsp:val=&quot;00E1749B&quot;/&gt;&lt;wsp:rsid wsp:val=&quot;00E17593&quot;/&gt;&lt;wsp:rsid wsp:val=&quot;00E2115E&quot;/&gt;&lt;wsp:rsid wsp:val=&quot;00E25443&quot;/&gt;&lt;wsp:rsid wsp:val=&quot;00E27B31&quot;/&gt;&lt;wsp:rsid wsp:val=&quot;00E316B0&quot;/&gt;&lt;wsp:rsid wsp:val=&quot;00E33F03&quot;/&gt;&lt;wsp:rsid wsp:val=&quot;00E35017&quot;/&gt;&lt;wsp:rsid wsp:val=&quot;00E36521&quot;/&gt;&lt;wsp:rsid wsp:val=&quot;00E37D54&quot;/&gt;&lt;wsp:rsid wsp:val=&quot;00E37F98&quot;/&gt;&lt;wsp:rsid wsp:val=&quot;00E40578&quot;/&gt;&lt;wsp:rsid wsp:val=&quot;00E4717C&quot;/&gt;&lt;wsp:rsid wsp:val=&quot;00E47B84&quot;/&gt;&lt;wsp:rsid wsp:val=&quot;00E515D0&quot;/&gt;&lt;wsp:rsid wsp:val=&quot;00E60757&quot;/&gt;&lt;wsp:rsid wsp:val=&quot;00E61B1F&quot;/&gt;&lt;wsp:rsid wsp:val=&quot;00E61D47&quot;/&gt;&lt;wsp:rsid wsp:val=&quot;00E637BE&quot;/&gt;&lt;wsp:rsid wsp:val=&quot;00E740F7&quot;/&gt;&lt;wsp:rsid wsp:val=&quot;00E75D6F&quot;/&gt;&lt;wsp:rsid wsp:val=&quot;00E7715C&quot;/&gt;&lt;wsp:rsid wsp:val=&quot;00E80AC9&quot;/&gt;&lt;wsp:rsid wsp:val=&quot;00E82376&quot;/&gt;&lt;wsp:rsid wsp:val=&quot;00E83F23&quot;/&gt;&lt;wsp:rsid wsp:val=&quot;00E84034&quot;/&gt;&lt;wsp:rsid wsp:val=&quot;00E848CF&quot;/&gt;&lt;wsp:rsid wsp:val=&quot;00E85367&quot;/&gt;&lt;wsp:rsid wsp:val=&quot;00E855C5&quot;/&gt;&lt;wsp:rsid wsp:val=&quot;00E872DB&quot;/&gt;&lt;wsp:rsid wsp:val=&quot;00E87B80&quot;/&gt;&lt;wsp:rsid wsp:val=&quot;00E91912&quot;/&gt;&lt;wsp:rsid wsp:val=&quot;00E92634&quot;/&gt;&lt;wsp:rsid wsp:val=&quot;00E9765A&quot;/&gt;&lt;wsp:rsid wsp:val=&quot;00EA4625&quot;/&gt;&lt;wsp:rsid wsp:val=&quot;00EA6146&quot;/&gt;&lt;wsp:rsid wsp:val=&quot;00EA69EF&quot;/&gt;&lt;wsp:rsid wsp:val=&quot;00EA6B3A&quot;/&gt;&lt;wsp:rsid wsp:val=&quot;00EA79D7&quot;/&gt;&lt;wsp:rsid wsp:val=&quot;00EB3689&quot;/&gt;&lt;wsp:rsid wsp:val=&quot;00EB5730&quot;/&gt;&lt;wsp:rsid wsp:val=&quot;00EC11EE&quot;/&gt;&lt;wsp:rsid wsp:val=&quot;00EC3EF9&quot;/&gt;&lt;wsp:rsid wsp:val=&quot;00EC5124&quot;/&gt;&lt;wsp:rsid wsp:val=&quot;00EC6B28&quot;/&gt;&lt;wsp:rsid wsp:val=&quot;00ED2019&quot;/&gt;&lt;wsp:rsid wsp:val=&quot;00EE292E&quot;/&gt;&lt;wsp:rsid wsp:val=&quot;00EE4E1B&quot;/&gt;&lt;wsp:rsid wsp:val=&quot;00EE6AB5&quot;/&gt;&lt;wsp:rsid wsp:val=&quot;00EE7202&quot;/&gt;&lt;wsp:rsid wsp:val=&quot;00EE7AC6&quot;/&gt;&lt;wsp:rsid wsp:val=&quot;00EF287D&quot;/&gt;&lt;wsp:rsid wsp:val=&quot;00EF2A58&quot;/&gt;&lt;wsp:rsid wsp:val=&quot;00EF34EF&quot;/&gt;&lt;wsp:rsid wsp:val=&quot;00EF4DA1&quot;/&gt;&lt;wsp:rsid wsp:val=&quot;00EF6F14&quot;/&gt;&lt;wsp:rsid wsp:val=&quot;00F01DEB&quot;/&gt;&lt;wsp:rsid wsp:val=&quot;00F02118&quot;/&gt;&lt;wsp:rsid wsp:val=&quot;00F0278E&quot;/&gt;&lt;wsp:rsid wsp:val=&quot;00F04AA7&quot;/&gt;&lt;wsp:rsid wsp:val=&quot;00F10A0F&quot;/&gt;&lt;wsp:rsid wsp:val=&quot;00F10CC0&quot;/&gt;&lt;wsp:rsid wsp:val=&quot;00F13683&quot;/&gt;&lt;wsp:rsid wsp:val=&quot;00F15BCE&quot;/&gt;&lt;wsp:rsid wsp:val=&quot;00F2053F&quot;/&gt;&lt;wsp:rsid wsp:val=&quot;00F2139B&quot;/&gt;&lt;wsp:rsid wsp:val=&quot;00F217C9&quot;/&gt;&lt;wsp:rsid wsp:val=&quot;00F22A55&quot;/&gt;&lt;wsp:rsid wsp:val=&quot;00F23B37&quot;/&gt;&lt;wsp:rsid wsp:val=&quot;00F2611F&quot;/&gt;&lt;wsp:rsid wsp:val=&quot;00F26C94&quot;/&gt;&lt;wsp:rsid wsp:val=&quot;00F27817&quot;/&gt;&lt;wsp:rsid wsp:val=&quot;00F27AE9&quot;/&gt;&lt;wsp:rsid wsp:val=&quot;00F350D3&quot;/&gt;&lt;wsp:rsid wsp:val=&quot;00F35F6B&quot;/&gt;&lt;wsp:rsid wsp:val=&quot;00F36CEF&quot;/&gt;&lt;wsp:rsid wsp:val=&quot;00F371E9&quot;/&gt;&lt;wsp:rsid wsp:val=&quot;00F40D60&quot;/&gt;&lt;wsp:rsid wsp:val=&quot;00F5301B&quot;/&gt;&lt;wsp:rsid wsp:val=&quot;00F55E4D&quot;/&gt;&lt;wsp:rsid wsp:val=&quot;00F65AD7&quot;/&gt;&lt;wsp:rsid wsp:val=&quot;00F70DD5&quot;/&gt;&lt;wsp:rsid wsp:val=&quot;00F7153D&quot;/&gt;&lt;wsp:rsid wsp:val=&quot;00F71596&quot;/&gt;&lt;wsp:rsid wsp:val=&quot;00F74DFD&quot;/&gt;&lt;wsp:rsid wsp:val=&quot;00F755E1&quot;/&gt;&lt;wsp:rsid wsp:val=&quot;00F8048A&quot;/&gt;&lt;wsp:rsid wsp:val=&quot;00F83ABC&quot;/&gt;&lt;wsp:rsid wsp:val=&quot;00F84DC1&quot;/&gt;&lt;wsp:rsid wsp:val=&quot;00F8674B&quot;/&gt;&lt;wsp:rsid wsp:val=&quot;00F91A31&quot;/&gt;&lt;wsp:rsid wsp:val=&quot;00F91BDE&quot;/&gt;&lt;wsp:rsid wsp:val=&quot;00F94849&quot;/&gt;&lt;wsp:rsid wsp:val=&quot;00F964F5&quot;/&gt;&lt;wsp:rsid wsp:val=&quot;00F967CD&quot;/&gt;&lt;wsp:rsid wsp:val=&quot;00F9704E&quot;/&gt;&lt;wsp:rsid wsp:val=&quot;00F97BF2&quot;/&gt;&lt;wsp:rsid wsp:val=&quot;00FA062F&quot;/&gt;&lt;wsp:rsid wsp:val=&quot;00FA1BBA&quot;/&gt;&lt;wsp:rsid wsp:val=&quot;00FA251A&quot;/&gt;&lt;wsp:rsid wsp:val=&quot;00FA2ACE&quot;/&gt;&lt;wsp:rsid wsp:val=&quot;00FA2FAC&quot;/&gt;&lt;wsp:rsid wsp:val=&quot;00FA3904&quot;/&gt;&lt;wsp:rsid wsp:val=&quot;00FA7B63&quot;/&gt;&lt;wsp:rsid wsp:val=&quot;00FB01D3&quot;/&gt;&lt;wsp:rsid wsp:val=&quot;00FB38AE&quot;/&gt;&lt;wsp:rsid wsp:val=&quot;00FB7DD2&quot;/&gt;&lt;wsp:rsid wsp:val=&quot;00FC3E25&quot;/&gt;&lt;wsp:rsid wsp:val=&quot;00FC788F&quot;/&gt;&lt;wsp:rsid wsp:val=&quot;00FD0915&quot;/&gt;&lt;wsp:rsid wsp:val=&quot;00FD17B9&quot;/&gt;&lt;wsp:rsid wsp:val=&quot;00FD2048&quot;/&gt;&lt;wsp:rsid wsp:val=&quot;00FE0533&quot;/&gt;&lt;wsp:rsid wsp:val=&quot;00FE0E17&quot;/&gt;&lt;wsp:rsid wsp:val=&quot;00FE229B&quot;/&gt;&lt;wsp:rsid wsp:val=&quot;00FE2A20&quot;/&gt;&lt;wsp:rsid wsp:val=&quot;00FE2E44&quot;/&gt;&lt;wsp:rsid wsp:val=&quot;00FE4655&quot;/&gt;&lt;wsp:rsid wsp:val=&quot;00FE4828&quot;/&gt;&lt;wsp:rsid wsp:val=&quot;00FE4FFD&quot;/&gt;&lt;wsp:rsid wsp:val=&quot;00FE6FA3&quot;/&gt;&lt;wsp:rsid wsp:val=&quot;00FF0D92&quot;/&gt;&lt;wsp:rsid wsp:val=&quot;00FF2920&quot;/&gt;&lt;wsp:rsid wsp:val=&quot;00FF3128&quot;/&gt;&lt;wsp:rsid wsp:val=&quot;00FF36E4&quot;/&gt;&lt;wsp:rsid wsp:val=&quot;00FF374B&quot;/&gt;&lt;/wsp:rsids&gt;&lt;/w:docPr&gt;&lt;w:body&gt;&lt;w:p wsp:rsidR=&quot;00000000&quot; wsp:rsidRDefault=&quot;007934FE&quot;&gt;&lt;m:oMathPara&gt;&lt;m:oMath&gt;&lt;m:r&gt;&lt;w:rPr&gt;&lt;w:rFonts w:ascii=&quot;Cambria Math&quot; w:h-ansi=&quot;Times New Roman&quot;/&gt;&lt;wx:font wx:val=&quot;Cambria Math&quot;/&gt;&lt;w:i/&gt;&lt;w:color w:val=&quot;000000&quot;/&gt;&lt;w:sz w:val=&quot;28&quot;/&gt;&lt;w:sz-cs w:val=&quot;28&quot;/&gt;&lt;/w:rPr&gt;&lt;m:t&gt; &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9" o:title="" chromakey="white"/>
          </v:shape>
        </w:pict>
      </w:r>
      <w:proofErr w:type="spellStart"/>
      <w:r w:rsidRPr="00F27AE9">
        <w:rPr>
          <w:rFonts w:ascii="Times New Roman" w:hAnsi="Times New Roman"/>
          <w:i/>
          <w:color w:val="000000"/>
          <w:sz w:val="28"/>
          <w:szCs w:val="28"/>
          <w:lang w:val="uk-UA"/>
        </w:rPr>
        <w:t>ПБ</w:t>
      </w:r>
      <w:proofErr w:type="spellEnd"/>
      <w:r w:rsidRPr="0012560E">
        <w:rPr>
          <w:rFonts w:ascii="Times New Roman" w:hAnsi="Times New Roman"/>
          <w:color w:val="000000"/>
          <w:sz w:val="28"/>
          <w:szCs w:val="28"/>
          <w:lang w:val="uk-UA"/>
        </w:rPr>
        <w:t xml:space="preserve"> </w:t>
      </w:r>
      <m:oMath>
        <m:sSub>
          <m:sSubPr>
            <m:ctrlPr>
              <w:rPr>
                <w:rFonts w:ascii="Cambria Math" w:hAnsi="Times New Roman"/>
                <w:i/>
                <w:color w:val="000000"/>
                <w:sz w:val="20"/>
                <w:szCs w:val="20"/>
              </w:rPr>
            </m:ctrlPr>
          </m:sSubPr>
          <m:e>
            <m:r>
              <w:rPr>
                <w:rFonts w:ascii="Cambria Math" w:hAnsi="Times New Roman"/>
                <w:color w:val="000000"/>
                <w:sz w:val="20"/>
                <w:szCs w:val="20"/>
              </w:rPr>
              <m:t>ном</m:t>
            </m:r>
          </m:e>
          <m:sub>
            <m:r>
              <w:rPr>
                <w:rFonts w:ascii="Cambria Math" w:hAnsi="Cambria Math"/>
                <w:color w:val="000000"/>
                <w:sz w:val="20"/>
                <w:szCs w:val="20"/>
              </w:rPr>
              <m:t>n</m:t>
            </m:r>
            <m:r>
              <w:rPr>
                <w:rFonts w:ascii="Times New Roman" w:hAnsi="Times New Roman"/>
                <w:color w:val="000000"/>
                <w:sz w:val="20"/>
                <w:szCs w:val="20"/>
              </w:rPr>
              <m:t>-</m:t>
            </m:r>
            <m:r>
              <w:rPr>
                <w:rFonts w:ascii="Cambria Math" w:hAnsi="Times New Roman"/>
                <w:color w:val="000000"/>
                <w:sz w:val="20"/>
                <w:szCs w:val="20"/>
              </w:rPr>
              <m:t>1</m:t>
            </m:r>
          </m:sub>
        </m:sSub>
      </m:oMath>
      <w:r>
        <w:rPr>
          <w:rFonts w:ascii="Times New Roman" w:hAnsi="Times New Roman"/>
          <w:color w:val="000000"/>
          <w:sz w:val="20"/>
          <w:szCs w:val="20"/>
          <w:lang w:val="uk-UA"/>
        </w:rPr>
        <w:t xml:space="preserve">                                             </w:t>
      </w:r>
      <w:r w:rsidR="00E3633E">
        <w:rPr>
          <w:rFonts w:ascii="Times New Roman" w:hAnsi="Times New Roman"/>
          <w:color w:val="000000"/>
          <w:sz w:val="28"/>
          <w:szCs w:val="28"/>
          <w:lang w:val="uk-UA"/>
        </w:rPr>
        <w:t xml:space="preserve">     (1</w:t>
      </w:r>
      <w:r w:rsidRPr="00190ADC">
        <w:rPr>
          <w:rFonts w:ascii="Times New Roman" w:hAnsi="Times New Roman"/>
          <w:color w:val="000000"/>
          <w:sz w:val="28"/>
          <w:szCs w:val="28"/>
          <w:lang w:val="uk-UA"/>
        </w:rPr>
        <w:t>)</w:t>
      </w:r>
    </w:p>
    <w:p w:rsidR="00BF0FD8" w:rsidRPr="0012560E" w:rsidRDefault="003B1771" w:rsidP="00BF0FD8">
      <w:pPr>
        <w:pStyle w:val="ListParagraph"/>
        <w:spacing w:after="0" w:line="360" w:lineRule="auto"/>
        <w:ind w:left="-284" w:firstLine="710"/>
        <w:jc w:val="both"/>
        <w:rPr>
          <w:rFonts w:ascii="Times New Roman" w:hAnsi="Times New Roman"/>
          <w:color w:val="000000"/>
          <w:sz w:val="28"/>
          <w:szCs w:val="28"/>
          <w:lang w:val="uk-UA"/>
        </w:rPr>
      </w:pPr>
      <w:r>
        <w:rPr>
          <w:rFonts w:ascii="Times New Roman" w:hAnsi="Times New Roman"/>
          <w:color w:val="000000"/>
          <w:sz w:val="28"/>
          <w:szCs w:val="28"/>
          <w:lang w:val="uk-UA"/>
        </w:rPr>
        <w:t>Як видно із табл. 1</w:t>
      </w:r>
      <w:r w:rsidR="006410D2">
        <w:rPr>
          <w:rFonts w:ascii="Times New Roman" w:hAnsi="Times New Roman"/>
          <w:color w:val="000000"/>
          <w:sz w:val="28"/>
          <w:szCs w:val="28"/>
          <w:lang w:val="uk-UA"/>
        </w:rPr>
        <w:t xml:space="preserve"> (рядок 1)</w:t>
      </w:r>
      <w:r w:rsidR="00BF0FD8" w:rsidRPr="0012560E">
        <w:rPr>
          <w:rFonts w:ascii="Times New Roman" w:hAnsi="Times New Roman"/>
          <w:color w:val="000000"/>
          <w:sz w:val="28"/>
          <w:szCs w:val="28"/>
          <w:lang w:val="uk-UA"/>
        </w:rPr>
        <w:t>, номінальні обсяги податкового боргу характеризувалися зростаючою тенденцією з 2008 до 2011 року, і</w:t>
      </w:r>
      <w:r w:rsidR="00BF0FD8">
        <w:rPr>
          <w:rFonts w:ascii="Times New Roman" w:hAnsi="Times New Roman"/>
          <w:color w:val="000000"/>
          <w:sz w:val="28"/>
          <w:szCs w:val="28"/>
          <w:lang w:val="uk-UA"/>
        </w:rPr>
        <w:t>,</w:t>
      </w:r>
      <w:r w:rsidR="00BF0FD8" w:rsidRPr="0012560E">
        <w:rPr>
          <w:rFonts w:ascii="Times New Roman" w:hAnsi="Times New Roman"/>
          <w:color w:val="000000"/>
          <w:sz w:val="28"/>
          <w:szCs w:val="28"/>
          <w:lang w:val="uk-UA"/>
        </w:rPr>
        <w:t xml:space="preserve"> хоча за період 2012 р. динаміка набула від’ємного значення, у 2013 р. явище знову набуває масштабності. На даний час тенденцію зростання вважаємо критичною.</w:t>
      </w:r>
    </w:p>
    <w:p w:rsidR="00BF0FD8" w:rsidRPr="0012560E" w:rsidRDefault="00BF0FD8" w:rsidP="00BF0FD8">
      <w:pPr>
        <w:pStyle w:val="ListParagraph"/>
        <w:spacing w:after="0" w:line="360" w:lineRule="auto"/>
        <w:ind w:left="-284" w:firstLine="710"/>
        <w:jc w:val="both"/>
        <w:rPr>
          <w:rFonts w:ascii="Times New Roman" w:hAnsi="Times New Roman"/>
          <w:color w:val="000000"/>
          <w:sz w:val="28"/>
          <w:szCs w:val="28"/>
          <w:lang w:val="uk-UA"/>
        </w:rPr>
      </w:pPr>
      <w:r w:rsidRPr="0012560E">
        <w:rPr>
          <w:rFonts w:ascii="Times New Roman" w:hAnsi="Times New Roman"/>
          <w:color w:val="000000"/>
          <w:sz w:val="28"/>
          <w:szCs w:val="28"/>
          <w:lang w:val="uk-UA"/>
        </w:rPr>
        <w:t xml:space="preserve">Темп зміни </w:t>
      </w:r>
      <w:r w:rsidR="00892D9C" w:rsidRPr="0012560E">
        <w:rPr>
          <w:rFonts w:ascii="Times New Roman" w:hAnsi="Times New Roman"/>
          <w:color w:val="000000"/>
          <w:sz w:val="28"/>
          <w:szCs w:val="28"/>
          <w:lang w:val="uk-UA"/>
        </w:rPr>
        <w:t>(</w:t>
      </w:r>
      <w:r w:rsidR="00892D9C" w:rsidRPr="0015095F">
        <w:rPr>
          <w:rFonts w:ascii="Times New Roman" w:hAnsi="Times New Roman"/>
          <w:i/>
          <w:color w:val="000000"/>
          <w:sz w:val="28"/>
          <w:szCs w:val="28"/>
          <w:lang w:val="uk-UA"/>
        </w:rPr>
        <w:t>ТЗ</w:t>
      </w:r>
      <w:r w:rsidR="00892D9C" w:rsidRPr="0012560E">
        <w:rPr>
          <w:rFonts w:ascii="Times New Roman" w:hAnsi="Times New Roman"/>
          <w:color w:val="000000"/>
          <w:sz w:val="28"/>
          <w:szCs w:val="28"/>
          <w:lang w:val="uk-UA"/>
        </w:rPr>
        <w:t xml:space="preserve"> </w:t>
      </w:r>
      <m:oMath>
        <m:sSub>
          <m:sSubPr>
            <m:ctrlPr>
              <w:rPr>
                <w:rFonts w:ascii="Cambria Math" w:hAnsi="Times New Roman"/>
                <w:i/>
                <w:color w:val="000000"/>
                <w:sz w:val="24"/>
                <w:szCs w:val="24"/>
              </w:rPr>
            </m:ctrlPr>
          </m:sSubPr>
          <m:e>
            <m:r>
              <w:rPr>
                <w:rFonts w:ascii="Cambria Math" w:hAnsi="Times New Roman"/>
                <w:color w:val="000000"/>
                <w:sz w:val="24"/>
                <w:szCs w:val="24"/>
                <w:lang w:val="uk-UA"/>
              </w:rPr>
              <m:t>ПБ</m:t>
            </m:r>
          </m:e>
          <m:sub>
            <m:r>
              <w:rPr>
                <w:rFonts w:ascii="Cambria Math" w:hAnsi="Times New Roman"/>
                <w:color w:val="000000"/>
                <w:sz w:val="24"/>
                <w:szCs w:val="24"/>
                <w:lang w:val="uk-UA"/>
              </w:rPr>
              <m:t>номін</m:t>
            </m:r>
          </m:sub>
        </m:sSub>
      </m:oMath>
      <w:r w:rsidR="00892D9C" w:rsidRPr="0012560E">
        <w:rPr>
          <w:rFonts w:ascii="Times New Roman" w:hAnsi="Times New Roman"/>
          <w:color w:val="000000"/>
          <w:sz w:val="24"/>
          <w:szCs w:val="24"/>
          <w:lang w:val="uk-UA"/>
        </w:rPr>
        <w:t>)</w:t>
      </w:r>
      <w:r w:rsidR="003C59A0">
        <w:rPr>
          <w:rFonts w:ascii="Times New Roman" w:hAnsi="Times New Roman"/>
          <w:color w:val="000000"/>
          <w:sz w:val="24"/>
          <w:szCs w:val="24"/>
          <w:lang w:val="uk-UA"/>
        </w:rPr>
        <w:t xml:space="preserve"> </w:t>
      </w:r>
      <w:r w:rsidRPr="0012560E">
        <w:rPr>
          <w:rFonts w:ascii="Times New Roman" w:hAnsi="Times New Roman"/>
          <w:color w:val="000000"/>
          <w:sz w:val="28"/>
          <w:szCs w:val="28"/>
          <w:lang w:val="uk-UA"/>
        </w:rPr>
        <w:t xml:space="preserve">більш наочно відображає тенденції розвитку явища. Показник демонструє відхилення певної величини відносно попереднього її значення. </w:t>
      </w:r>
    </w:p>
    <w:p w:rsidR="00BF0FD8" w:rsidRPr="0012560E" w:rsidRDefault="00BF0FD8" w:rsidP="00BF0FD8">
      <w:pPr>
        <w:pStyle w:val="ListParagraph"/>
        <w:spacing w:after="0" w:line="360" w:lineRule="auto"/>
        <w:ind w:left="-284" w:firstLine="710"/>
        <w:jc w:val="both"/>
        <w:rPr>
          <w:rFonts w:ascii="Times New Roman" w:hAnsi="Times New Roman"/>
          <w:color w:val="000000"/>
          <w:sz w:val="24"/>
          <w:szCs w:val="24"/>
          <w:lang w:val="uk-UA"/>
        </w:rPr>
      </w:pPr>
      <w:r>
        <w:rPr>
          <w:rFonts w:ascii="Times New Roman" w:hAnsi="Times New Roman"/>
          <w:i/>
          <w:color w:val="000000"/>
          <w:sz w:val="28"/>
          <w:szCs w:val="28"/>
          <w:lang w:val="uk-UA"/>
        </w:rPr>
        <w:t xml:space="preserve">  </w:t>
      </w:r>
      <w:r w:rsidR="00892D9C">
        <w:rPr>
          <w:rFonts w:ascii="Times New Roman" w:hAnsi="Times New Roman"/>
          <w:i/>
          <w:color w:val="000000"/>
          <w:sz w:val="28"/>
          <w:szCs w:val="28"/>
          <w:lang w:val="uk-UA"/>
        </w:rPr>
        <w:t xml:space="preserve">                              </w:t>
      </w:r>
      <w:r>
        <w:rPr>
          <w:rFonts w:ascii="Times New Roman" w:hAnsi="Times New Roman"/>
          <w:i/>
          <w:color w:val="000000"/>
          <w:sz w:val="28"/>
          <w:szCs w:val="28"/>
          <w:lang w:val="uk-UA"/>
        </w:rPr>
        <w:t xml:space="preserve">  </w:t>
      </w:r>
      <w:r w:rsidRPr="0015095F">
        <w:rPr>
          <w:rFonts w:ascii="Times New Roman" w:hAnsi="Times New Roman"/>
          <w:i/>
          <w:color w:val="000000"/>
          <w:sz w:val="28"/>
          <w:szCs w:val="28"/>
          <w:lang w:val="uk-UA"/>
        </w:rPr>
        <w:t>ТЗ</w:t>
      </w:r>
      <w:r w:rsidRPr="0012560E">
        <w:rPr>
          <w:rFonts w:ascii="Times New Roman" w:hAnsi="Times New Roman"/>
          <w:color w:val="000000"/>
          <w:sz w:val="28"/>
          <w:szCs w:val="28"/>
          <w:lang w:val="uk-UA"/>
        </w:rPr>
        <w:t xml:space="preserve"> </w:t>
      </w:r>
      <m:oMath>
        <m:sSub>
          <m:sSubPr>
            <m:ctrlPr>
              <w:rPr>
                <w:rFonts w:ascii="Cambria Math" w:hAnsi="Times New Roman"/>
                <w:i/>
                <w:color w:val="000000"/>
                <w:sz w:val="24"/>
                <w:szCs w:val="24"/>
              </w:rPr>
            </m:ctrlPr>
          </m:sSubPr>
          <m:e>
            <m:r>
              <w:rPr>
                <w:rFonts w:ascii="Cambria Math" w:hAnsi="Times New Roman"/>
                <w:color w:val="000000"/>
                <w:sz w:val="24"/>
                <w:szCs w:val="24"/>
              </w:rPr>
              <m:t>ПБ</m:t>
            </m:r>
          </m:e>
          <m:sub>
            <m:r>
              <w:rPr>
                <w:rFonts w:ascii="Cambria Math" w:hAnsi="Times New Roman"/>
                <w:color w:val="000000"/>
                <w:sz w:val="24"/>
                <w:szCs w:val="24"/>
              </w:rPr>
              <m:t>номін</m:t>
            </m:r>
          </m:sub>
        </m:sSub>
      </m:oMath>
      <w:r w:rsidRPr="0012560E">
        <w:rPr>
          <w:rFonts w:ascii="Times New Roman" w:hAnsi="Times New Roman"/>
          <w:color w:val="000000"/>
          <w:sz w:val="24"/>
          <w:szCs w:val="24"/>
          <w:lang w:val="uk-UA"/>
        </w:rPr>
        <w:t xml:space="preserve"> = </w:t>
      </w:r>
      <m:oMath>
        <m:f>
          <m:fPr>
            <m:ctrlPr>
              <w:rPr>
                <w:rFonts w:ascii="Cambria Math" w:hAnsi="Times New Roman"/>
                <w:i/>
                <w:color w:val="000000"/>
                <w:sz w:val="24"/>
                <w:szCs w:val="24"/>
              </w:rPr>
            </m:ctrlPr>
          </m:fPr>
          <m:num>
            <m:r>
              <m:rPr>
                <m:sty m:val="p"/>
              </m:rPr>
              <w:rPr>
                <w:rFonts w:ascii="Cambria Math" w:hAnsi="Times New Roman"/>
                <w:color w:val="000000"/>
                <w:sz w:val="28"/>
                <w:szCs w:val="28"/>
              </w:rPr>
              <m:t>ПБ</m:t>
            </m:r>
            <m:r>
              <m:rPr>
                <m:sty m:val="p"/>
              </m:rPr>
              <w:rPr>
                <w:rFonts w:ascii="Cambria Math" w:hAnsi="Times New Roman"/>
                <w:color w:val="000000"/>
                <w:sz w:val="28"/>
                <w:szCs w:val="28"/>
              </w:rPr>
              <m:t xml:space="preserve"> </m:t>
            </m:r>
            <m:sSub>
              <m:sSubPr>
                <m:ctrlPr>
                  <w:rPr>
                    <w:rFonts w:ascii="Cambria Math" w:hAnsi="Times New Roman"/>
                    <w:i/>
                    <w:color w:val="000000"/>
                    <w:sz w:val="20"/>
                    <w:szCs w:val="20"/>
                  </w:rPr>
                </m:ctrlPr>
              </m:sSubPr>
              <m:e>
                <m:r>
                  <w:rPr>
                    <w:rFonts w:ascii="Cambria Math" w:hAnsi="Times New Roman"/>
                    <w:color w:val="000000"/>
                    <w:sz w:val="20"/>
                    <w:szCs w:val="20"/>
                  </w:rPr>
                  <m:t>ном</m:t>
                </m:r>
              </m:e>
              <m:sub>
                <m:r>
                  <w:rPr>
                    <w:rFonts w:ascii="Cambria Math" w:hAnsi="Cambria Math"/>
                    <w:color w:val="000000"/>
                    <w:sz w:val="20"/>
                    <w:szCs w:val="20"/>
                  </w:rPr>
                  <m:t>n</m:t>
                </m:r>
              </m:sub>
            </m:sSub>
          </m:num>
          <m:den>
            <m:r>
              <w:rPr>
                <w:rFonts w:ascii="Cambria Math" w:hAnsi="Times New Roman"/>
                <w:color w:val="000000"/>
                <w:sz w:val="28"/>
                <w:szCs w:val="28"/>
              </w:rPr>
              <m:t xml:space="preserve"> </m:t>
            </m:r>
            <m:r>
              <m:rPr>
                <m:sty m:val="p"/>
              </m:rPr>
              <w:rPr>
                <w:rFonts w:ascii="Cambria Math" w:hAnsi="Times New Roman"/>
                <w:color w:val="000000"/>
                <w:sz w:val="28"/>
                <w:szCs w:val="28"/>
              </w:rPr>
              <m:t>ПБ</m:t>
            </m:r>
            <m:r>
              <m:rPr>
                <m:sty m:val="p"/>
              </m:rPr>
              <w:rPr>
                <w:rFonts w:ascii="Cambria Math" w:hAnsi="Times New Roman"/>
                <w:color w:val="000000"/>
                <w:sz w:val="28"/>
                <w:szCs w:val="28"/>
              </w:rPr>
              <m:t xml:space="preserve"> </m:t>
            </m:r>
            <m:sSub>
              <m:sSubPr>
                <m:ctrlPr>
                  <w:rPr>
                    <w:rFonts w:ascii="Cambria Math" w:hAnsi="Times New Roman"/>
                    <w:i/>
                    <w:color w:val="000000"/>
                    <w:sz w:val="20"/>
                    <w:szCs w:val="20"/>
                  </w:rPr>
                </m:ctrlPr>
              </m:sSubPr>
              <m:e>
                <m:r>
                  <w:rPr>
                    <w:rFonts w:ascii="Cambria Math" w:hAnsi="Times New Roman"/>
                    <w:color w:val="000000"/>
                    <w:sz w:val="20"/>
                    <w:szCs w:val="20"/>
                  </w:rPr>
                  <m:t>ном</m:t>
                </m:r>
              </m:e>
              <m:sub>
                <m:r>
                  <w:rPr>
                    <w:rFonts w:ascii="Cambria Math" w:hAnsi="Cambria Math"/>
                    <w:color w:val="000000"/>
                    <w:sz w:val="20"/>
                    <w:szCs w:val="20"/>
                  </w:rPr>
                  <m:t>n</m:t>
                </m:r>
                <m:r>
                  <w:rPr>
                    <w:rFonts w:ascii="Times New Roman" w:hAnsi="Times New Roman"/>
                    <w:color w:val="000000"/>
                    <w:sz w:val="20"/>
                    <w:szCs w:val="20"/>
                  </w:rPr>
                  <m:t>-</m:t>
                </m:r>
                <m:r>
                  <w:rPr>
                    <w:rFonts w:ascii="Cambria Math" w:hAnsi="Times New Roman"/>
                    <w:color w:val="000000"/>
                    <w:sz w:val="20"/>
                    <w:szCs w:val="20"/>
                  </w:rPr>
                  <m:t>1</m:t>
                </m:r>
              </m:sub>
            </m:sSub>
          </m:den>
        </m:f>
      </m:oMath>
      <w:r w:rsidRPr="0012560E">
        <w:rPr>
          <w:rFonts w:ascii="Times New Roman" w:hAnsi="Times New Roman"/>
          <w:color w:val="000000"/>
          <w:sz w:val="24"/>
          <w:szCs w:val="24"/>
          <w:lang w:val="uk-UA"/>
        </w:rPr>
        <w:t xml:space="preserve"> * 100%</w:t>
      </w:r>
      <w:r>
        <w:rPr>
          <w:rFonts w:ascii="Times New Roman" w:hAnsi="Times New Roman"/>
          <w:color w:val="000000"/>
          <w:sz w:val="24"/>
          <w:szCs w:val="24"/>
          <w:lang w:val="uk-UA"/>
        </w:rPr>
        <w:t xml:space="preserve">.                                    </w:t>
      </w:r>
      <w:r w:rsidR="00892D9C">
        <w:rPr>
          <w:rFonts w:ascii="Times New Roman" w:hAnsi="Times New Roman"/>
          <w:color w:val="000000"/>
          <w:sz w:val="24"/>
          <w:szCs w:val="24"/>
          <w:lang w:val="uk-UA"/>
        </w:rPr>
        <w:t xml:space="preserve">               (2</w:t>
      </w:r>
      <w:r>
        <w:rPr>
          <w:rFonts w:ascii="Times New Roman" w:hAnsi="Times New Roman"/>
          <w:color w:val="000000"/>
          <w:sz w:val="24"/>
          <w:szCs w:val="24"/>
          <w:lang w:val="uk-UA"/>
        </w:rPr>
        <w:t>)</w:t>
      </w:r>
    </w:p>
    <w:p w:rsidR="00BF0FD8" w:rsidRPr="00D82706" w:rsidRDefault="00BF0FD8" w:rsidP="00BF0FD8">
      <w:pPr>
        <w:pStyle w:val="ListParagraph"/>
        <w:spacing w:after="0" w:line="360" w:lineRule="auto"/>
        <w:ind w:left="-284" w:firstLine="710"/>
        <w:jc w:val="both"/>
        <w:rPr>
          <w:rFonts w:ascii="Times New Roman" w:hAnsi="Times New Roman"/>
          <w:color w:val="000000"/>
          <w:sz w:val="28"/>
          <w:szCs w:val="28"/>
          <w:lang w:val="uk-UA"/>
        </w:rPr>
      </w:pPr>
      <w:r>
        <w:rPr>
          <w:rFonts w:ascii="Times New Roman" w:hAnsi="Times New Roman"/>
          <w:color w:val="000000"/>
          <w:sz w:val="28"/>
          <w:szCs w:val="28"/>
          <w:lang w:val="uk-UA"/>
        </w:rPr>
        <w:t>Т</w:t>
      </w:r>
      <w:r w:rsidRPr="0012560E">
        <w:rPr>
          <w:rFonts w:ascii="Times New Roman" w:hAnsi="Times New Roman"/>
          <w:color w:val="000000"/>
          <w:sz w:val="28"/>
          <w:szCs w:val="28"/>
          <w:lang w:val="uk-UA"/>
        </w:rPr>
        <w:t>емп</w:t>
      </w:r>
      <w:r>
        <w:rPr>
          <w:rFonts w:ascii="Times New Roman" w:hAnsi="Times New Roman"/>
          <w:color w:val="000000"/>
          <w:sz w:val="28"/>
          <w:szCs w:val="28"/>
          <w:lang w:val="uk-UA"/>
        </w:rPr>
        <w:t>и</w:t>
      </w:r>
      <w:r w:rsidRPr="0012560E">
        <w:rPr>
          <w:rFonts w:ascii="Times New Roman" w:hAnsi="Times New Roman"/>
          <w:color w:val="000000"/>
          <w:sz w:val="28"/>
          <w:szCs w:val="28"/>
          <w:lang w:val="uk-UA"/>
        </w:rPr>
        <w:t xml:space="preserve"> зміни номінального податкового боргу за період 2005 – 2014 рр., </w:t>
      </w:r>
      <w:r w:rsidR="003B1771">
        <w:rPr>
          <w:rFonts w:ascii="Times New Roman" w:hAnsi="Times New Roman"/>
          <w:color w:val="000000"/>
          <w:sz w:val="28"/>
          <w:szCs w:val="28"/>
          <w:lang w:val="uk-UA"/>
        </w:rPr>
        <w:t>представлені у табл. 1</w:t>
      </w:r>
      <w:r>
        <w:rPr>
          <w:rFonts w:ascii="Times New Roman" w:hAnsi="Times New Roman"/>
          <w:color w:val="000000"/>
          <w:sz w:val="28"/>
          <w:szCs w:val="28"/>
          <w:lang w:val="uk-UA"/>
        </w:rPr>
        <w:t xml:space="preserve"> (рядок 2).</w:t>
      </w:r>
    </w:p>
    <w:p w:rsidR="00E3633E" w:rsidRPr="00E3633E" w:rsidRDefault="00E3633E" w:rsidP="00E3633E">
      <w:pPr>
        <w:spacing w:after="0" w:line="360" w:lineRule="auto"/>
        <w:ind w:left="-284" w:firstLine="710"/>
        <w:jc w:val="right"/>
        <w:rPr>
          <w:rFonts w:ascii="Times New Roman" w:hAnsi="Times New Roman"/>
          <w:color w:val="000000"/>
          <w:sz w:val="28"/>
          <w:szCs w:val="28"/>
          <w:lang w:val="uk-UA"/>
        </w:rPr>
      </w:pPr>
      <w:proofErr w:type="spellStart"/>
      <w:r>
        <w:rPr>
          <w:rFonts w:ascii="Times New Roman" w:hAnsi="Times New Roman"/>
          <w:color w:val="000000"/>
          <w:sz w:val="28"/>
          <w:szCs w:val="28"/>
        </w:rPr>
        <w:t>Таблиця</w:t>
      </w:r>
      <w:proofErr w:type="spellEnd"/>
      <w:r>
        <w:rPr>
          <w:rFonts w:ascii="Times New Roman" w:hAnsi="Times New Roman"/>
          <w:color w:val="000000"/>
          <w:sz w:val="28"/>
          <w:szCs w:val="28"/>
        </w:rPr>
        <w:t xml:space="preserve"> </w:t>
      </w:r>
      <w:r>
        <w:rPr>
          <w:rFonts w:ascii="Times New Roman" w:hAnsi="Times New Roman"/>
          <w:color w:val="000000"/>
          <w:sz w:val="28"/>
          <w:szCs w:val="28"/>
          <w:lang w:val="uk-UA"/>
        </w:rPr>
        <w:t>1</w:t>
      </w:r>
    </w:p>
    <w:p w:rsidR="00E3633E" w:rsidRDefault="00E3633E" w:rsidP="00E3633E">
      <w:pPr>
        <w:spacing w:after="0" w:line="360" w:lineRule="auto"/>
        <w:ind w:left="-284" w:firstLine="710"/>
        <w:jc w:val="center"/>
        <w:rPr>
          <w:rFonts w:ascii="Times New Roman" w:hAnsi="Times New Roman"/>
          <w:color w:val="000000"/>
          <w:sz w:val="28"/>
          <w:szCs w:val="28"/>
        </w:rPr>
      </w:pPr>
      <w:proofErr w:type="gramStart"/>
      <w:r w:rsidRPr="0012560E">
        <w:rPr>
          <w:rFonts w:ascii="Times New Roman" w:hAnsi="Times New Roman"/>
          <w:color w:val="000000"/>
          <w:sz w:val="28"/>
          <w:szCs w:val="28"/>
        </w:rPr>
        <w:t>Абсолютна</w:t>
      </w:r>
      <w:proofErr w:type="gram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динаміка</w:t>
      </w:r>
      <w:proofErr w:type="spell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номінального</w:t>
      </w:r>
      <w:proofErr w:type="spell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податкового</w:t>
      </w:r>
      <w:proofErr w:type="spellEnd"/>
      <w:r w:rsidRPr="0012560E">
        <w:rPr>
          <w:rFonts w:ascii="Times New Roman" w:hAnsi="Times New Roman"/>
          <w:color w:val="000000"/>
          <w:sz w:val="28"/>
          <w:szCs w:val="28"/>
        </w:rPr>
        <w:t xml:space="preserve"> боргу </w:t>
      </w:r>
      <w:r>
        <w:rPr>
          <w:rFonts w:ascii="Times New Roman" w:hAnsi="Times New Roman"/>
          <w:color w:val="000000"/>
          <w:sz w:val="28"/>
          <w:szCs w:val="28"/>
        </w:rPr>
        <w:t xml:space="preserve"> </w:t>
      </w:r>
    </w:p>
    <w:p w:rsidR="00E3633E" w:rsidRPr="0012560E" w:rsidRDefault="00E3633E" w:rsidP="00E3633E">
      <w:pPr>
        <w:spacing w:after="0" w:line="360" w:lineRule="auto"/>
        <w:ind w:left="-284" w:firstLine="710"/>
        <w:jc w:val="center"/>
        <w:rPr>
          <w:rFonts w:ascii="Times New Roman" w:hAnsi="Times New Roman"/>
          <w:color w:val="000000"/>
          <w:sz w:val="28"/>
          <w:szCs w:val="28"/>
        </w:rPr>
      </w:pPr>
      <w:r>
        <w:rPr>
          <w:rFonts w:ascii="Times New Roman" w:hAnsi="Times New Roman"/>
          <w:color w:val="000000"/>
          <w:sz w:val="28"/>
          <w:szCs w:val="28"/>
        </w:rPr>
        <w:t xml:space="preserve">в </w:t>
      </w:r>
      <w:proofErr w:type="spellStart"/>
      <w:r>
        <w:rPr>
          <w:rFonts w:ascii="Times New Roman" w:hAnsi="Times New Roman"/>
          <w:color w:val="000000"/>
          <w:sz w:val="28"/>
          <w:szCs w:val="28"/>
        </w:rPr>
        <w:t>Україні</w:t>
      </w:r>
      <w:proofErr w:type="spellEnd"/>
      <w:r>
        <w:rPr>
          <w:rFonts w:ascii="Times New Roman" w:hAnsi="Times New Roman"/>
          <w:color w:val="000000"/>
          <w:sz w:val="28"/>
          <w:szCs w:val="28"/>
        </w:rPr>
        <w:t xml:space="preserve">, </w:t>
      </w:r>
      <w:r w:rsidRPr="0012560E">
        <w:rPr>
          <w:rFonts w:ascii="Times New Roman" w:hAnsi="Times New Roman"/>
          <w:color w:val="000000"/>
          <w:sz w:val="28"/>
          <w:szCs w:val="28"/>
        </w:rPr>
        <w:t xml:space="preserve">2005-2014 </w:t>
      </w:r>
      <w:proofErr w:type="spellStart"/>
      <w:r w:rsidRPr="0012560E">
        <w:rPr>
          <w:rFonts w:ascii="Times New Roman" w:hAnsi="Times New Roman"/>
          <w:color w:val="000000"/>
          <w:sz w:val="28"/>
          <w:szCs w:val="28"/>
        </w:rPr>
        <w:t>рр</w:t>
      </w:r>
      <w:proofErr w:type="spellEnd"/>
      <w:r w:rsidRPr="0012560E">
        <w:rPr>
          <w:rFonts w:ascii="Times New Roman" w:hAnsi="Times New Roman"/>
          <w:color w:val="000000"/>
          <w:sz w:val="28"/>
          <w:szCs w:val="28"/>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993"/>
        <w:gridCol w:w="708"/>
        <w:gridCol w:w="834"/>
        <w:gridCol w:w="876"/>
        <w:gridCol w:w="955"/>
        <w:gridCol w:w="931"/>
        <w:gridCol w:w="940"/>
        <w:gridCol w:w="917"/>
        <w:gridCol w:w="903"/>
        <w:gridCol w:w="774"/>
        <w:gridCol w:w="916"/>
      </w:tblGrid>
      <w:tr w:rsidR="00E3633E" w:rsidRPr="008D6431" w:rsidTr="00C03D9E">
        <w:tc>
          <w:tcPr>
            <w:tcW w:w="426" w:type="dxa"/>
            <w:vAlign w:val="center"/>
          </w:tcPr>
          <w:p w:rsidR="00E3633E" w:rsidRPr="008D6431" w:rsidRDefault="00E3633E" w:rsidP="00C03D9E">
            <w:pPr>
              <w:spacing w:after="0" w:line="240" w:lineRule="auto"/>
              <w:ind w:left="-391" w:right="-108" w:firstLine="102"/>
              <w:jc w:val="center"/>
              <w:rPr>
                <w:rFonts w:ascii="Times New Roman" w:hAnsi="Times New Roman"/>
                <w:color w:val="000000"/>
                <w:sz w:val="24"/>
                <w:szCs w:val="24"/>
              </w:rPr>
            </w:pPr>
            <w:r w:rsidRPr="008D6431">
              <w:rPr>
                <w:rFonts w:ascii="Times New Roman" w:hAnsi="Times New Roman"/>
                <w:color w:val="000000"/>
                <w:sz w:val="24"/>
                <w:szCs w:val="24"/>
              </w:rPr>
              <w:t xml:space="preserve">   №</w:t>
            </w:r>
          </w:p>
          <w:p w:rsidR="00E3633E" w:rsidRPr="008D6431" w:rsidRDefault="00E3633E" w:rsidP="00C03D9E">
            <w:pPr>
              <w:spacing w:after="0" w:line="240" w:lineRule="auto"/>
              <w:ind w:left="-391" w:right="-108" w:firstLine="102"/>
              <w:jc w:val="center"/>
              <w:rPr>
                <w:rFonts w:ascii="Times New Roman" w:hAnsi="Times New Roman"/>
                <w:color w:val="000000"/>
                <w:sz w:val="24"/>
                <w:szCs w:val="24"/>
              </w:rPr>
            </w:pPr>
            <w:r w:rsidRPr="008D6431">
              <w:rPr>
                <w:rFonts w:ascii="Times New Roman" w:hAnsi="Times New Roman"/>
                <w:color w:val="000000"/>
                <w:sz w:val="24"/>
                <w:szCs w:val="24"/>
              </w:rPr>
              <w:t xml:space="preserve">  </w:t>
            </w:r>
            <w:proofErr w:type="spellStart"/>
            <w:r w:rsidRPr="008D6431">
              <w:rPr>
                <w:rFonts w:ascii="Times New Roman" w:hAnsi="Times New Roman"/>
                <w:color w:val="000000"/>
                <w:sz w:val="24"/>
                <w:szCs w:val="24"/>
              </w:rPr>
              <w:t>з</w:t>
            </w:r>
            <w:proofErr w:type="spellEnd"/>
            <w:r w:rsidRPr="008D6431">
              <w:rPr>
                <w:rFonts w:ascii="Times New Roman" w:hAnsi="Times New Roman"/>
                <w:color w:val="000000"/>
                <w:sz w:val="24"/>
                <w:szCs w:val="24"/>
                <w:lang w:val="en-US"/>
              </w:rPr>
              <w:t>/</w:t>
            </w:r>
            <w:proofErr w:type="spellStart"/>
            <w:proofErr w:type="gramStart"/>
            <w:r w:rsidRPr="008D6431">
              <w:rPr>
                <w:rFonts w:ascii="Times New Roman" w:hAnsi="Times New Roman"/>
                <w:color w:val="000000"/>
                <w:sz w:val="24"/>
                <w:szCs w:val="24"/>
              </w:rPr>
              <w:t>п</w:t>
            </w:r>
            <w:proofErr w:type="spellEnd"/>
            <w:proofErr w:type="gramEnd"/>
          </w:p>
        </w:tc>
        <w:tc>
          <w:tcPr>
            <w:tcW w:w="993" w:type="dxa"/>
            <w:vAlign w:val="center"/>
          </w:tcPr>
          <w:p w:rsidR="00E3633E" w:rsidRPr="008D6431" w:rsidRDefault="00E3633E" w:rsidP="00C03D9E">
            <w:pPr>
              <w:spacing w:after="0" w:line="240" w:lineRule="auto"/>
              <w:ind w:left="-249" w:firstLine="148"/>
              <w:jc w:val="center"/>
              <w:rPr>
                <w:rFonts w:ascii="Times New Roman" w:hAnsi="Times New Roman"/>
                <w:color w:val="000000"/>
                <w:sz w:val="24"/>
                <w:szCs w:val="24"/>
              </w:rPr>
            </w:pPr>
            <w:proofErr w:type="spellStart"/>
            <w:r w:rsidRPr="008D6431">
              <w:rPr>
                <w:rFonts w:ascii="Times New Roman" w:hAnsi="Times New Roman"/>
                <w:color w:val="000000"/>
                <w:sz w:val="24"/>
                <w:szCs w:val="24"/>
              </w:rPr>
              <w:t>Індекс</w:t>
            </w:r>
            <w:proofErr w:type="spellEnd"/>
          </w:p>
        </w:tc>
        <w:tc>
          <w:tcPr>
            <w:tcW w:w="708" w:type="dxa"/>
            <w:vAlign w:val="center"/>
          </w:tcPr>
          <w:p w:rsidR="00E3633E" w:rsidRPr="008D6431" w:rsidRDefault="00E3633E" w:rsidP="00C03D9E">
            <w:pPr>
              <w:spacing w:after="0" w:line="240" w:lineRule="auto"/>
              <w:ind w:left="-210" w:right="-83" w:firstLine="166"/>
              <w:jc w:val="center"/>
              <w:rPr>
                <w:rFonts w:ascii="Times New Roman" w:hAnsi="Times New Roman"/>
                <w:color w:val="000000"/>
                <w:sz w:val="24"/>
                <w:szCs w:val="24"/>
              </w:rPr>
            </w:pPr>
            <w:r w:rsidRPr="008D6431">
              <w:rPr>
                <w:rFonts w:ascii="Times New Roman" w:hAnsi="Times New Roman"/>
                <w:color w:val="000000"/>
                <w:sz w:val="24"/>
                <w:szCs w:val="24"/>
              </w:rPr>
              <w:t>2005</w:t>
            </w:r>
          </w:p>
        </w:tc>
        <w:tc>
          <w:tcPr>
            <w:tcW w:w="834" w:type="dxa"/>
            <w:vAlign w:val="center"/>
          </w:tcPr>
          <w:p w:rsidR="00E3633E" w:rsidRPr="008D6431" w:rsidRDefault="00E3633E" w:rsidP="00C03D9E">
            <w:pPr>
              <w:spacing w:after="0" w:line="240" w:lineRule="auto"/>
              <w:ind w:left="-108" w:right="-125" w:firstLine="17"/>
              <w:jc w:val="center"/>
              <w:rPr>
                <w:rFonts w:ascii="Times New Roman" w:hAnsi="Times New Roman"/>
                <w:color w:val="000000"/>
                <w:sz w:val="24"/>
                <w:szCs w:val="24"/>
              </w:rPr>
            </w:pPr>
            <w:r w:rsidRPr="008D6431">
              <w:rPr>
                <w:rFonts w:ascii="Times New Roman" w:hAnsi="Times New Roman"/>
                <w:color w:val="000000"/>
                <w:sz w:val="24"/>
                <w:szCs w:val="24"/>
              </w:rPr>
              <w:t>2006</w:t>
            </w:r>
          </w:p>
        </w:tc>
        <w:tc>
          <w:tcPr>
            <w:tcW w:w="876" w:type="dxa"/>
            <w:vAlign w:val="center"/>
          </w:tcPr>
          <w:p w:rsidR="00E3633E" w:rsidRPr="008D6431" w:rsidRDefault="00E3633E" w:rsidP="00C03D9E">
            <w:pPr>
              <w:spacing w:after="0" w:line="240" w:lineRule="auto"/>
              <w:ind w:left="-107"/>
              <w:jc w:val="right"/>
              <w:rPr>
                <w:rFonts w:ascii="Times New Roman" w:hAnsi="Times New Roman"/>
                <w:color w:val="000000"/>
                <w:sz w:val="24"/>
                <w:szCs w:val="24"/>
              </w:rPr>
            </w:pPr>
            <w:r w:rsidRPr="008D6431">
              <w:rPr>
                <w:rFonts w:ascii="Times New Roman" w:hAnsi="Times New Roman"/>
                <w:color w:val="000000"/>
                <w:sz w:val="24"/>
                <w:szCs w:val="24"/>
              </w:rPr>
              <w:t>2007</w:t>
            </w:r>
          </w:p>
        </w:tc>
        <w:tc>
          <w:tcPr>
            <w:tcW w:w="955" w:type="dxa"/>
            <w:vAlign w:val="center"/>
          </w:tcPr>
          <w:p w:rsidR="00E3633E" w:rsidRPr="008D6431" w:rsidRDefault="00E3633E" w:rsidP="00C03D9E">
            <w:pPr>
              <w:spacing w:after="0" w:line="240" w:lineRule="auto"/>
              <w:ind w:left="-82"/>
              <w:jc w:val="center"/>
              <w:rPr>
                <w:rFonts w:ascii="Times New Roman" w:hAnsi="Times New Roman"/>
                <w:color w:val="000000"/>
                <w:sz w:val="24"/>
                <w:szCs w:val="24"/>
              </w:rPr>
            </w:pPr>
            <w:r w:rsidRPr="008D6431">
              <w:rPr>
                <w:rFonts w:ascii="Times New Roman" w:hAnsi="Times New Roman"/>
                <w:color w:val="000000"/>
                <w:sz w:val="24"/>
                <w:szCs w:val="24"/>
              </w:rPr>
              <w:t>2008</w:t>
            </w:r>
          </w:p>
        </w:tc>
        <w:tc>
          <w:tcPr>
            <w:tcW w:w="931" w:type="dxa"/>
            <w:vAlign w:val="center"/>
          </w:tcPr>
          <w:p w:rsidR="00E3633E" w:rsidRPr="008D6431" w:rsidRDefault="00E3633E" w:rsidP="00C03D9E">
            <w:pPr>
              <w:spacing w:after="0" w:line="240" w:lineRule="auto"/>
              <w:ind w:left="-104"/>
              <w:jc w:val="center"/>
              <w:rPr>
                <w:rFonts w:ascii="Times New Roman" w:hAnsi="Times New Roman"/>
                <w:color w:val="000000"/>
                <w:sz w:val="24"/>
                <w:szCs w:val="24"/>
              </w:rPr>
            </w:pPr>
            <w:r w:rsidRPr="008D6431">
              <w:rPr>
                <w:rFonts w:ascii="Times New Roman" w:hAnsi="Times New Roman"/>
                <w:color w:val="000000"/>
                <w:sz w:val="24"/>
                <w:szCs w:val="24"/>
              </w:rPr>
              <w:t>2009</w:t>
            </w:r>
          </w:p>
        </w:tc>
        <w:tc>
          <w:tcPr>
            <w:tcW w:w="940" w:type="dxa"/>
            <w:vAlign w:val="center"/>
          </w:tcPr>
          <w:p w:rsidR="00E3633E" w:rsidRPr="008D6431" w:rsidRDefault="00E3633E" w:rsidP="00C03D9E">
            <w:pPr>
              <w:spacing w:after="0" w:line="240" w:lineRule="auto"/>
              <w:ind w:left="-127"/>
              <w:jc w:val="center"/>
              <w:rPr>
                <w:rFonts w:ascii="Times New Roman" w:hAnsi="Times New Roman"/>
                <w:color w:val="000000"/>
                <w:sz w:val="24"/>
                <w:szCs w:val="24"/>
              </w:rPr>
            </w:pPr>
            <w:r w:rsidRPr="008D6431">
              <w:rPr>
                <w:rFonts w:ascii="Times New Roman" w:hAnsi="Times New Roman"/>
                <w:color w:val="000000"/>
                <w:sz w:val="24"/>
                <w:szCs w:val="24"/>
              </w:rPr>
              <w:t>2010</w:t>
            </w:r>
          </w:p>
        </w:tc>
        <w:tc>
          <w:tcPr>
            <w:tcW w:w="917" w:type="dxa"/>
            <w:vAlign w:val="center"/>
          </w:tcPr>
          <w:p w:rsidR="00E3633E" w:rsidRPr="008D6431" w:rsidRDefault="00E3633E" w:rsidP="00C03D9E">
            <w:pPr>
              <w:spacing w:after="0" w:line="240" w:lineRule="auto"/>
              <w:ind w:left="-284" w:firstLine="176"/>
              <w:jc w:val="center"/>
              <w:rPr>
                <w:rFonts w:ascii="Times New Roman" w:hAnsi="Times New Roman"/>
                <w:color w:val="000000"/>
                <w:sz w:val="24"/>
                <w:szCs w:val="24"/>
              </w:rPr>
            </w:pPr>
            <w:r w:rsidRPr="008D6431">
              <w:rPr>
                <w:rFonts w:ascii="Times New Roman" w:hAnsi="Times New Roman"/>
                <w:color w:val="000000"/>
                <w:sz w:val="24"/>
                <w:szCs w:val="24"/>
              </w:rPr>
              <w:t>2011</w:t>
            </w:r>
          </w:p>
        </w:tc>
        <w:tc>
          <w:tcPr>
            <w:tcW w:w="903" w:type="dxa"/>
            <w:vAlign w:val="center"/>
          </w:tcPr>
          <w:p w:rsidR="00E3633E" w:rsidRPr="008D6431" w:rsidRDefault="00E3633E" w:rsidP="00C03D9E">
            <w:pPr>
              <w:spacing w:after="0" w:line="240" w:lineRule="auto"/>
              <w:ind w:left="-174"/>
              <w:jc w:val="center"/>
              <w:rPr>
                <w:rFonts w:ascii="Times New Roman" w:hAnsi="Times New Roman"/>
                <w:color w:val="000000"/>
                <w:sz w:val="24"/>
                <w:szCs w:val="24"/>
              </w:rPr>
            </w:pPr>
            <w:r w:rsidRPr="008D6431">
              <w:rPr>
                <w:rFonts w:ascii="Times New Roman" w:hAnsi="Times New Roman"/>
                <w:color w:val="000000"/>
                <w:sz w:val="24"/>
                <w:szCs w:val="24"/>
              </w:rPr>
              <w:t>2012</w:t>
            </w:r>
          </w:p>
        </w:tc>
        <w:tc>
          <w:tcPr>
            <w:tcW w:w="774" w:type="dxa"/>
            <w:vAlign w:val="center"/>
          </w:tcPr>
          <w:p w:rsidR="00E3633E" w:rsidRPr="008D6431" w:rsidRDefault="00E3633E" w:rsidP="00C03D9E">
            <w:pPr>
              <w:spacing w:after="0" w:line="240" w:lineRule="auto"/>
              <w:ind w:left="-127"/>
              <w:jc w:val="center"/>
              <w:rPr>
                <w:rFonts w:ascii="Times New Roman" w:hAnsi="Times New Roman"/>
                <w:color w:val="000000"/>
                <w:sz w:val="24"/>
                <w:szCs w:val="24"/>
              </w:rPr>
            </w:pPr>
            <w:r w:rsidRPr="008D6431">
              <w:rPr>
                <w:rFonts w:ascii="Times New Roman" w:hAnsi="Times New Roman"/>
                <w:color w:val="000000"/>
                <w:sz w:val="24"/>
                <w:szCs w:val="24"/>
              </w:rPr>
              <w:t>2013</w:t>
            </w:r>
          </w:p>
        </w:tc>
        <w:tc>
          <w:tcPr>
            <w:tcW w:w="916" w:type="dxa"/>
            <w:vAlign w:val="center"/>
          </w:tcPr>
          <w:p w:rsidR="00E3633E" w:rsidRPr="008D6431" w:rsidRDefault="00E3633E" w:rsidP="00C03D9E">
            <w:pPr>
              <w:spacing w:after="0" w:line="240" w:lineRule="auto"/>
              <w:ind w:left="-127"/>
              <w:rPr>
                <w:rFonts w:ascii="Times New Roman" w:hAnsi="Times New Roman"/>
                <w:color w:val="000000"/>
                <w:sz w:val="24"/>
                <w:szCs w:val="24"/>
              </w:rPr>
            </w:pPr>
            <w:r w:rsidRPr="008D6431">
              <w:rPr>
                <w:rFonts w:ascii="Times New Roman" w:hAnsi="Times New Roman"/>
                <w:color w:val="000000"/>
                <w:sz w:val="24"/>
                <w:szCs w:val="24"/>
              </w:rPr>
              <w:t>2014</w:t>
            </w:r>
          </w:p>
          <w:p w:rsidR="00E3633E" w:rsidRPr="008D6431" w:rsidRDefault="00E3633E" w:rsidP="00C03D9E">
            <w:pPr>
              <w:spacing w:after="0" w:line="240" w:lineRule="auto"/>
              <w:ind w:left="-127"/>
              <w:jc w:val="center"/>
              <w:rPr>
                <w:rFonts w:ascii="Times New Roman" w:hAnsi="Times New Roman"/>
                <w:color w:val="000000"/>
                <w:sz w:val="24"/>
                <w:szCs w:val="24"/>
              </w:rPr>
            </w:pPr>
          </w:p>
        </w:tc>
      </w:tr>
      <w:tr w:rsidR="00E3633E" w:rsidRPr="008D6431" w:rsidTr="00C03D9E">
        <w:trPr>
          <w:cantSplit/>
          <w:trHeight w:val="541"/>
        </w:trPr>
        <w:tc>
          <w:tcPr>
            <w:tcW w:w="426" w:type="dxa"/>
            <w:vAlign w:val="center"/>
          </w:tcPr>
          <w:p w:rsidR="00E3633E" w:rsidRPr="008D6431" w:rsidRDefault="00E3633E" w:rsidP="00C03D9E">
            <w:pPr>
              <w:spacing w:after="0" w:line="240" w:lineRule="auto"/>
              <w:ind w:left="-284" w:right="-108" w:firstLine="102"/>
              <w:jc w:val="center"/>
              <w:rPr>
                <w:rFonts w:ascii="Times New Roman" w:hAnsi="Times New Roman"/>
                <w:color w:val="000000"/>
                <w:sz w:val="24"/>
                <w:szCs w:val="24"/>
              </w:rPr>
            </w:pPr>
            <w:r w:rsidRPr="008D6431">
              <w:rPr>
                <w:rFonts w:ascii="Times New Roman" w:hAnsi="Times New Roman"/>
                <w:color w:val="000000"/>
                <w:sz w:val="24"/>
                <w:szCs w:val="24"/>
              </w:rPr>
              <w:t>1.</w:t>
            </w:r>
          </w:p>
        </w:tc>
        <w:tc>
          <w:tcPr>
            <w:tcW w:w="993" w:type="dxa"/>
            <w:vAlign w:val="center"/>
          </w:tcPr>
          <w:p w:rsidR="00E3633E" w:rsidRPr="008D6431" w:rsidRDefault="00E3633E" w:rsidP="00C03D9E">
            <w:pPr>
              <w:spacing w:after="0" w:line="240" w:lineRule="auto"/>
              <w:ind w:left="-108" w:firstLine="148"/>
              <w:jc w:val="center"/>
              <w:rPr>
                <w:rFonts w:ascii="Times New Roman" w:hAnsi="Times New Roman"/>
                <w:color w:val="000000"/>
                <w:sz w:val="24"/>
                <w:szCs w:val="24"/>
              </w:rPr>
            </w:pPr>
            <m:oMathPara>
              <m:oMathParaPr>
                <m:jc m:val="center"/>
              </m:oMathParaPr>
              <m:oMath>
                <m:sSub>
                  <m:sSubPr>
                    <m:ctrlPr>
                      <w:rPr>
                        <w:rFonts w:ascii="Cambria Math" w:hAnsi="Times New Roman"/>
                        <w:i/>
                        <w:color w:val="000000"/>
                        <w:sz w:val="24"/>
                        <w:szCs w:val="24"/>
                      </w:rPr>
                    </m:ctrlPr>
                  </m:sSubPr>
                  <m:e>
                    <m:r>
                      <w:rPr>
                        <w:rFonts w:ascii="Cambria Math" w:hAnsi="Cambria Math"/>
                        <w:color w:val="000000"/>
                        <w:sz w:val="24"/>
                        <w:szCs w:val="24"/>
                      </w:rPr>
                      <m:t>Д</m:t>
                    </m:r>
                  </m:e>
                  <m:sub>
                    <m:r>
                      <w:rPr>
                        <w:rFonts w:ascii="Cambria Math" w:hAnsi="Cambria Math"/>
                        <w:color w:val="000000"/>
                        <w:sz w:val="24"/>
                        <w:szCs w:val="24"/>
                      </w:rPr>
                      <m:t>АБС</m:t>
                    </m:r>
                    <m:r>
                      <w:rPr>
                        <w:rFonts w:ascii="Cambria Math" w:hAnsi="Times New Roman"/>
                        <w:color w:val="000000"/>
                        <w:sz w:val="24"/>
                        <w:szCs w:val="24"/>
                      </w:rPr>
                      <m:t xml:space="preserve"> </m:t>
                    </m:r>
                    <m:r>
                      <w:rPr>
                        <w:rFonts w:ascii="Cambria Math" w:hAnsi="Cambria Math"/>
                        <w:color w:val="000000"/>
                        <w:sz w:val="24"/>
                        <w:szCs w:val="24"/>
                      </w:rPr>
                      <m:t>ном</m:t>
                    </m:r>
                  </m:sub>
                </m:sSub>
              </m:oMath>
            </m:oMathPara>
          </w:p>
        </w:tc>
        <w:tc>
          <w:tcPr>
            <w:tcW w:w="708" w:type="dxa"/>
            <w:vAlign w:val="center"/>
          </w:tcPr>
          <w:p w:rsidR="00E3633E" w:rsidRPr="008D6431" w:rsidRDefault="00E3633E" w:rsidP="00C03D9E">
            <w:pPr>
              <w:spacing w:after="0" w:line="240" w:lineRule="auto"/>
              <w:ind w:left="-1036" w:firstLine="166"/>
              <w:jc w:val="right"/>
              <w:rPr>
                <w:rFonts w:ascii="Times New Roman" w:hAnsi="Times New Roman"/>
                <w:color w:val="000000"/>
                <w:sz w:val="24"/>
                <w:szCs w:val="24"/>
              </w:rPr>
            </w:pPr>
            <w:r w:rsidRPr="008D6431">
              <w:rPr>
                <w:rFonts w:ascii="Times New Roman" w:hAnsi="Times New Roman"/>
                <w:color w:val="000000"/>
                <w:sz w:val="20"/>
                <w:szCs w:val="20"/>
              </w:rPr>
              <w:t>+</w:t>
            </w:r>
            <w:r w:rsidRPr="008D6431">
              <w:rPr>
                <w:rFonts w:ascii="Times New Roman" w:hAnsi="Times New Roman"/>
                <w:color w:val="000000"/>
                <w:sz w:val="24"/>
                <w:szCs w:val="24"/>
              </w:rPr>
              <w:t>598</w:t>
            </w:r>
          </w:p>
        </w:tc>
        <w:tc>
          <w:tcPr>
            <w:tcW w:w="834" w:type="dxa"/>
            <w:vAlign w:val="center"/>
          </w:tcPr>
          <w:p w:rsidR="00E3633E" w:rsidRPr="008D6431" w:rsidRDefault="00E3633E" w:rsidP="00C03D9E">
            <w:pPr>
              <w:spacing w:after="0" w:line="240" w:lineRule="auto"/>
              <w:ind w:left="-108" w:right="-125" w:firstLine="17"/>
              <w:jc w:val="center"/>
              <w:rPr>
                <w:rFonts w:ascii="Times New Roman" w:hAnsi="Times New Roman"/>
                <w:color w:val="000000"/>
                <w:sz w:val="24"/>
                <w:szCs w:val="24"/>
              </w:rPr>
            </w:pPr>
            <w:r w:rsidRPr="008D6431">
              <w:rPr>
                <w:rFonts w:ascii="Times New Roman" w:hAnsi="Times New Roman"/>
                <w:color w:val="000000"/>
                <w:sz w:val="20"/>
                <w:szCs w:val="20"/>
              </w:rPr>
              <w:t>-</w:t>
            </w:r>
            <w:r w:rsidRPr="008D6431">
              <w:rPr>
                <w:rFonts w:ascii="Times New Roman" w:hAnsi="Times New Roman"/>
                <w:color w:val="000000"/>
                <w:sz w:val="24"/>
                <w:szCs w:val="24"/>
              </w:rPr>
              <w:t>1618,5</w:t>
            </w:r>
          </w:p>
        </w:tc>
        <w:tc>
          <w:tcPr>
            <w:tcW w:w="876" w:type="dxa"/>
            <w:vAlign w:val="center"/>
          </w:tcPr>
          <w:p w:rsidR="00E3633E" w:rsidRPr="008D6431" w:rsidRDefault="00E3633E" w:rsidP="00C03D9E">
            <w:pPr>
              <w:spacing w:after="0" w:line="240" w:lineRule="auto"/>
              <w:ind w:left="-107"/>
              <w:rPr>
                <w:rFonts w:ascii="Times New Roman" w:hAnsi="Times New Roman"/>
                <w:color w:val="000000"/>
                <w:sz w:val="24"/>
                <w:szCs w:val="24"/>
              </w:rPr>
            </w:pPr>
            <w:r w:rsidRPr="008D6431">
              <w:rPr>
                <w:rFonts w:ascii="Times New Roman" w:hAnsi="Times New Roman"/>
                <w:color w:val="000000"/>
                <w:sz w:val="20"/>
                <w:szCs w:val="20"/>
              </w:rPr>
              <w:t>-</w:t>
            </w:r>
            <w:r w:rsidRPr="008D6431">
              <w:rPr>
                <w:rFonts w:ascii="Times New Roman" w:hAnsi="Times New Roman"/>
                <w:color w:val="000000"/>
                <w:sz w:val="24"/>
                <w:szCs w:val="24"/>
              </w:rPr>
              <w:t>1466,3</w:t>
            </w:r>
          </w:p>
        </w:tc>
        <w:tc>
          <w:tcPr>
            <w:tcW w:w="955" w:type="dxa"/>
            <w:vAlign w:val="center"/>
          </w:tcPr>
          <w:p w:rsidR="00E3633E" w:rsidRPr="008D6431" w:rsidRDefault="00E3633E" w:rsidP="00C03D9E">
            <w:pPr>
              <w:spacing w:after="0" w:line="240" w:lineRule="auto"/>
              <w:ind w:left="-82"/>
              <w:jc w:val="center"/>
              <w:rPr>
                <w:rFonts w:ascii="Times New Roman" w:hAnsi="Times New Roman"/>
                <w:color w:val="000000"/>
                <w:sz w:val="24"/>
                <w:szCs w:val="24"/>
              </w:rPr>
            </w:pPr>
            <w:r w:rsidRPr="008D6431">
              <w:rPr>
                <w:rFonts w:ascii="Times New Roman" w:hAnsi="Times New Roman"/>
                <w:color w:val="000000"/>
                <w:sz w:val="24"/>
                <w:szCs w:val="24"/>
              </w:rPr>
              <w:t>+2805,2</w:t>
            </w:r>
          </w:p>
        </w:tc>
        <w:tc>
          <w:tcPr>
            <w:tcW w:w="931" w:type="dxa"/>
            <w:vAlign w:val="center"/>
          </w:tcPr>
          <w:p w:rsidR="00E3633E" w:rsidRPr="008D6431" w:rsidRDefault="00E3633E" w:rsidP="00C03D9E">
            <w:pPr>
              <w:spacing w:after="0" w:line="240" w:lineRule="auto"/>
              <w:ind w:left="-104"/>
              <w:jc w:val="center"/>
              <w:rPr>
                <w:rFonts w:ascii="Times New Roman" w:hAnsi="Times New Roman"/>
                <w:color w:val="000000"/>
                <w:sz w:val="24"/>
                <w:szCs w:val="24"/>
              </w:rPr>
            </w:pPr>
            <w:r w:rsidRPr="008D6431">
              <w:rPr>
                <w:rFonts w:ascii="Times New Roman" w:hAnsi="Times New Roman"/>
                <w:color w:val="000000"/>
                <w:sz w:val="24"/>
                <w:szCs w:val="24"/>
              </w:rPr>
              <w:t>+2623,1</w:t>
            </w:r>
          </w:p>
        </w:tc>
        <w:tc>
          <w:tcPr>
            <w:tcW w:w="940" w:type="dxa"/>
            <w:vAlign w:val="center"/>
          </w:tcPr>
          <w:p w:rsidR="00E3633E" w:rsidRPr="008D6431" w:rsidRDefault="00E3633E" w:rsidP="00C03D9E">
            <w:pPr>
              <w:spacing w:after="0" w:line="240" w:lineRule="auto"/>
              <w:ind w:left="-127"/>
              <w:jc w:val="center"/>
              <w:rPr>
                <w:rFonts w:ascii="Times New Roman" w:hAnsi="Times New Roman"/>
                <w:color w:val="000000"/>
                <w:sz w:val="24"/>
                <w:szCs w:val="24"/>
              </w:rPr>
            </w:pPr>
            <w:r w:rsidRPr="008D6431">
              <w:rPr>
                <w:rFonts w:ascii="Times New Roman" w:hAnsi="Times New Roman"/>
                <w:color w:val="000000"/>
                <w:sz w:val="24"/>
                <w:szCs w:val="24"/>
              </w:rPr>
              <w:t>+4473,6</w:t>
            </w:r>
          </w:p>
        </w:tc>
        <w:tc>
          <w:tcPr>
            <w:tcW w:w="917" w:type="dxa"/>
            <w:vAlign w:val="center"/>
          </w:tcPr>
          <w:p w:rsidR="00E3633E" w:rsidRPr="008D6431" w:rsidRDefault="00E3633E" w:rsidP="00C03D9E">
            <w:pPr>
              <w:spacing w:after="0" w:line="240" w:lineRule="auto"/>
              <w:ind w:left="-284" w:firstLine="176"/>
              <w:jc w:val="center"/>
              <w:rPr>
                <w:rFonts w:ascii="Times New Roman" w:hAnsi="Times New Roman"/>
                <w:color w:val="000000"/>
                <w:sz w:val="24"/>
                <w:szCs w:val="24"/>
              </w:rPr>
            </w:pPr>
            <w:r w:rsidRPr="008D6431">
              <w:rPr>
                <w:rFonts w:ascii="Times New Roman" w:hAnsi="Times New Roman"/>
                <w:color w:val="000000"/>
                <w:sz w:val="24"/>
                <w:szCs w:val="24"/>
              </w:rPr>
              <w:t>+1240,1</w:t>
            </w:r>
          </w:p>
        </w:tc>
        <w:tc>
          <w:tcPr>
            <w:tcW w:w="903" w:type="dxa"/>
            <w:vAlign w:val="center"/>
          </w:tcPr>
          <w:p w:rsidR="00E3633E" w:rsidRPr="008D6431" w:rsidRDefault="00E3633E" w:rsidP="00C03D9E">
            <w:pPr>
              <w:spacing w:after="0" w:line="240" w:lineRule="auto"/>
              <w:ind w:left="-174"/>
              <w:jc w:val="center"/>
              <w:rPr>
                <w:rFonts w:ascii="Times New Roman" w:hAnsi="Times New Roman"/>
                <w:color w:val="000000"/>
                <w:sz w:val="24"/>
                <w:szCs w:val="24"/>
              </w:rPr>
            </w:pPr>
            <w:r w:rsidRPr="008D6431">
              <w:rPr>
                <w:rFonts w:ascii="Times New Roman" w:hAnsi="Times New Roman"/>
                <w:color w:val="000000"/>
                <w:sz w:val="24"/>
                <w:szCs w:val="24"/>
              </w:rPr>
              <w:t>-2761,6</w:t>
            </w:r>
          </w:p>
        </w:tc>
        <w:tc>
          <w:tcPr>
            <w:tcW w:w="774" w:type="dxa"/>
            <w:vAlign w:val="center"/>
          </w:tcPr>
          <w:p w:rsidR="00E3633E" w:rsidRPr="008D6431" w:rsidRDefault="00E3633E" w:rsidP="00C03D9E">
            <w:pPr>
              <w:spacing w:after="0" w:line="240" w:lineRule="auto"/>
              <w:ind w:left="-174"/>
              <w:jc w:val="center"/>
              <w:rPr>
                <w:rFonts w:ascii="Times New Roman" w:hAnsi="Times New Roman"/>
                <w:color w:val="000000"/>
                <w:sz w:val="24"/>
                <w:szCs w:val="24"/>
              </w:rPr>
            </w:pPr>
            <w:r w:rsidRPr="008D6431">
              <w:rPr>
                <w:rFonts w:ascii="Times New Roman" w:hAnsi="Times New Roman"/>
                <w:color w:val="000000"/>
                <w:sz w:val="24"/>
                <w:szCs w:val="24"/>
              </w:rPr>
              <w:t>+3309</w:t>
            </w:r>
          </w:p>
        </w:tc>
        <w:tc>
          <w:tcPr>
            <w:tcW w:w="916" w:type="dxa"/>
            <w:vAlign w:val="center"/>
          </w:tcPr>
          <w:p w:rsidR="00E3633E" w:rsidRPr="008D6431" w:rsidRDefault="00E3633E" w:rsidP="00C03D9E">
            <w:pPr>
              <w:spacing w:after="0" w:line="240" w:lineRule="auto"/>
              <w:ind w:left="-174"/>
              <w:jc w:val="center"/>
              <w:rPr>
                <w:rFonts w:ascii="Times New Roman" w:hAnsi="Times New Roman"/>
                <w:color w:val="000000"/>
                <w:sz w:val="24"/>
                <w:szCs w:val="24"/>
              </w:rPr>
            </w:pPr>
            <w:r w:rsidRPr="008D6431">
              <w:rPr>
                <w:rFonts w:ascii="Times New Roman" w:hAnsi="Times New Roman"/>
                <w:color w:val="000000"/>
                <w:sz w:val="24"/>
                <w:szCs w:val="24"/>
              </w:rPr>
              <w:t>+18290</w:t>
            </w:r>
          </w:p>
          <w:p w:rsidR="00E3633E" w:rsidRPr="008D6431" w:rsidRDefault="00E3633E" w:rsidP="00C03D9E">
            <w:pPr>
              <w:spacing w:after="0" w:line="240" w:lineRule="auto"/>
              <w:ind w:left="-174"/>
              <w:jc w:val="center"/>
              <w:rPr>
                <w:rFonts w:ascii="Times New Roman" w:hAnsi="Times New Roman"/>
                <w:color w:val="000000"/>
                <w:sz w:val="24"/>
                <w:szCs w:val="24"/>
              </w:rPr>
            </w:pPr>
          </w:p>
        </w:tc>
      </w:tr>
      <w:tr w:rsidR="00E3633E" w:rsidRPr="008D6431" w:rsidTr="00C03D9E">
        <w:tc>
          <w:tcPr>
            <w:tcW w:w="426" w:type="dxa"/>
            <w:vAlign w:val="center"/>
          </w:tcPr>
          <w:p w:rsidR="00E3633E" w:rsidRPr="008D6431" w:rsidRDefault="00E3633E" w:rsidP="00C03D9E">
            <w:pPr>
              <w:spacing w:after="0" w:line="240" w:lineRule="auto"/>
              <w:ind w:left="-284" w:right="-108" w:firstLine="102"/>
              <w:jc w:val="center"/>
              <w:rPr>
                <w:rFonts w:ascii="Times New Roman" w:hAnsi="Times New Roman"/>
                <w:color w:val="000000"/>
                <w:sz w:val="24"/>
                <w:szCs w:val="24"/>
              </w:rPr>
            </w:pPr>
            <w:r w:rsidRPr="008D6431">
              <w:rPr>
                <w:rFonts w:ascii="Times New Roman" w:hAnsi="Times New Roman"/>
                <w:color w:val="000000"/>
                <w:sz w:val="24"/>
                <w:szCs w:val="24"/>
              </w:rPr>
              <w:t>2.</w:t>
            </w:r>
          </w:p>
        </w:tc>
        <w:tc>
          <w:tcPr>
            <w:tcW w:w="993" w:type="dxa"/>
            <w:vAlign w:val="center"/>
          </w:tcPr>
          <w:p w:rsidR="00E3633E" w:rsidRPr="008D6431" w:rsidRDefault="00E3633E" w:rsidP="00C03D9E">
            <w:pPr>
              <w:spacing w:after="0" w:line="240" w:lineRule="auto"/>
              <w:ind w:left="-108" w:firstLine="148"/>
              <w:jc w:val="center"/>
              <w:rPr>
                <w:rFonts w:ascii="Times New Roman" w:hAnsi="Times New Roman"/>
                <w:color w:val="000000"/>
                <w:sz w:val="24"/>
                <w:szCs w:val="24"/>
              </w:rPr>
            </w:pPr>
            <w:r w:rsidRPr="008D6431">
              <w:rPr>
                <w:rFonts w:ascii="Times New Roman" w:hAnsi="Times New Roman"/>
                <w:i/>
                <w:color w:val="000000"/>
                <w:sz w:val="24"/>
                <w:szCs w:val="24"/>
              </w:rPr>
              <w:t>ТЗ</w:t>
            </w:r>
            <w:r w:rsidRPr="008D6431">
              <w:rPr>
                <w:rFonts w:ascii="Times New Roman" w:hAnsi="Times New Roman"/>
                <w:color w:val="000000"/>
                <w:sz w:val="24"/>
                <w:szCs w:val="24"/>
              </w:rPr>
              <w:t xml:space="preserve"> </w:t>
            </w:r>
            <m:oMath>
              <m:sSub>
                <m:sSubPr>
                  <m:ctrlPr>
                    <w:rPr>
                      <w:rFonts w:ascii="Cambria Math" w:hAnsi="Times New Roman"/>
                      <w:i/>
                      <w:color w:val="000000"/>
                      <w:sz w:val="24"/>
                      <w:szCs w:val="24"/>
                    </w:rPr>
                  </m:ctrlPr>
                </m:sSubPr>
                <m:e>
                  <m:r>
                    <w:rPr>
                      <w:rFonts w:ascii="Cambria Math" w:hAnsi="Cambria Math"/>
                      <w:color w:val="000000"/>
                      <w:sz w:val="24"/>
                      <w:szCs w:val="24"/>
                    </w:rPr>
                    <m:t>ПБ</m:t>
                  </m:r>
                </m:e>
                <m:sub>
                  <m:r>
                    <w:rPr>
                      <w:rFonts w:ascii="Cambria Math" w:hAnsi="Cambria Math"/>
                      <w:color w:val="000000"/>
                      <w:sz w:val="24"/>
                      <w:szCs w:val="24"/>
                    </w:rPr>
                    <m:t>номін</m:t>
                  </m:r>
                </m:sub>
              </m:sSub>
            </m:oMath>
          </w:p>
        </w:tc>
        <w:tc>
          <w:tcPr>
            <w:tcW w:w="708" w:type="dxa"/>
            <w:vAlign w:val="center"/>
          </w:tcPr>
          <w:p w:rsidR="00E3633E" w:rsidRPr="008D6431" w:rsidRDefault="00E3633E" w:rsidP="00C03D9E">
            <w:pPr>
              <w:spacing w:after="0" w:line="240" w:lineRule="auto"/>
              <w:ind w:left="-469" w:firstLine="166"/>
              <w:jc w:val="center"/>
              <w:rPr>
                <w:rFonts w:ascii="Times New Roman" w:hAnsi="Times New Roman"/>
                <w:color w:val="000000"/>
                <w:sz w:val="24"/>
                <w:szCs w:val="24"/>
              </w:rPr>
            </w:pPr>
            <w:r w:rsidRPr="008D6431">
              <w:rPr>
                <w:rFonts w:ascii="Times New Roman" w:hAnsi="Times New Roman"/>
                <w:color w:val="000000"/>
                <w:sz w:val="24"/>
                <w:szCs w:val="24"/>
              </w:rPr>
              <w:t xml:space="preserve">    </w:t>
            </w:r>
            <w:r w:rsidRPr="008D6431">
              <w:rPr>
                <w:rFonts w:ascii="Times New Roman" w:hAnsi="Times New Roman"/>
                <w:color w:val="000000"/>
                <w:sz w:val="20"/>
                <w:szCs w:val="20"/>
              </w:rPr>
              <w:t>+</w:t>
            </w:r>
            <w:r w:rsidRPr="008D6431">
              <w:rPr>
                <w:rFonts w:ascii="Times New Roman" w:hAnsi="Times New Roman"/>
                <w:color w:val="000000"/>
                <w:sz w:val="24"/>
                <w:szCs w:val="24"/>
              </w:rPr>
              <w:t>6,8</w:t>
            </w:r>
          </w:p>
        </w:tc>
        <w:tc>
          <w:tcPr>
            <w:tcW w:w="834" w:type="dxa"/>
            <w:vAlign w:val="center"/>
          </w:tcPr>
          <w:p w:rsidR="00E3633E" w:rsidRPr="008D6431" w:rsidRDefault="00E3633E" w:rsidP="00C03D9E">
            <w:pPr>
              <w:spacing w:after="0" w:line="240" w:lineRule="auto"/>
              <w:ind w:left="-108" w:right="-125" w:firstLine="17"/>
              <w:jc w:val="center"/>
              <w:rPr>
                <w:rFonts w:ascii="Times New Roman" w:hAnsi="Times New Roman"/>
                <w:color w:val="000000"/>
                <w:sz w:val="24"/>
                <w:szCs w:val="24"/>
              </w:rPr>
            </w:pPr>
            <w:r w:rsidRPr="008D6431">
              <w:rPr>
                <w:rFonts w:ascii="Times New Roman" w:hAnsi="Times New Roman"/>
                <w:color w:val="000000"/>
                <w:sz w:val="20"/>
                <w:szCs w:val="20"/>
              </w:rPr>
              <w:t>-</w:t>
            </w:r>
            <w:r w:rsidRPr="008D6431">
              <w:rPr>
                <w:rFonts w:ascii="Times New Roman" w:hAnsi="Times New Roman"/>
                <w:color w:val="000000"/>
                <w:sz w:val="24"/>
                <w:szCs w:val="24"/>
              </w:rPr>
              <w:t>17,2</w:t>
            </w:r>
          </w:p>
        </w:tc>
        <w:tc>
          <w:tcPr>
            <w:tcW w:w="876" w:type="dxa"/>
            <w:vAlign w:val="center"/>
          </w:tcPr>
          <w:p w:rsidR="00E3633E" w:rsidRPr="008D6431" w:rsidRDefault="00E3633E" w:rsidP="00C03D9E">
            <w:pPr>
              <w:spacing w:after="0" w:line="240" w:lineRule="auto"/>
              <w:ind w:left="-107"/>
              <w:jc w:val="center"/>
              <w:rPr>
                <w:rFonts w:ascii="Times New Roman" w:hAnsi="Times New Roman"/>
                <w:color w:val="000000"/>
                <w:sz w:val="24"/>
                <w:szCs w:val="24"/>
              </w:rPr>
            </w:pPr>
            <w:r w:rsidRPr="008D6431">
              <w:rPr>
                <w:rFonts w:ascii="Times New Roman" w:hAnsi="Times New Roman"/>
                <w:color w:val="000000"/>
                <w:sz w:val="20"/>
                <w:szCs w:val="20"/>
              </w:rPr>
              <w:t>-</w:t>
            </w:r>
            <w:r w:rsidRPr="008D6431">
              <w:rPr>
                <w:rFonts w:ascii="Times New Roman" w:hAnsi="Times New Roman"/>
                <w:color w:val="000000"/>
                <w:sz w:val="24"/>
                <w:szCs w:val="24"/>
              </w:rPr>
              <w:t>18,4</w:t>
            </w:r>
          </w:p>
        </w:tc>
        <w:tc>
          <w:tcPr>
            <w:tcW w:w="955" w:type="dxa"/>
            <w:vAlign w:val="center"/>
          </w:tcPr>
          <w:p w:rsidR="00E3633E" w:rsidRPr="008D6431" w:rsidRDefault="00E3633E" w:rsidP="00C03D9E">
            <w:pPr>
              <w:spacing w:after="0" w:line="240" w:lineRule="auto"/>
              <w:ind w:left="-82"/>
              <w:jc w:val="center"/>
              <w:rPr>
                <w:rFonts w:ascii="Times New Roman" w:hAnsi="Times New Roman"/>
                <w:color w:val="000000"/>
                <w:sz w:val="24"/>
                <w:szCs w:val="24"/>
              </w:rPr>
            </w:pPr>
            <w:r w:rsidRPr="008D6431">
              <w:rPr>
                <w:rFonts w:ascii="Times New Roman" w:hAnsi="Times New Roman"/>
                <w:color w:val="000000"/>
                <w:sz w:val="24"/>
                <w:szCs w:val="24"/>
              </w:rPr>
              <w:t>+44,4</w:t>
            </w:r>
          </w:p>
        </w:tc>
        <w:tc>
          <w:tcPr>
            <w:tcW w:w="931" w:type="dxa"/>
            <w:vAlign w:val="center"/>
          </w:tcPr>
          <w:p w:rsidR="00E3633E" w:rsidRPr="008D6431" w:rsidRDefault="00E3633E" w:rsidP="00C03D9E">
            <w:pPr>
              <w:spacing w:after="0" w:line="240" w:lineRule="auto"/>
              <w:ind w:left="-104"/>
              <w:jc w:val="center"/>
              <w:rPr>
                <w:rFonts w:ascii="Times New Roman" w:hAnsi="Times New Roman"/>
                <w:color w:val="000000"/>
                <w:sz w:val="24"/>
                <w:szCs w:val="24"/>
              </w:rPr>
            </w:pPr>
            <w:r w:rsidRPr="008D6431">
              <w:rPr>
                <w:rFonts w:ascii="Times New Roman" w:hAnsi="Times New Roman"/>
                <w:color w:val="000000"/>
                <w:sz w:val="24"/>
                <w:szCs w:val="24"/>
              </w:rPr>
              <w:t>+28,7</w:t>
            </w:r>
          </w:p>
        </w:tc>
        <w:tc>
          <w:tcPr>
            <w:tcW w:w="940" w:type="dxa"/>
            <w:vAlign w:val="center"/>
          </w:tcPr>
          <w:p w:rsidR="00E3633E" w:rsidRPr="008D6431" w:rsidRDefault="00E3633E" w:rsidP="00C03D9E">
            <w:pPr>
              <w:spacing w:after="0" w:line="240" w:lineRule="auto"/>
              <w:ind w:left="-127"/>
              <w:jc w:val="center"/>
              <w:rPr>
                <w:rFonts w:ascii="Times New Roman" w:hAnsi="Times New Roman"/>
                <w:color w:val="000000"/>
                <w:sz w:val="24"/>
                <w:szCs w:val="24"/>
              </w:rPr>
            </w:pPr>
            <w:r w:rsidRPr="008D6431">
              <w:rPr>
                <w:rFonts w:ascii="Times New Roman" w:hAnsi="Times New Roman"/>
                <w:color w:val="000000"/>
                <w:sz w:val="24"/>
                <w:szCs w:val="24"/>
              </w:rPr>
              <w:t>+42,3</w:t>
            </w:r>
          </w:p>
        </w:tc>
        <w:tc>
          <w:tcPr>
            <w:tcW w:w="917" w:type="dxa"/>
            <w:vAlign w:val="center"/>
          </w:tcPr>
          <w:p w:rsidR="00E3633E" w:rsidRPr="008D6431" w:rsidRDefault="00E3633E" w:rsidP="00C03D9E">
            <w:pPr>
              <w:spacing w:after="0" w:line="240" w:lineRule="auto"/>
              <w:ind w:left="-284" w:firstLine="176"/>
              <w:jc w:val="center"/>
              <w:rPr>
                <w:rFonts w:ascii="Times New Roman" w:hAnsi="Times New Roman"/>
                <w:color w:val="000000"/>
                <w:sz w:val="24"/>
                <w:szCs w:val="24"/>
              </w:rPr>
            </w:pPr>
            <w:r w:rsidRPr="008D6431">
              <w:rPr>
                <w:rFonts w:ascii="Times New Roman" w:hAnsi="Times New Roman"/>
                <w:color w:val="000000"/>
                <w:sz w:val="24"/>
                <w:szCs w:val="24"/>
              </w:rPr>
              <w:t>+7,4</w:t>
            </w:r>
          </w:p>
        </w:tc>
        <w:tc>
          <w:tcPr>
            <w:tcW w:w="903" w:type="dxa"/>
            <w:vAlign w:val="center"/>
          </w:tcPr>
          <w:p w:rsidR="00E3633E" w:rsidRPr="008D6431" w:rsidRDefault="00E3633E" w:rsidP="00C03D9E">
            <w:pPr>
              <w:spacing w:after="0" w:line="240" w:lineRule="auto"/>
              <w:ind w:left="-174"/>
              <w:jc w:val="center"/>
              <w:rPr>
                <w:rFonts w:ascii="Times New Roman" w:hAnsi="Times New Roman"/>
                <w:color w:val="000000"/>
                <w:sz w:val="24"/>
                <w:szCs w:val="24"/>
              </w:rPr>
            </w:pPr>
            <w:r w:rsidRPr="008D6431">
              <w:rPr>
                <w:rFonts w:ascii="Times New Roman" w:hAnsi="Times New Roman"/>
                <w:color w:val="000000"/>
                <w:sz w:val="24"/>
                <w:szCs w:val="24"/>
              </w:rPr>
              <w:t>-15,4</w:t>
            </w:r>
          </w:p>
        </w:tc>
        <w:tc>
          <w:tcPr>
            <w:tcW w:w="774" w:type="dxa"/>
            <w:vAlign w:val="center"/>
          </w:tcPr>
          <w:p w:rsidR="00E3633E" w:rsidRPr="008D6431" w:rsidRDefault="00E3633E" w:rsidP="00C03D9E">
            <w:pPr>
              <w:spacing w:after="0" w:line="240" w:lineRule="auto"/>
              <w:ind w:left="-174"/>
              <w:jc w:val="center"/>
              <w:rPr>
                <w:rFonts w:ascii="Times New Roman" w:hAnsi="Times New Roman"/>
                <w:color w:val="000000"/>
                <w:sz w:val="24"/>
                <w:szCs w:val="24"/>
              </w:rPr>
            </w:pPr>
            <w:r w:rsidRPr="008D6431">
              <w:rPr>
                <w:rFonts w:ascii="Times New Roman" w:hAnsi="Times New Roman"/>
                <w:color w:val="000000"/>
                <w:sz w:val="24"/>
                <w:szCs w:val="24"/>
              </w:rPr>
              <w:t>+21,7</w:t>
            </w:r>
          </w:p>
        </w:tc>
        <w:tc>
          <w:tcPr>
            <w:tcW w:w="916" w:type="dxa"/>
            <w:vAlign w:val="center"/>
          </w:tcPr>
          <w:p w:rsidR="00E3633E" w:rsidRPr="008D6431" w:rsidRDefault="00E3633E" w:rsidP="00C03D9E">
            <w:pPr>
              <w:spacing w:after="0" w:line="240" w:lineRule="auto"/>
              <w:ind w:left="-174"/>
              <w:jc w:val="center"/>
              <w:rPr>
                <w:rFonts w:ascii="Times New Roman" w:hAnsi="Times New Roman"/>
                <w:color w:val="000000"/>
                <w:sz w:val="24"/>
                <w:szCs w:val="24"/>
              </w:rPr>
            </w:pPr>
            <w:r w:rsidRPr="008D6431">
              <w:rPr>
                <w:rFonts w:ascii="Times New Roman" w:hAnsi="Times New Roman"/>
                <w:color w:val="000000"/>
                <w:sz w:val="24"/>
                <w:szCs w:val="24"/>
              </w:rPr>
              <w:t>+98,8</w:t>
            </w:r>
          </w:p>
        </w:tc>
      </w:tr>
    </w:tbl>
    <w:p w:rsidR="00E3633E" w:rsidRPr="00D82706" w:rsidRDefault="00E3633E" w:rsidP="00E3633E">
      <w:pPr>
        <w:spacing w:after="0" w:line="360" w:lineRule="auto"/>
        <w:ind w:left="-284" w:firstLine="710"/>
        <w:jc w:val="both"/>
        <w:rPr>
          <w:rFonts w:ascii="Times New Roman" w:hAnsi="Times New Roman"/>
          <w:color w:val="000000"/>
          <w:sz w:val="28"/>
          <w:szCs w:val="28"/>
        </w:rPr>
      </w:pPr>
      <w:proofErr w:type="spellStart"/>
      <w:r w:rsidRPr="0012560E">
        <w:rPr>
          <w:rFonts w:ascii="Times New Roman" w:hAnsi="Times New Roman"/>
          <w:color w:val="000000"/>
          <w:sz w:val="28"/>
          <w:szCs w:val="28"/>
        </w:rPr>
        <w:t>Джерело</w:t>
      </w:r>
      <w:proofErr w:type="spell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розраховано</w:t>
      </w:r>
      <w:proofErr w:type="spellEnd"/>
      <w:r w:rsidRPr="0012560E">
        <w:rPr>
          <w:rFonts w:ascii="Times New Roman" w:hAnsi="Times New Roman"/>
          <w:color w:val="000000"/>
          <w:sz w:val="28"/>
          <w:szCs w:val="28"/>
        </w:rPr>
        <w:t xml:space="preserve"> автором</w:t>
      </w:r>
      <w:r>
        <w:rPr>
          <w:rFonts w:ascii="Times New Roman" w:hAnsi="Times New Roman"/>
          <w:color w:val="000000"/>
          <w:sz w:val="28"/>
          <w:szCs w:val="28"/>
        </w:rPr>
        <w:t xml:space="preserve"> за </w:t>
      </w:r>
      <w:proofErr w:type="spellStart"/>
      <w:r>
        <w:rPr>
          <w:rFonts w:ascii="Times New Roman" w:hAnsi="Times New Roman"/>
          <w:color w:val="000000"/>
          <w:sz w:val="28"/>
          <w:szCs w:val="28"/>
        </w:rPr>
        <w:t>даними</w:t>
      </w:r>
      <w:proofErr w:type="spellEnd"/>
      <w:r>
        <w:rPr>
          <w:rFonts w:ascii="Times New Roman" w:hAnsi="Times New Roman"/>
          <w:color w:val="000000"/>
          <w:sz w:val="28"/>
          <w:szCs w:val="28"/>
        </w:rPr>
        <w:t xml:space="preserve">: </w:t>
      </w:r>
      <w:r w:rsidRPr="004101DF">
        <w:rPr>
          <w:rFonts w:ascii="Times New Roman" w:hAnsi="Times New Roman"/>
          <w:color w:val="000000"/>
          <w:sz w:val="28"/>
          <w:szCs w:val="28"/>
        </w:rPr>
        <w:t>[</w:t>
      </w:r>
      <w:r w:rsidR="006410D2">
        <w:rPr>
          <w:rFonts w:ascii="Times New Roman" w:hAnsi="Times New Roman"/>
          <w:color w:val="000000"/>
          <w:sz w:val="28"/>
          <w:szCs w:val="28"/>
          <w:lang w:val="uk-UA"/>
        </w:rPr>
        <w:fldChar w:fldCharType="begin"/>
      </w:r>
      <w:r w:rsidR="006410D2">
        <w:rPr>
          <w:rFonts w:ascii="Times New Roman" w:hAnsi="Times New Roman"/>
          <w:color w:val="000000"/>
          <w:sz w:val="28"/>
          <w:szCs w:val="28"/>
        </w:rPr>
        <w:instrText xml:space="preserve"> REF _Ref449059581 \r \h </w:instrText>
      </w:r>
      <w:r w:rsidR="006410D2">
        <w:rPr>
          <w:rFonts w:ascii="Times New Roman" w:hAnsi="Times New Roman"/>
          <w:color w:val="000000"/>
          <w:sz w:val="28"/>
          <w:szCs w:val="28"/>
          <w:lang w:val="uk-UA"/>
        </w:rPr>
      </w:r>
      <w:r w:rsidR="006410D2">
        <w:rPr>
          <w:rFonts w:ascii="Times New Roman" w:hAnsi="Times New Roman"/>
          <w:color w:val="000000"/>
          <w:sz w:val="28"/>
          <w:szCs w:val="28"/>
          <w:lang w:val="uk-UA"/>
        </w:rPr>
        <w:fldChar w:fldCharType="separate"/>
      </w:r>
      <w:r w:rsidR="006B1E97">
        <w:rPr>
          <w:rFonts w:ascii="Times New Roman" w:hAnsi="Times New Roman"/>
          <w:color w:val="000000"/>
          <w:sz w:val="28"/>
          <w:szCs w:val="28"/>
        </w:rPr>
        <w:t>1</w:t>
      </w:r>
      <w:r w:rsidR="006410D2">
        <w:rPr>
          <w:rFonts w:ascii="Times New Roman" w:hAnsi="Times New Roman"/>
          <w:color w:val="000000"/>
          <w:sz w:val="28"/>
          <w:szCs w:val="28"/>
          <w:lang w:val="uk-UA"/>
        </w:rPr>
        <w:fldChar w:fldCharType="end"/>
      </w:r>
      <w:r w:rsidR="00CD7B82">
        <w:rPr>
          <w:rFonts w:ascii="Times New Roman" w:hAnsi="Times New Roman"/>
          <w:color w:val="000000"/>
          <w:sz w:val="28"/>
          <w:szCs w:val="28"/>
          <w:lang w:val="uk-UA"/>
        </w:rPr>
        <w:t xml:space="preserve">; </w:t>
      </w:r>
      <w:r w:rsidR="006410D2">
        <w:rPr>
          <w:rFonts w:ascii="Times New Roman" w:hAnsi="Times New Roman"/>
          <w:color w:val="000000"/>
          <w:sz w:val="28"/>
          <w:szCs w:val="28"/>
          <w:lang w:val="uk-UA"/>
        </w:rPr>
        <w:fldChar w:fldCharType="begin"/>
      </w:r>
      <w:r w:rsidR="006410D2">
        <w:rPr>
          <w:rFonts w:ascii="Times New Roman" w:hAnsi="Times New Roman"/>
          <w:color w:val="000000"/>
          <w:sz w:val="28"/>
          <w:szCs w:val="28"/>
          <w:lang w:val="uk-UA"/>
        </w:rPr>
        <w:instrText xml:space="preserve"> REF _Ref449059588 \r \h </w:instrText>
      </w:r>
      <w:r w:rsidR="006410D2">
        <w:rPr>
          <w:rFonts w:ascii="Times New Roman" w:hAnsi="Times New Roman"/>
          <w:color w:val="000000"/>
          <w:sz w:val="28"/>
          <w:szCs w:val="28"/>
          <w:lang w:val="uk-UA"/>
        </w:rPr>
      </w:r>
      <w:r w:rsidR="006410D2">
        <w:rPr>
          <w:rFonts w:ascii="Times New Roman" w:hAnsi="Times New Roman"/>
          <w:color w:val="000000"/>
          <w:sz w:val="28"/>
          <w:szCs w:val="28"/>
          <w:lang w:val="uk-UA"/>
        </w:rPr>
        <w:fldChar w:fldCharType="separate"/>
      </w:r>
      <w:r w:rsidR="006B1E97">
        <w:rPr>
          <w:rFonts w:ascii="Times New Roman" w:hAnsi="Times New Roman"/>
          <w:color w:val="000000"/>
          <w:sz w:val="28"/>
          <w:szCs w:val="28"/>
          <w:lang w:val="uk-UA"/>
        </w:rPr>
        <w:t>4</w:t>
      </w:r>
      <w:r w:rsidR="006410D2">
        <w:rPr>
          <w:rFonts w:ascii="Times New Roman" w:hAnsi="Times New Roman"/>
          <w:color w:val="000000"/>
          <w:sz w:val="28"/>
          <w:szCs w:val="28"/>
          <w:lang w:val="uk-UA"/>
        </w:rPr>
        <w:fldChar w:fldCharType="end"/>
      </w:r>
      <w:r w:rsidRPr="004101DF">
        <w:rPr>
          <w:rFonts w:ascii="Times New Roman" w:hAnsi="Times New Roman"/>
          <w:color w:val="000000"/>
          <w:sz w:val="28"/>
          <w:szCs w:val="28"/>
        </w:rPr>
        <w:t>]</w:t>
      </w:r>
    </w:p>
    <w:p w:rsidR="00BF0FD8" w:rsidRPr="0012560E" w:rsidRDefault="00BF0FD8" w:rsidP="00BF0FD8">
      <w:pPr>
        <w:pStyle w:val="ListParagraph"/>
        <w:spacing w:after="0" w:line="360" w:lineRule="auto"/>
        <w:ind w:left="-284" w:firstLine="710"/>
        <w:jc w:val="both"/>
        <w:rPr>
          <w:rFonts w:ascii="Times New Roman" w:hAnsi="Times New Roman"/>
          <w:color w:val="000000"/>
          <w:sz w:val="28"/>
          <w:szCs w:val="28"/>
          <w:lang w:val="uk-UA"/>
        </w:rPr>
      </w:pPr>
      <w:r w:rsidRPr="0012560E">
        <w:rPr>
          <w:rFonts w:ascii="Times New Roman" w:hAnsi="Times New Roman"/>
          <w:color w:val="000000"/>
          <w:sz w:val="28"/>
          <w:szCs w:val="28"/>
          <w:lang w:val="uk-UA"/>
        </w:rPr>
        <w:t xml:space="preserve">За результатами розрахунків </w:t>
      </w:r>
      <w:r w:rsidR="00E3633E">
        <w:rPr>
          <w:rFonts w:ascii="Times New Roman" w:hAnsi="Times New Roman"/>
          <w:color w:val="000000"/>
          <w:sz w:val="28"/>
          <w:szCs w:val="28"/>
          <w:lang w:val="uk-UA"/>
        </w:rPr>
        <w:t xml:space="preserve">(табл. 1) </w:t>
      </w:r>
      <w:r w:rsidRPr="0012560E">
        <w:rPr>
          <w:rFonts w:ascii="Times New Roman" w:hAnsi="Times New Roman"/>
          <w:color w:val="000000"/>
          <w:sz w:val="28"/>
          <w:szCs w:val="28"/>
          <w:lang w:val="uk-UA"/>
        </w:rPr>
        <w:t>спостерігаємо повторення тенденцій абсолютної динаміки за досліджувані періоди.</w:t>
      </w:r>
    </w:p>
    <w:p w:rsidR="00BF0FD8" w:rsidRPr="00190ADC" w:rsidRDefault="00BF0FD8" w:rsidP="00BF0FD8">
      <w:pPr>
        <w:pStyle w:val="ListParagraph"/>
        <w:spacing w:after="0" w:line="360" w:lineRule="auto"/>
        <w:ind w:left="-284" w:right="-283" w:firstLine="710"/>
        <w:jc w:val="both"/>
        <w:rPr>
          <w:rFonts w:ascii="Times New Roman" w:hAnsi="Times New Roman"/>
          <w:sz w:val="28"/>
          <w:szCs w:val="28"/>
          <w:lang w:val="uk-UA"/>
        </w:rPr>
      </w:pPr>
      <w:r w:rsidRPr="0012560E">
        <w:rPr>
          <w:rFonts w:ascii="Times New Roman" w:hAnsi="Times New Roman"/>
          <w:sz w:val="28"/>
          <w:szCs w:val="28"/>
          <w:lang w:val="uk-UA"/>
        </w:rPr>
        <w:t xml:space="preserve">З метою адекватної оцінки податково-боргових тенденцій в України пропонуємо здійснити </w:t>
      </w:r>
      <w:r w:rsidR="00E3633E">
        <w:rPr>
          <w:rFonts w:ascii="Times New Roman" w:hAnsi="Times New Roman"/>
          <w:sz w:val="28"/>
          <w:szCs w:val="28"/>
          <w:lang w:val="uk-UA"/>
        </w:rPr>
        <w:t>розрахунок реального податкового боргу (</w:t>
      </w:r>
      <m:oMath>
        <m:sSub>
          <m:sSubPr>
            <m:ctrlPr>
              <w:rPr>
                <w:rFonts w:ascii="Cambria Math" w:hAnsi="Times New Roman"/>
                <w:i/>
                <w:color w:val="000000"/>
                <w:sz w:val="24"/>
                <w:szCs w:val="24"/>
              </w:rPr>
            </m:ctrlPr>
          </m:sSubPr>
          <m:e>
            <m:r>
              <w:rPr>
                <w:rFonts w:ascii="Cambria Math" w:hAnsi="Times New Roman"/>
                <w:color w:val="000000"/>
                <w:sz w:val="24"/>
                <w:szCs w:val="24"/>
                <w:lang w:val="uk-UA"/>
              </w:rPr>
              <m:t>ПБ</m:t>
            </m:r>
          </m:e>
          <m:sub>
            <m:r>
              <w:rPr>
                <w:rFonts w:ascii="Cambria Math" w:hAnsi="Times New Roman"/>
                <w:color w:val="000000"/>
                <w:sz w:val="24"/>
                <w:szCs w:val="24"/>
                <w:lang w:val="uk-UA"/>
              </w:rPr>
              <m:t>реал</m:t>
            </m:r>
          </m:sub>
        </m:sSub>
      </m:oMath>
      <w:r w:rsidR="00E3633E">
        <w:rPr>
          <w:rFonts w:ascii="Times New Roman" w:hAnsi="Times New Roman"/>
          <w:sz w:val="28"/>
          <w:szCs w:val="28"/>
          <w:lang w:val="uk-UA"/>
        </w:rPr>
        <w:t>), шляхом перерахунку</w:t>
      </w:r>
      <w:r w:rsidRPr="0012560E">
        <w:rPr>
          <w:rFonts w:ascii="Times New Roman" w:hAnsi="Times New Roman"/>
          <w:sz w:val="28"/>
          <w:szCs w:val="28"/>
          <w:lang w:val="uk-UA"/>
        </w:rPr>
        <w:t xml:space="preserve"> номінального обсягу податкового боргу </w:t>
      </w:r>
      <w:r w:rsidR="00E3633E">
        <w:rPr>
          <w:rFonts w:ascii="Times New Roman" w:hAnsi="Times New Roman"/>
          <w:sz w:val="28"/>
          <w:szCs w:val="28"/>
          <w:lang w:val="uk-UA"/>
        </w:rPr>
        <w:t xml:space="preserve">з врахуванням </w:t>
      </w:r>
      <w:r w:rsidRPr="0012560E">
        <w:rPr>
          <w:rFonts w:ascii="Times New Roman" w:hAnsi="Times New Roman"/>
          <w:sz w:val="28"/>
          <w:szCs w:val="28"/>
          <w:lang w:val="uk-UA"/>
        </w:rPr>
        <w:t>індекс</w:t>
      </w:r>
      <w:r w:rsidR="00E3633E">
        <w:rPr>
          <w:rFonts w:ascii="Times New Roman" w:hAnsi="Times New Roman"/>
          <w:sz w:val="28"/>
          <w:szCs w:val="28"/>
          <w:lang w:val="uk-UA"/>
        </w:rPr>
        <w:t>у</w:t>
      </w:r>
      <w:r w:rsidRPr="0012560E">
        <w:rPr>
          <w:rFonts w:ascii="Times New Roman" w:hAnsi="Times New Roman"/>
          <w:sz w:val="28"/>
          <w:szCs w:val="28"/>
          <w:lang w:val="uk-UA"/>
        </w:rPr>
        <w:t xml:space="preserve"> інфляції. Такий підхід, на нашу думку, показує реальну динаміку податкового боргу, адже інфляція, зростаючи, призводить до змін в обсягах платежів, несплат, </w:t>
      </w:r>
      <w:r w:rsidRPr="0012560E">
        <w:rPr>
          <w:rFonts w:ascii="Times New Roman" w:hAnsi="Times New Roman"/>
          <w:sz w:val="28"/>
          <w:szCs w:val="28"/>
          <w:lang w:val="uk-UA"/>
        </w:rPr>
        <w:lastRenderedPageBreak/>
        <w:t xml:space="preserve">донарахувань, а відтак абсолютна величина податкового боргу може збільшуватися при, наприклад, посиленні платіжної дисципліни платників податків або при зростанні ефективності заходів з управління податковим боргом, і навпаки.  </w:t>
      </w:r>
      <w:proofErr w:type="spellStart"/>
      <w:r>
        <w:rPr>
          <w:rFonts w:ascii="Times New Roman" w:hAnsi="Times New Roman"/>
          <w:sz w:val="28"/>
          <w:szCs w:val="28"/>
        </w:rPr>
        <w:t>Р</w:t>
      </w:r>
      <w:r w:rsidRPr="0012560E">
        <w:rPr>
          <w:rFonts w:ascii="Times New Roman" w:hAnsi="Times New Roman"/>
          <w:sz w:val="28"/>
          <w:szCs w:val="28"/>
        </w:rPr>
        <w:t>озрахунки</w:t>
      </w:r>
      <w:proofErr w:type="spellEnd"/>
      <w:r w:rsidRPr="0012560E">
        <w:rPr>
          <w:rFonts w:ascii="Times New Roman" w:hAnsi="Times New Roman"/>
          <w:sz w:val="28"/>
          <w:szCs w:val="28"/>
        </w:rPr>
        <w:t xml:space="preserve"> </w:t>
      </w:r>
      <w:proofErr w:type="gramStart"/>
      <w:r w:rsidRPr="0012560E">
        <w:rPr>
          <w:rFonts w:ascii="Times New Roman" w:hAnsi="Times New Roman"/>
          <w:sz w:val="28"/>
          <w:szCs w:val="28"/>
        </w:rPr>
        <w:t>реального</w:t>
      </w:r>
      <w:proofErr w:type="gramEnd"/>
      <w:r w:rsidRPr="0012560E">
        <w:rPr>
          <w:rFonts w:ascii="Times New Roman" w:hAnsi="Times New Roman"/>
          <w:sz w:val="28"/>
          <w:szCs w:val="28"/>
        </w:rPr>
        <w:t xml:space="preserve"> </w:t>
      </w:r>
      <w:proofErr w:type="spellStart"/>
      <w:r w:rsidRPr="0012560E">
        <w:rPr>
          <w:rFonts w:ascii="Times New Roman" w:hAnsi="Times New Roman"/>
          <w:sz w:val="28"/>
          <w:szCs w:val="28"/>
        </w:rPr>
        <w:t>податкового</w:t>
      </w:r>
      <w:proofErr w:type="spellEnd"/>
      <w:r w:rsidRPr="0012560E">
        <w:rPr>
          <w:rFonts w:ascii="Times New Roman" w:hAnsi="Times New Roman"/>
          <w:sz w:val="28"/>
          <w:szCs w:val="28"/>
        </w:rPr>
        <w:t xml:space="preserve"> боргу </w:t>
      </w:r>
      <w:proofErr w:type="spellStart"/>
      <w:r w:rsidRPr="0012560E">
        <w:rPr>
          <w:rFonts w:ascii="Times New Roman" w:hAnsi="Times New Roman"/>
          <w:sz w:val="28"/>
          <w:szCs w:val="28"/>
        </w:rPr>
        <w:t>із</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в</w:t>
      </w:r>
      <w:r>
        <w:rPr>
          <w:rFonts w:ascii="Times New Roman" w:hAnsi="Times New Roman"/>
          <w:sz w:val="28"/>
          <w:szCs w:val="28"/>
        </w:rPr>
        <w:t>рахуванням</w:t>
      </w:r>
      <w:proofErr w:type="spellEnd"/>
      <w:r>
        <w:rPr>
          <w:rFonts w:ascii="Times New Roman" w:hAnsi="Times New Roman"/>
          <w:sz w:val="28"/>
          <w:szCs w:val="28"/>
        </w:rPr>
        <w:t xml:space="preserve"> темпу </w:t>
      </w:r>
      <w:proofErr w:type="spellStart"/>
      <w:r>
        <w:rPr>
          <w:rFonts w:ascii="Times New Roman" w:hAnsi="Times New Roman"/>
          <w:sz w:val="28"/>
          <w:szCs w:val="28"/>
        </w:rPr>
        <w:t>інфляції</w:t>
      </w:r>
      <w:proofErr w:type="spellEnd"/>
      <w:r>
        <w:rPr>
          <w:rFonts w:ascii="Times New Roman" w:hAnsi="Times New Roman"/>
          <w:sz w:val="28"/>
          <w:szCs w:val="28"/>
        </w:rPr>
        <w:t xml:space="preserve"> </w:t>
      </w:r>
      <w:proofErr w:type="spellStart"/>
      <w:r w:rsidRPr="0012560E">
        <w:rPr>
          <w:rFonts w:ascii="Times New Roman" w:hAnsi="Times New Roman"/>
          <w:sz w:val="28"/>
          <w:szCs w:val="28"/>
        </w:rPr>
        <w:t>пред</w:t>
      </w:r>
      <w:r w:rsidR="00690A71">
        <w:rPr>
          <w:rFonts w:ascii="Times New Roman" w:hAnsi="Times New Roman"/>
          <w:sz w:val="28"/>
          <w:szCs w:val="28"/>
        </w:rPr>
        <w:t>ставлені</w:t>
      </w:r>
      <w:proofErr w:type="spellEnd"/>
      <w:r w:rsidR="00690A71">
        <w:rPr>
          <w:rFonts w:ascii="Times New Roman" w:hAnsi="Times New Roman"/>
          <w:sz w:val="28"/>
          <w:szCs w:val="28"/>
        </w:rPr>
        <w:t xml:space="preserve"> у табл. </w:t>
      </w:r>
      <w:r w:rsidR="00690A71">
        <w:rPr>
          <w:rFonts w:ascii="Times New Roman" w:hAnsi="Times New Roman"/>
          <w:sz w:val="28"/>
          <w:szCs w:val="28"/>
          <w:lang w:val="uk-UA"/>
        </w:rPr>
        <w:t>2</w:t>
      </w:r>
      <w:r w:rsidRPr="0012560E">
        <w:rPr>
          <w:rFonts w:ascii="Times New Roman" w:hAnsi="Times New Roman"/>
          <w:color w:val="000000"/>
          <w:sz w:val="28"/>
          <w:szCs w:val="28"/>
        </w:rPr>
        <w:t>:</w:t>
      </w:r>
      <w:r w:rsidR="00E3633E" w:rsidRPr="00E3633E">
        <w:rPr>
          <w:rFonts w:ascii="Times New Roman" w:hAnsi="Times New Roman"/>
          <w:color w:val="000000"/>
          <w:sz w:val="28"/>
          <w:szCs w:val="28"/>
          <w:lang w:val="uk-UA"/>
        </w:rPr>
        <w:t xml:space="preserve"> </w:t>
      </w:r>
    </w:p>
    <w:p w:rsidR="00BF0FD8" w:rsidRPr="00E3633E" w:rsidRDefault="00E3633E" w:rsidP="00BF0FD8">
      <w:pPr>
        <w:spacing w:after="0" w:line="360" w:lineRule="auto"/>
        <w:ind w:left="-284" w:right="-284" w:firstLine="710"/>
        <w:jc w:val="right"/>
        <w:rPr>
          <w:rFonts w:ascii="Times New Roman" w:hAnsi="Times New Roman"/>
          <w:color w:val="000000"/>
          <w:sz w:val="28"/>
          <w:szCs w:val="28"/>
          <w:lang w:val="uk-UA"/>
        </w:rPr>
      </w:pPr>
      <w:proofErr w:type="spellStart"/>
      <w:r>
        <w:rPr>
          <w:rFonts w:ascii="Times New Roman" w:hAnsi="Times New Roman"/>
          <w:color w:val="000000"/>
          <w:sz w:val="28"/>
          <w:szCs w:val="28"/>
        </w:rPr>
        <w:t>Таблиця</w:t>
      </w:r>
      <w:proofErr w:type="spellEnd"/>
      <w:r>
        <w:rPr>
          <w:rFonts w:ascii="Times New Roman" w:hAnsi="Times New Roman"/>
          <w:color w:val="000000"/>
          <w:sz w:val="28"/>
          <w:szCs w:val="28"/>
        </w:rPr>
        <w:t xml:space="preserve"> 2</w:t>
      </w:r>
    </w:p>
    <w:p w:rsidR="00BF0FD8" w:rsidRDefault="00BF0FD8" w:rsidP="00BF0FD8">
      <w:pPr>
        <w:spacing w:after="0" w:line="360" w:lineRule="auto"/>
        <w:ind w:left="-284" w:firstLine="710"/>
        <w:jc w:val="center"/>
        <w:rPr>
          <w:rFonts w:ascii="Times New Roman" w:hAnsi="Times New Roman"/>
          <w:color w:val="000000"/>
          <w:sz w:val="28"/>
          <w:szCs w:val="28"/>
        </w:rPr>
      </w:pPr>
      <w:proofErr w:type="gramStart"/>
      <w:r w:rsidRPr="0012560E">
        <w:rPr>
          <w:rFonts w:ascii="Times New Roman" w:hAnsi="Times New Roman"/>
          <w:color w:val="000000"/>
          <w:sz w:val="28"/>
          <w:szCs w:val="28"/>
        </w:rPr>
        <w:t>Абсолютна</w:t>
      </w:r>
      <w:proofErr w:type="gram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динаміка</w:t>
      </w:r>
      <w:proofErr w:type="spellEnd"/>
      <w:r w:rsidRPr="0012560E">
        <w:rPr>
          <w:rFonts w:ascii="Times New Roman" w:hAnsi="Times New Roman"/>
          <w:color w:val="000000"/>
          <w:sz w:val="28"/>
          <w:szCs w:val="28"/>
        </w:rPr>
        <w:t xml:space="preserve"> реального </w:t>
      </w:r>
      <w:proofErr w:type="spellStart"/>
      <w:r w:rsidRPr="0012560E">
        <w:rPr>
          <w:rFonts w:ascii="Times New Roman" w:hAnsi="Times New Roman"/>
          <w:color w:val="000000"/>
          <w:sz w:val="28"/>
          <w:szCs w:val="28"/>
        </w:rPr>
        <w:t>податкового</w:t>
      </w:r>
      <w:proofErr w:type="spellEnd"/>
      <w:r w:rsidRPr="0012560E">
        <w:rPr>
          <w:rFonts w:ascii="Times New Roman" w:hAnsi="Times New Roman"/>
          <w:color w:val="000000"/>
          <w:sz w:val="28"/>
          <w:szCs w:val="28"/>
        </w:rPr>
        <w:t xml:space="preserve"> боргу </w:t>
      </w:r>
    </w:p>
    <w:p w:rsidR="00BF0FD8" w:rsidRPr="0012560E" w:rsidRDefault="00BF0FD8" w:rsidP="00BF0FD8">
      <w:pPr>
        <w:spacing w:after="0" w:line="360" w:lineRule="auto"/>
        <w:ind w:left="-284" w:firstLine="710"/>
        <w:jc w:val="center"/>
        <w:rPr>
          <w:rFonts w:ascii="Times New Roman" w:hAnsi="Times New Roman"/>
          <w:color w:val="000000"/>
          <w:sz w:val="28"/>
          <w:szCs w:val="28"/>
        </w:rPr>
      </w:pPr>
      <w:r>
        <w:rPr>
          <w:rFonts w:ascii="Times New Roman" w:hAnsi="Times New Roman"/>
          <w:color w:val="000000"/>
          <w:sz w:val="28"/>
          <w:szCs w:val="28"/>
        </w:rPr>
        <w:t xml:space="preserve">в </w:t>
      </w:r>
      <w:proofErr w:type="spellStart"/>
      <w:r>
        <w:rPr>
          <w:rFonts w:ascii="Times New Roman" w:hAnsi="Times New Roman"/>
          <w:color w:val="000000"/>
          <w:sz w:val="28"/>
          <w:szCs w:val="28"/>
        </w:rPr>
        <w:t>Україні</w:t>
      </w:r>
      <w:proofErr w:type="spellEnd"/>
      <w:r>
        <w:rPr>
          <w:rFonts w:ascii="Times New Roman" w:hAnsi="Times New Roman"/>
          <w:color w:val="000000"/>
          <w:sz w:val="28"/>
          <w:szCs w:val="28"/>
        </w:rPr>
        <w:t>,</w:t>
      </w:r>
      <w:r w:rsidRPr="0012560E">
        <w:rPr>
          <w:rFonts w:ascii="Times New Roman" w:hAnsi="Times New Roman"/>
          <w:color w:val="000000"/>
          <w:sz w:val="28"/>
          <w:szCs w:val="28"/>
        </w:rPr>
        <w:t xml:space="preserve"> 2005-2014 </w:t>
      </w:r>
      <w:proofErr w:type="spellStart"/>
      <w:r w:rsidRPr="0012560E">
        <w:rPr>
          <w:rFonts w:ascii="Times New Roman" w:hAnsi="Times New Roman"/>
          <w:color w:val="000000"/>
          <w:sz w:val="28"/>
          <w:szCs w:val="28"/>
        </w:rPr>
        <w:t>рр</w:t>
      </w:r>
      <w:proofErr w:type="spellEnd"/>
      <w:r w:rsidRPr="0012560E">
        <w:rPr>
          <w:rFonts w:ascii="Times New Roman" w:hAnsi="Times New Roman"/>
          <w:color w:val="000000"/>
          <w:sz w:val="28"/>
          <w:szCs w:val="28"/>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51"/>
        <w:gridCol w:w="709"/>
        <w:gridCol w:w="851"/>
        <w:gridCol w:w="1133"/>
        <w:gridCol w:w="851"/>
        <w:gridCol w:w="851"/>
        <w:gridCol w:w="850"/>
        <w:gridCol w:w="851"/>
        <w:gridCol w:w="850"/>
        <w:gridCol w:w="709"/>
        <w:gridCol w:w="850"/>
      </w:tblGrid>
      <w:tr w:rsidR="00BF0FD8" w:rsidRPr="008D6431" w:rsidTr="00690A71">
        <w:tc>
          <w:tcPr>
            <w:tcW w:w="567" w:type="dxa"/>
          </w:tcPr>
          <w:p w:rsidR="00BF0FD8" w:rsidRPr="008D6431" w:rsidRDefault="00BF0FD8" w:rsidP="004405F1">
            <w:pPr>
              <w:spacing w:after="0" w:line="240" w:lineRule="auto"/>
              <w:ind w:left="-392" w:right="-108" w:firstLine="103"/>
              <w:jc w:val="center"/>
              <w:rPr>
                <w:rFonts w:ascii="Times New Roman" w:hAnsi="Times New Roman"/>
                <w:color w:val="000000"/>
                <w:sz w:val="24"/>
                <w:szCs w:val="24"/>
              </w:rPr>
            </w:pPr>
            <w:r w:rsidRPr="008D6431">
              <w:rPr>
                <w:rFonts w:ascii="Times New Roman" w:hAnsi="Times New Roman"/>
                <w:color w:val="000000"/>
                <w:sz w:val="24"/>
                <w:szCs w:val="24"/>
              </w:rPr>
              <w:t xml:space="preserve">  № </w:t>
            </w:r>
            <w:proofErr w:type="spellStart"/>
            <w:r w:rsidRPr="008D6431">
              <w:rPr>
                <w:rFonts w:ascii="Times New Roman" w:hAnsi="Times New Roman"/>
                <w:color w:val="000000"/>
                <w:sz w:val="24"/>
                <w:szCs w:val="24"/>
              </w:rPr>
              <w:t>з</w:t>
            </w:r>
            <w:proofErr w:type="spellEnd"/>
            <w:r w:rsidRPr="008D6431">
              <w:rPr>
                <w:rFonts w:ascii="Times New Roman" w:hAnsi="Times New Roman"/>
                <w:color w:val="000000"/>
                <w:sz w:val="24"/>
                <w:szCs w:val="24"/>
              </w:rPr>
              <w:t>/</w:t>
            </w:r>
            <w:proofErr w:type="spellStart"/>
            <w:proofErr w:type="gramStart"/>
            <w:r w:rsidRPr="008D6431">
              <w:rPr>
                <w:rFonts w:ascii="Times New Roman" w:hAnsi="Times New Roman"/>
                <w:color w:val="000000"/>
                <w:sz w:val="24"/>
                <w:szCs w:val="24"/>
              </w:rPr>
              <w:t>п</w:t>
            </w:r>
            <w:proofErr w:type="spellEnd"/>
            <w:proofErr w:type="gramEnd"/>
          </w:p>
        </w:tc>
        <w:tc>
          <w:tcPr>
            <w:tcW w:w="851" w:type="dxa"/>
          </w:tcPr>
          <w:p w:rsidR="00BF0FD8" w:rsidRPr="008D6431" w:rsidRDefault="00BF0FD8" w:rsidP="004405F1">
            <w:pPr>
              <w:spacing w:after="0" w:line="240" w:lineRule="auto"/>
              <w:ind w:left="-108" w:right="-108"/>
              <w:jc w:val="center"/>
              <w:rPr>
                <w:rFonts w:ascii="Times New Roman" w:hAnsi="Times New Roman"/>
                <w:color w:val="000000"/>
                <w:sz w:val="24"/>
                <w:szCs w:val="24"/>
              </w:rPr>
            </w:pPr>
            <w:proofErr w:type="spellStart"/>
            <w:r w:rsidRPr="008D6431">
              <w:rPr>
                <w:rFonts w:ascii="Times New Roman" w:hAnsi="Times New Roman"/>
                <w:color w:val="000000"/>
                <w:sz w:val="24"/>
                <w:szCs w:val="24"/>
              </w:rPr>
              <w:t>Індекс</w:t>
            </w:r>
            <w:proofErr w:type="spellEnd"/>
          </w:p>
        </w:tc>
        <w:tc>
          <w:tcPr>
            <w:tcW w:w="709" w:type="dxa"/>
            <w:vAlign w:val="center"/>
          </w:tcPr>
          <w:p w:rsidR="00BF0FD8" w:rsidRPr="008D6431" w:rsidRDefault="00BF0FD8" w:rsidP="004405F1">
            <w:pPr>
              <w:spacing w:after="0" w:line="240" w:lineRule="auto"/>
              <w:ind w:left="-391" w:right="-108" w:firstLine="283"/>
              <w:jc w:val="center"/>
              <w:rPr>
                <w:rFonts w:ascii="Times New Roman" w:hAnsi="Times New Roman"/>
                <w:color w:val="000000"/>
                <w:sz w:val="24"/>
                <w:szCs w:val="24"/>
              </w:rPr>
            </w:pPr>
            <w:r w:rsidRPr="008D6431">
              <w:rPr>
                <w:rFonts w:ascii="Times New Roman" w:hAnsi="Times New Roman"/>
                <w:color w:val="000000"/>
                <w:sz w:val="24"/>
                <w:szCs w:val="24"/>
              </w:rPr>
              <w:t>2005</w:t>
            </w:r>
          </w:p>
        </w:tc>
        <w:tc>
          <w:tcPr>
            <w:tcW w:w="851" w:type="dxa"/>
            <w:vAlign w:val="center"/>
          </w:tcPr>
          <w:p w:rsidR="00BF0FD8" w:rsidRPr="008D6431" w:rsidRDefault="00BF0FD8" w:rsidP="004405F1">
            <w:pPr>
              <w:spacing w:after="0" w:line="240" w:lineRule="auto"/>
              <w:ind w:left="-391" w:right="-108" w:firstLine="283"/>
              <w:jc w:val="center"/>
              <w:rPr>
                <w:rFonts w:ascii="Times New Roman" w:hAnsi="Times New Roman"/>
                <w:color w:val="000000"/>
                <w:sz w:val="24"/>
                <w:szCs w:val="24"/>
              </w:rPr>
            </w:pPr>
            <w:r w:rsidRPr="008D6431">
              <w:rPr>
                <w:rFonts w:ascii="Times New Roman" w:hAnsi="Times New Roman"/>
                <w:color w:val="000000"/>
                <w:sz w:val="24"/>
                <w:szCs w:val="24"/>
              </w:rPr>
              <w:t>2006</w:t>
            </w:r>
          </w:p>
        </w:tc>
        <w:tc>
          <w:tcPr>
            <w:tcW w:w="1133" w:type="dxa"/>
          </w:tcPr>
          <w:p w:rsidR="00BF0FD8" w:rsidRPr="008D6431" w:rsidRDefault="00BF0FD8" w:rsidP="004405F1">
            <w:pPr>
              <w:spacing w:after="0" w:line="240" w:lineRule="auto"/>
              <w:ind w:left="-391" w:right="-108" w:firstLine="283"/>
              <w:jc w:val="center"/>
              <w:rPr>
                <w:rFonts w:ascii="Times New Roman" w:hAnsi="Times New Roman"/>
                <w:color w:val="000000"/>
                <w:sz w:val="24"/>
                <w:szCs w:val="24"/>
              </w:rPr>
            </w:pPr>
            <w:r w:rsidRPr="008D6431">
              <w:rPr>
                <w:rFonts w:ascii="Times New Roman" w:hAnsi="Times New Roman"/>
                <w:color w:val="000000"/>
                <w:sz w:val="24"/>
                <w:szCs w:val="24"/>
              </w:rPr>
              <w:t>2007</w:t>
            </w:r>
          </w:p>
        </w:tc>
        <w:tc>
          <w:tcPr>
            <w:tcW w:w="851" w:type="dxa"/>
          </w:tcPr>
          <w:p w:rsidR="00BF0FD8" w:rsidRPr="008D6431" w:rsidRDefault="00BF0FD8" w:rsidP="004405F1">
            <w:pPr>
              <w:spacing w:after="0" w:line="240" w:lineRule="auto"/>
              <w:ind w:left="-391" w:right="-108" w:firstLine="102"/>
              <w:jc w:val="center"/>
              <w:rPr>
                <w:rFonts w:ascii="Times New Roman" w:hAnsi="Times New Roman"/>
                <w:color w:val="000000"/>
                <w:sz w:val="24"/>
                <w:szCs w:val="24"/>
              </w:rPr>
            </w:pPr>
            <w:r w:rsidRPr="008D6431">
              <w:rPr>
                <w:rFonts w:ascii="Times New Roman" w:hAnsi="Times New Roman"/>
                <w:color w:val="000000"/>
                <w:sz w:val="24"/>
                <w:szCs w:val="24"/>
              </w:rPr>
              <w:t>2008</w:t>
            </w:r>
          </w:p>
        </w:tc>
        <w:tc>
          <w:tcPr>
            <w:tcW w:w="851" w:type="dxa"/>
            <w:vAlign w:val="center"/>
          </w:tcPr>
          <w:p w:rsidR="00BF0FD8" w:rsidRPr="008D6431" w:rsidRDefault="00BF0FD8" w:rsidP="00690A71">
            <w:pPr>
              <w:spacing w:after="0" w:line="240" w:lineRule="auto"/>
              <w:ind w:left="-391" w:right="-108" w:firstLine="102"/>
              <w:jc w:val="center"/>
              <w:rPr>
                <w:rFonts w:ascii="Times New Roman" w:hAnsi="Times New Roman"/>
                <w:color w:val="000000"/>
                <w:sz w:val="24"/>
                <w:szCs w:val="24"/>
              </w:rPr>
            </w:pPr>
            <w:r w:rsidRPr="008D6431">
              <w:rPr>
                <w:rFonts w:ascii="Times New Roman" w:hAnsi="Times New Roman"/>
                <w:color w:val="000000"/>
                <w:sz w:val="24"/>
                <w:szCs w:val="24"/>
              </w:rPr>
              <w:t>2009</w:t>
            </w:r>
          </w:p>
        </w:tc>
        <w:tc>
          <w:tcPr>
            <w:tcW w:w="850" w:type="dxa"/>
            <w:vAlign w:val="center"/>
          </w:tcPr>
          <w:p w:rsidR="00BF0FD8" w:rsidRPr="008D6431" w:rsidRDefault="00BF0FD8" w:rsidP="00690A71">
            <w:pPr>
              <w:spacing w:after="0" w:line="240" w:lineRule="auto"/>
              <w:ind w:left="-108" w:right="-108"/>
              <w:jc w:val="center"/>
              <w:rPr>
                <w:rFonts w:ascii="Times New Roman" w:hAnsi="Times New Roman"/>
                <w:color w:val="000000"/>
                <w:sz w:val="24"/>
                <w:szCs w:val="24"/>
              </w:rPr>
            </w:pPr>
            <w:r w:rsidRPr="008D6431">
              <w:rPr>
                <w:rFonts w:ascii="Times New Roman" w:hAnsi="Times New Roman"/>
                <w:color w:val="000000"/>
                <w:sz w:val="24"/>
                <w:szCs w:val="24"/>
              </w:rPr>
              <w:t>2010</w:t>
            </w:r>
          </w:p>
        </w:tc>
        <w:tc>
          <w:tcPr>
            <w:tcW w:w="851" w:type="dxa"/>
            <w:vAlign w:val="center"/>
          </w:tcPr>
          <w:p w:rsidR="00BF0FD8" w:rsidRPr="008D6431" w:rsidRDefault="00BF0FD8" w:rsidP="00690A71">
            <w:pPr>
              <w:spacing w:after="0" w:line="240" w:lineRule="auto"/>
              <w:ind w:left="-391" w:right="-108" w:firstLine="102"/>
              <w:jc w:val="center"/>
              <w:rPr>
                <w:rFonts w:ascii="Times New Roman" w:hAnsi="Times New Roman"/>
                <w:color w:val="000000"/>
                <w:sz w:val="24"/>
                <w:szCs w:val="24"/>
              </w:rPr>
            </w:pPr>
            <w:r w:rsidRPr="008D6431">
              <w:rPr>
                <w:rFonts w:ascii="Times New Roman" w:hAnsi="Times New Roman"/>
                <w:color w:val="000000"/>
                <w:sz w:val="24"/>
                <w:szCs w:val="24"/>
              </w:rPr>
              <w:t>2011</w:t>
            </w:r>
          </w:p>
        </w:tc>
        <w:tc>
          <w:tcPr>
            <w:tcW w:w="850" w:type="dxa"/>
          </w:tcPr>
          <w:p w:rsidR="00BF0FD8" w:rsidRPr="008D6431" w:rsidRDefault="00BF0FD8" w:rsidP="004405F1">
            <w:pPr>
              <w:spacing w:after="0" w:line="240" w:lineRule="auto"/>
              <w:ind w:left="-391" w:right="-108" w:firstLine="102"/>
              <w:jc w:val="center"/>
              <w:rPr>
                <w:rFonts w:ascii="Times New Roman" w:hAnsi="Times New Roman"/>
                <w:color w:val="000000"/>
                <w:sz w:val="24"/>
                <w:szCs w:val="24"/>
              </w:rPr>
            </w:pPr>
            <w:r w:rsidRPr="008D6431">
              <w:rPr>
                <w:rFonts w:ascii="Times New Roman" w:hAnsi="Times New Roman"/>
                <w:color w:val="000000"/>
                <w:sz w:val="24"/>
                <w:szCs w:val="24"/>
              </w:rPr>
              <w:t>2012</w:t>
            </w:r>
          </w:p>
        </w:tc>
        <w:tc>
          <w:tcPr>
            <w:tcW w:w="709" w:type="dxa"/>
          </w:tcPr>
          <w:p w:rsidR="00BF0FD8" w:rsidRPr="008D6431" w:rsidRDefault="00BF0FD8" w:rsidP="004405F1">
            <w:pPr>
              <w:spacing w:after="0" w:line="240" w:lineRule="auto"/>
              <w:ind w:left="-391" w:right="-108" w:firstLine="102"/>
              <w:jc w:val="center"/>
              <w:rPr>
                <w:rFonts w:ascii="Times New Roman" w:hAnsi="Times New Roman"/>
                <w:color w:val="000000"/>
                <w:sz w:val="24"/>
                <w:szCs w:val="24"/>
              </w:rPr>
            </w:pPr>
            <w:r w:rsidRPr="008D6431">
              <w:rPr>
                <w:rFonts w:ascii="Times New Roman" w:hAnsi="Times New Roman"/>
                <w:color w:val="000000"/>
                <w:sz w:val="24"/>
                <w:szCs w:val="24"/>
              </w:rPr>
              <w:t>2013</w:t>
            </w:r>
          </w:p>
        </w:tc>
        <w:tc>
          <w:tcPr>
            <w:tcW w:w="850" w:type="dxa"/>
          </w:tcPr>
          <w:p w:rsidR="00BF0FD8" w:rsidRPr="008D6431" w:rsidRDefault="00BF0FD8" w:rsidP="004405F1">
            <w:pPr>
              <w:spacing w:after="0" w:line="240" w:lineRule="auto"/>
              <w:ind w:left="-391" w:right="-108" w:firstLine="283"/>
              <w:jc w:val="center"/>
              <w:rPr>
                <w:rFonts w:ascii="Times New Roman" w:hAnsi="Times New Roman"/>
                <w:color w:val="000000"/>
                <w:sz w:val="24"/>
                <w:szCs w:val="24"/>
              </w:rPr>
            </w:pPr>
            <w:r w:rsidRPr="008D6431">
              <w:rPr>
                <w:rFonts w:ascii="Times New Roman" w:hAnsi="Times New Roman"/>
                <w:color w:val="000000"/>
                <w:sz w:val="24"/>
                <w:szCs w:val="24"/>
              </w:rPr>
              <w:t>2014</w:t>
            </w:r>
          </w:p>
        </w:tc>
      </w:tr>
      <w:tr w:rsidR="00BF0FD8" w:rsidRPr="008D6431" w:rsidTr="00690A71">
        <w:tc>
          <w:tcPr>
            <w:tcW w:w="567" w:type="dxa"/>
          </w:tcPr>
          <w:p w:rsidR="00BF0FD8" w:rsidRPr="008D6431" w:rsidRDefault="00BF0FD8" w:rsidP="004405F1">
            <w:pPr>
              <w:spacing w:after="0" w:line="240" w:lineRule="auto"/>
              <w:ind w:left="-392" w:right="-108" w:firstLine="103"/>
              <w:jc w:val="center"/>
              <w:rPr>
                <w:rFonts w:ascii="Times New Roman" w:hAnsi="Times New Roman"/>
                <w:color w:val="000000"/>
                <w:sz w:val="24"/>
                <w:szCs w:val="24"/>
              </w:rPr>
            </w:pPr>
            <w:r w:rsidRPr="008D6431">
              <w:rPr>
                <w:rFonts w:ascii="Times New Roman" w:hAnsi="Times New Roman"/>
                <w:color w:val="000000"/>
                <w:sz w:val="24"/>
                <w:szCs w:val="24"/>
              </w:rPr>
              <w:t>1.</w:t>
            </w:r>
          </w:p>
        </w:tc>
        <w:tc>
          <w:tcPr>
            <w:tcW w:w="851" w:type="dxa"/>
          </w:tcPr>
          <w:p w:rsidR="00BF0FD8" w:rsidRPr="008D6431" w:rsidRDefault="0026153D" w:rsidP="004405F1">
            <w:pPr>
              <w:spacing w:after="0" w:line="240" w:lineRule="auto"/>
              <w:ind w:left="-108" w:right="-108"/>
              <w:jc w:val="center"/>
              <w:rPr>
                <w:rFonts w:ascii="Times New Roman" w:hAnsi="Times New Roman"/>
                <w:i/>
                <w:color w:val="000000"/>
                <w:sz w:val="24"/>
                <w:szCs w:val="24"/>
              </w:rPr>
            </w:pPr>
            <m:oMathPara>
              <m:oMath>
                <m:sSub>
                  <m:sSubPr>
                    <m:ctrlPr>
                      <w:rPr>
                        <w:rFonts w:ascii="Cambria Math" w:hAnsi="Times New Roman"/>
                        <w:i/>
                        <w:color w:val="000000"/>
                        <w:sz w:val="24"/>
                        <w:szCs w:val="24"/>
                      </w:rPr>
                    </m:ctrlPr>
                  </m:sSubPr>
                  <m:e>
                    <m:r>
                      <w:rPr>
                        <w:rFonts w:ascii="Cambria Math" w:hAnsi="Times New Roman"/>
                        <w:color w:val="000000"/>
                        <w:sz w:val="24"/>
                        <w:szCs w:val="24"/>
                      </w:rPr>
                      <m:t>Д</m:t>
                    </m:r>
                  </m:e>
                  <m:sub>
                    <m:r>
                      <w:rPr>
                        <w:rFonts w:ascii="Cambria Math" w:hAnsi="Times New Roman"/>
                        <w:color w:val="000000"/>
                        <w:sz w:val="24"/>
                        <w:szCs w:val="24"/>
                      </w:rPr>
                      <m:t>АБС</m:t>
                    </m:r>
                    <m:r>
                      <w:rPr>
                        <w:rFonts w:ascii="Cambria Math" w:hAnsi="Times New Roman"/>
                        <w:color w:val="000000"/>
                        <w:sz w:val="24"/>
                        <w:szCs w:val="24"/>
                      </w:rPr>
                      <m:t xml:space="preserve"> </m:t>
                    </m:r>
                    <m:r>
                      <w:rPr>
                        <w:rFonts w:ascii="Cambria Math" w:hAnsi="Times New Roman"/>
                        <w:color w:val="000000"/>
                        <w:sz w:val="24"/>
                        <w:szCs w:val="24"/>
                      </w:rPr>
                      <m:t>реал</m:t>
                    </m:r>
                  </m:sub>
                </m:sSub>
              </m:oMath>
            </m:oMathPara>
          </w:p>
        </w:tc>
        <w:tc>
          <w:tcPr>
            <w:tcW w:w="709" w:type="dxa"/>
            <w:vAlign w:val="center"/>
          </w:tcPr>
          <w:p w:rsidR="00BF0FD8" w:rsidRPr="008D6431" w:rsidRDefault="00BF0FD8" w:rsidP="004405F1">
            <w:pPr>
              <w:spacing w:after="0" w:line="240" w:lineRule="auto"/>
              <w:ind w:left="-391" w:right="-108" w:firstLine="283"/>
              <w:jc w:val="center"/>
              <w:rPr>
                <w:rFonts w:ascii="Times New Roman" w:hAnsi="Times New Roman"/>
                <w:color w:val="000000"/>
                <w:sz w:val="24"/>
                <w:szCs w:val="24"/>
              </w:rPr>
            </w:pPr>
            <w:r w:rsidRPr="008D6431">
              <w:rPr>
                <w:rFonts w:ascii="Times New Roman" w:hAnsi="Times New Roman"/>
                <w:color w:val="000000"/>
                <w:sz w:val="24"/>
                <w:szCs w:val="24"/>
              </w:rPr>
              <w:t>774,7</w:t>
            </w:r>
          </w:p>
        </w:tc>
        <w:tc>
          <w:tcPr>
            <w:tcW w:w="851" w:type="dxa"/>
            <w:vAlign w:val="center"/>
          </w:tcPr>
          <w:p w:rsidR="00BF0FD8" w:rsidRPr="008D6431" w:rsidRDefault="00BF0FD8" w:rsidP="004405F1">
            <w:pPr>
              <w:spacing w:after="0" w:line="240" w:lineRule="auto"/>
              <w:ind w:left="-391" w:right="-108" w:firstLine="283"/>
              <w:jc w:val="center"/>
              <w:rPr>
                <w:rFonts w:ascii="Times New Roman" w:hAnsi="Times New Roman"/>
                <w:color w:val="000000"/>
                <w:sz w:val="24"/>
                <w:szCs w:val="24"/>
              </w:rPr>
            </w:pPr>
            <w:r w:rsidRPr="008D6431">
              <w:rPr>
                <w:rFonts w:ascii="Times New Roman" w:hAnsi="Times New Roman"/>
                <w:color w:val="000000"/>
                <w:sz w:val="24"/>
                <w:szCs w:val="24"/>
              </w:rPr>
              <w:t>-1734,3</w:t>
            </w:r>
          </w:p>
        </w:tc>
        <w:tc>
          <w:tcPr>
            <w:tcW w:w="1133" w:type="dxa"/>
            <w:vAlign w:val="center"/>
          </w:tcPr>
          <w:p w:rsidR="00BF0FD8" w:rsidRPr="008D6431" w:rsidRDefault="00BF0FD8" w:rsidP="004405F1">
            <w:pPr>
              <w:spacing w:after="0" w:line="240" w:lineRule="auto"/>
              <w:ind w:left="-391" w:right="-108" w:firstLine="283"/>
              <w:jc w:val="center"/>
              <w:rPr>
                <w:rFonts w:ascii="Times New Roman" w:hAnsi="Times New Roman"/>
                <w:color w:val="000000"/>
                <w:sz w:val="24"/>
                <w:szCs w:val="24"/>
              </w:rPr>
            </w:pPr>
            <w:r w:rsidRPr="008D6431">
              <w:rPr>
                <w:rFonts w:ascii="Times New Roman" w:hAnsi="Times New Roman"/>
                <w:color w:val="000000"/>
                <w:sz w:val="24"/>
                <w:szCs w:val="24"/>
              </w:rPr>
              <w:t>-1901,6</w:t>
            </w:r>
          </w:p>
        </w:tc>
        <w:tc>
          <w:tcPr>
            <w:tcW w:w="851" w:type="dxa"/>
            <w:vAlign w:val="center"/>
          </w:tcPr>
          <w:p w:rsidR="00BF0FD8" w:rsidRPr="008D6431" w:rsidRDefault="00BF0FD8" w:rsidP="004405F1">
            <w:pPr>
              <w:spacing w:after="0" w:line="240" w:lineRule="auto"/>
              <w:ind w:right="-108"/>
              <w:rPr>
                <w:rFonts w:ascii="Times New Roman" w:hAnsi="Times New Roman"/>
                <w:color w:val="000000"/>
                <w:sz w:val="24"/>
                <w:szCs w:val="24"/>
              </w:rPr>
            </w:pPr>
            <w:r w:rsidRPr="008D6431">
              <w:rPr>
                <w:rFonts w:ascii="Times New Roman" w:hAnsi="Times New Roman"/>
                <w:color w:val="000000"/>
                <w:sz w:val="24"/>
                <w:szCs w:val="24"/>
              </w:rPr>
              <w:t>2306,6</w:t>
            </w:r>
          </w:p>
        </w:tc>
        <w:tc>
          <w:tcPr>
            <w:tcW w:w="851" w:type="dxa"/>
            <w:vAlign w:val="center"/>
          </w:tcPr>
          <w:p w:rsidR="00BF0FD8" w:rsidRPr="008D6431" w:rsidRDefault="00BF0FD8" w:rsidP="00690A71">
            <w:pPr>
              <w:spacing w:after="0" w:line="240" w:lineRule="auto"/>
              <w:ind w:right="-108"/>
              <w:jc w:val="center"/>
              <w:rPr>
                <w:rFonts w:ascii="Times New Roman" w:hAnsi="Times New Roman"/>
                <w:color w:val="000000"/>
                <w:sz w:val="24"/>
                <w:szCs w:val="24"/>
              </w:rPr>
            </w:pPr>
            <w:r w:rsidRPr="008D6431">
              <w:rPr>
                <w:rFonts w:ascii="Times New Roman" w:hAnsi="Times New Roman"/>
                <w:color w:val="000000"/>
                <w:sz w:val="24"/>
                <w:szCs w:val="24"/>
              </w:rPr>
              <w:t>3503,5</w:t>
            </w:r>
          </w:p>
        </w:tc>
        <w:tc>
          <w:tcPr>
            <w:tcW w:w="850" w:type="dxa"/>
            <w:vAlign w:val="center"/>
          </w:tcPr>
          <w:p w:rsidR="00BF0FD8" w:rsidRPr="008D6431" w:rsidRDefault="00BF0FD8" w:rsidP="00690A71">
            <w:pPr>
              <w:spacing w:after="0" w:line="240" w:lineRule="auto"/>
              <w:ind w:left="-108" w:right="-108"/>
              <w:jc w:val="center"/>
              <w:rPr>
                <w:rFonts w:ascii="Times New Roman" w:hAnsi="Times New Roman"/>
                <w:color w:val="000000"/>
                <w:sz w:val="24"/>
                <w:szCs w:val="24"/>
              </w:rPr>
            </w:pPr>
            <w:r w:rsidRPr="008D6431">
              <w:rPr>
                <w:rFonts w:ascii="Times New Roman" w:hAnsi="Times New Roman"/>
                <w:color w:val="000000"/>
                <w:sz w:val="24"/>
                <w:szCs w:val="24"/>
              </w:rPr>
              <w:t>5247,4</w:t>
            </w:r>
          </w:p>
        </w:tc>
        <w:tc>
          <w:tcPr>
            <w:tcW w:w="851" w:type="dxa"/>
            <w:vAlign w:val="center"/>
          </w:tcPr>
          <w:p w:rsidR="00BF0FD8" w:rsidRPr="008D6431" w:rsidRDefault="00BF0FD8" w:rsidP="00690A71">
            <w:pPr>
              <w:spacing w:after="0" w:line="240" w:lineRule="auto"/>
              <w:ind w:left="-108" w:right="-108"/>
              <w:jc w:val="center"/>
              <w:rPr>
                <w:rFonts w:ascii="Times New Roman" w:hAnsi="Times New Roman"/>
                <w:color w:val="000000"/>
                <w:sz w:val="24"/>
                <w:szCs w:val="24"/>
              </w:rPr>
            </w:pPr>
            <w:r w:rsidRPr="008D6431">
              <w:rPr>
                <w:rFonts w:ascii="Times New Roman" w:hAnsi="Times New Roman"/>
                <w:color w:val="000000"/>
                <w:sz w:val="24"/>
                <w:szCs w:val="24"/>
              </w:rPr>
              <w:t>1637,5</w:t>
            </w:r>
          </w:p>
        </w:tc>
        <w:tc>
          <w:tcPr>
            <w:tcW w:w="850" w:type="dxa"/>
            <w:vAlign w:val="center"/>
          </w:tcPr>
          <w:p w:rsidR="00BF0FD8" w:rsidRPr="008D6431" w:rsidRDefault="00BF0FD8" w:rsidP="00690A71">
            <w:pPr>
              <w:spacing w:after="0" w:line="240" w:lineRule="auto"/>
              <w:ind w:left="-108" w:right="-108"/>
              <w:jc w:val="center"/>
              <w:rPr>
                <w:rFonts w:ascii="Times New Roman" w:hAnsi="Times New Roman"/>
                <w:color w:val="000000"/>
                <w:sz w:val="24"/>
                <w:szCs w:val="24"/>
              </w:rPr>
            </w:pPr>
            <w:r w:rsidRPr="008D6431">
              <w:rPr>
                <w:rFonts w:ascii="Times New Roman" w:hAnsi="Times New Roman"/>
                <w:color w:val="000000"/>
                <w:sz w:val="24"/>
                <w:szCs w:val="24"/>
              </w:rPr>
              <w:t>-2341,8</w:t>
            </w:r>
          </w:p>
        </w:tc>
        <w:tc>
          <w:tcPr>
            <w:tcW w:w="709" w:type="dxa"/>
            <w:vAlign w:val="center"/>
          </w:tcPr>
          <w:p w:rsidR="00BF0FD8" w:rsidRPr="00690A71" w:rsidRDefault="00BF0FD8" w:rsidP="00690A71">
            <w:pPr>
              <w:spacing w:after="0" w:line="240" w:lineRule="auto"/>
              <w:ind w:right="-108"/>
              <w:jc w:val="center"/>
              <w:rPr>
                <w:rFonts w:ascii="Times New Roman" w:hAnsi="Times New Roman"/>
                <w:color w:val="000000"/>
                <w:sz w:val="24"/>
                <w:szCs w:val="24"/>
                <w:lang w:val="uk-UA"/>
              </w:rPr>
            </w:pPr>
          </w:p>
          <w:p w:rsidR="00BF0FD8" w:rsidRPr="008D6431" w:rsidRDefault="00BF0FD8" w:rsidP="00690A71">
            <w:pPr>
              <w:spacing w:after="0" w:line="240" w:lineRule="auto"/>
              <w:ind w:left="-108" w:right="-108"/>
              <w:jc w:val="center"/>
              <w:rPr>
                <w:rFonts w:ascii="Times New Roman" w:hAnsi="Times New Roman"/>
                <w:color w:val="000000"/>
                <w:sz w:val="24"/>
                <w:szCs w:val="24"/>
              </w:rPr>
            </w:pPr>
            <w:r w:rsidRPr="008D6431">
              <w:rPr>
                <w:rFonts w:ascii="Times New Roman" w:hAnsi="Times New Roman"/>
                <w:color w:val="000000"/>
                <w:sz w:val="24"/>
                <w:szCs w:val="24"/>
              </w:rPr>
              <w:t>3257,4</w:t>
            </w:r>
          </w:p>
        </w:tc>
        <w:tc>
          <w:tcPr>
            <w:tcW w:w="850" w:type="dxa"/>
            <w:vAlign w:val="center"/>
          </w:tcPr>
          <w:p w:rsidR="00BF0FD8" w:rsidRPr="008D6431" w:rsidRDefault="00BF0FD8" w:rsidP="00690A71">
            <w:pPr>
              <w:spacing w:after="0" w:line="240" w:lineRule="auto"/>
              <w:ind w:left="-108" w:right="-108"/>
              <w:jc w:val="center"/>
              <w:rPr>
                <w:rFonts w:ascii="Times New Roman" w:hAnsi="Times New Roman"/>
                <w:color w:val="000000"/>
                <w:sz w:val="24"/>
                <w:szCs w:val="24"/>
              </w:rPr>
            </w:pPr>
          </w:p>
          <w:p w:rsidR="00BF0FD8" w:rsidRPr="008D6431" w:rsidRDefault="00BF0FD8" w:rsidP="00690A71">
            <w:pPr>
              <w:spacing w:after="0" w:line="240" w:lineRule="auto"/>
              <w:ind w:left="-108" w:right="-108"/>
              <w:jc w:val="center"/>
              <w:rPr>
                <w:rFonts w:ascii="Times New Roman" w:hAnsi="Times New Roman"/>
                <w:color w:val="000000"/>
                <w:sz w:val="24"/>
                <w:szCs w:val="24"/>
              </w:rPr>
            </w:pPr>
            <w:r w:rsidRPr="008D6431">
              <w:rPr>
                <w:rFonts w:ascii="Times New Roman" w:hAnsi="Times New Roman"/>
                <w:color w:val="000000"/>
                <w:sz w:val="24"/>
                <w:szCs w:val="24"/>
              </w:rPr>
              <w:t>16137</w:t>
            </w:r>
          </w:p>
        </w:tc>
      </w:tr>
      <w:tr w:rsidR="00BF0FD8" w:rsidRPr="008D6431" w:rsidTr="00690A71">
        <w:tc>
          <w:tcPr>
            <w:tcW w:w="567" w:type="dxa"/>
          </w:tcPr>
          <w:p w:rsidR="00BF0FD8" w:rsidRPr="008D6431" w:rsidRDefault="00BF0FD8" w:rsidP="004405F1">
            <w:pPr>
              <w:spacing w:after="0" w:line="240" w:lineRule="auto"/>
              <w:ind w:left="-392" w:right="-108" w:firstLine="103"/>
              <w:jc w:val="center"/>
              <w:rPr>
                <w:rFonts w:ascii="Times New Roman" w:hAnsi="Times New Roman"/>
                <w:color w:val="000000"/>
                <w:sz w:val="24"/>
                <w:szCs w:val="24"/>
              </w:rPr>
            </w:pPr>
            <w:r w:rsidRPr="008D6431">
              <w:rPr>
                <w:rFonts w:ascii="Times New Roman" w:hAnsi="Times New Roman"/>
                <w:color w:val="000000"/>
                <w:sz w:val="24"/>
                <w:szCs w:val="24"/>
              </w:rPr>
              <w:t>2.</w:t>
            </w:r>
          </w:p>
        </w:tc>
        <w:tc>
          <w:tcPr>
            <w:tcW w:w="851" w:type="dxa"/>
          </w:tcPr>
          <w:p w:rsidR="00BF0FD8" w:rsidRPr="008D6431" w:rsidRDefault="00BF0FD8" w:rsidP="004405F1">
            <w:pPr>
              <w:spacing w:after="0" w:line="240" w:lineRule="auto"/>
              <w:ind w:left="-108" w:right="-108"/>
              <w:jc w:val="center"/>
              <w:rPr>
                <w:rFonts w:ascii="Times New Roman" w:hAnsi="Times New Roman"/>
                <w:i/>
                <w:color w:val="000000"/>
                <w:sz w:val="24"/>
                <w:szCs w:val="24"/>
              </w:rPr>
            </w:pPr>
            <w:r w:rsidRPr="008D6431">
              <w:rPr>
                <w:rFonts w:ascii="Times New Roman" w:hAnsi="Times New Roman"/>
                <w:i/>
                <w:color w:val="000000"/>
                <w:sz w:val="24"/>
                <w:szCs w:val="24"/>
              </w:rPr>
              <w:t xml:space="preserve">ТЗ </w:t>
            </w:r>
            <m:oMath>
              <m:sSub>
                <m:sSubPr>
                  <m:ctrlPr>
                    <w:rPr>
                      <w:rFonts w:ascii="Cambria Math" w:hAnsi="Times New Roman"/>
                      <w:i/>
                      <w:color w:val="000000"/>
                      <w:sz w:val="24"/>
                      <w:szCs w:val="24"/>
                    </w:rPr>
                  </m:ctrlPr>
                </m:sSubPr>
                <m:e>
                  <m:r>
                    <w:rPr>
                      <w:rFonts w:ascii="Cambria Math" w:hAnsi="Times New Roman"/>
                      <w:color w:val="000000"/>
                      <w:sz w:val="24"/>
                      <w:szCs w:val="24"/>
                    </w:rPr>
                    <m:t>ПБ</m:t>
                  </m:r>
                </m:e>
                <m:sub>
                  <m:r>
                    <w:rPr>
                      <w:rFonts w:ascii="Cambria Math" w:hAnsi="Times New Roman"/>
                      <w:color w:val="000000"/>
                      <w:sz w:val="24"/>
                      <w:szCs w:val="24"/>
                    </w:rPr>
                    <m:t>реал</m:t>
                  </m:r>
                </m:sub>
              </m:sSub>
            </m:oMath>
          </w:p>
        </w:tc>
        <w:tc>
          <w:tcPr>
            <w:tcW w:w="709" w:type="dxa"/>
            <w:vAlign w:val="center"/>
          </w:tcPr>
          <w:p w:rsidR="00BF0FD8" w:rsidRPr="008D6431" w:rsidRDefault="00BF0FD8" w:rsidP="004405F1">
            <w:pPr>
              <w:spacing w:after="0" w:line="240" w:lineRule="auto"/>
              <w:ind w:left="-391" w:right="-108" w:firstLine="283"/>
              <w:jc w:val="center"/>
              <w:rPr>
                <w:rFonts w:ascii="Times New Roman" w:hAnsi="Times New Roman"/>
                <w:color w:val="000000"/>
                <w:sz w:val="24"/>
                <w:szCs w:val="24"/>
              </w:rPr>
            </w:pPr>
            <w:r w:rsidRPr="008D6431">
              <w:rPr>
                <w:rFonts w:ascii="Times New Roman" w:hAnsi="Times New Roman"/>
                <w:color w:val="000000"/>
                <w:sz w:val="24"/>
                <w:szCs w:val="24"/>
              </w:rPr>
              <w:t>8,8</w:t>
            </w:r>
          </w:p>
        </w:tc>
        <w:tc>
          <w:tcPr>
            <w:tcW w:w="851" w:type="dxa"/>
            <w:vAlign w:val="center"/>
          </w:tcPr>
          <w:p w:rsidR="00BF0FD8" w:rsidRPr="008D6431" w:rsidRDefault="00BF0FD8" w:rsidP="004405F1">
            <w:pPr>
              <w:spacing w:after="0" w:line="240" w:lineRule="auto"/>
              <w:ind w:left="-391" w:right="-108" w:firstLine="283"/>
              <w:jc w:val="center"/>
              <w:rPr>
                <w:rFonts w:ascii="Times New Roman" w:hAnsi="Times New Roman"/>
                <w:color w:val="000000"/>
                <w:sz w:val="24"/>
                <w:szCs w:val="24"/>
              </w:rPr>
            </w:pPr>
            <w:r w:rsidRPr="008D6431">
              <w:rPr>
                <w:rFonts w:ascii="Times New Roman" w:hAnsi="Times New Roman"/>
                <w:color w:val="000000"/>
                <w:sz w:val="24"/>
                <w:szCs w:val="24"/>
              </w:rPr>
              <w:t>-18</w:t>
            </w:r>
          </w:p>
        </w:tc>
        <w:tc>
          <w:tcPr>
            <w:tcW w:w="1133" w:type="dxa"/>
            <w:vAlign w:val="center"/>
          </w:tcPr>
          <w:p w:rsidR="00BF0FD8" w:rsidRPr="008D6431" w:rsidRDefault="00BF0FD8" w:rsidP="004405F1">
            <w:pPr>
              <w:spacing w:after="0" w:line="240" w:lineRule="auto"/>
              <w:ind w:left="-391" w:right="-108" w:firstLine="283"/>
              <w:jc w:val="center"/>
              <w:rPr>
                <w:rFonts w:ascii="Times New Roman" w:hAnsi="Times New Roman"/>
                <w:color w:val="000000"/>
                <w:sz w:val="24"/>
                <w:szCs w:val="24"/>
              </w:rPr>
            </w:pPr>
            <w:r w:rsidRPr="008D6431">
              <w:rPr>
                <w:rFonts w:ascii="Times New Roman" w:hAnsi="Times New Roman"/>
                <w:color w:val="000000"/>
                <w:sz w:val="24"/>
                <w:szCs w:val="24"/>
              </w:rPr>
              <w:t>-22,4</w:t>
            </w:r>
          </w:p>
        </w:tc>
        <w:tc>
          <w:tcPr>
            <w:tcW w:w="851" w:type="dxa"/>
            <w:vAlign w:val="center"/>
          </w:tcPr>
          <w:p w:rsidR="00BF0FD8" w:rsidRPr="008D6431" w:rsidRDefault="00BF0FD8" w:rsidP="004405F1">
            <w:pPr>
              <w:spacing w:after="0" w:line="240" w:lineRule="auto"/>
              <w:ind w:left="-391" w:right="-108" w:firstLine="102"/>
              <w:jc w:val="center"/>
              <w:rPr>
                <w:rFonts w:ascii="Times New Roman" w:hAnsi="Times New Roman"/>
                <w:color w:val="000000"/>
                <w:sz w:val="24"/>
                <w:szCs w:val="24"/>
              </w:rPr>
            </w:pPr>
            <w:r w:rsidRPr="008D6431">
              <w:rPr>
                <w:rFonts w:ascii="Times New Roman" w:hAnsi="Times New Roman"/>
                <w:color w:val="000000"/>
                <w:sz w:val="24"/>
                <w:szCs w:val="24"/>
              </w:rPr>
              <w:t>38,8</w:t>
            </w:r>
          </w:p>
        </w:tc>
        <w:tc>
          <w:tcPr>
            <w:tcW w:w="851" w:type="dxa"/>
            <w:vAlign w:val="center"/>
          </w:tcPr>
          <w:p w:rsidR="00BF0FD8" w:rsidRPr="008D6431" w:rsidRDefault="00BF0FD8" w:rsidP="00690A71">
            <w:pPr>
              <w:spacing w:after="0" w:line="240" w:lineRule="auto"/>
              <w:ind w:left="-391" w:right="-108" w:firstLine="102"/>
              <w:jc w:val="center"/>
              <w:rPr>
                <w:rFonts w:ascii="Times New Roman" w:hAnsi="Times New Roman"/>
                <w:color w:val="000000"/>
                <w:sz w:val="24"/>
                <w:szCs w:val="24"/>
              </w:rPr>
            </w:pPr>
            <w:r w:rsidRPr="008D6431">
              <w:rPr>
                <w:rFonts w:ascii="Times New Roman" w:hAnsi="Times New Roman"/>
                <w:color w:val="000000"/>
                <w:sz w:val="24"/>
                <w:szCs w:val="24"/>
              </w:rPr>
              <w:t>42,5</w:t>
            </w:r>
          </w:p>
        </w:tc>
        <w:tc>
          <w:tcPr>
            <w:tcW w:w="850" w:type="dxa"/>
            <w:vAlign w:val="center"/>
          </w:tcPr>
          <w:p w:rsidR="00BF0FD8" w:rsidRPr="008D6431" w:rsidRDefault="00BF0FD8" w:rsidP="00690A71">
            <w:pPr>
              <w:spacing w:after="0" w:line="240" w:lineRule="auto"/>
              <w:ind w:left="-108" w:right="-108"/>
              <w:jc w:val="center"/>
              <w:rPr>
                <w:rFonts w:ascii="Times New Roman" w:hAnsi="Times New Roman"/>
                <w:color w:val="000000"/>
                <w:sz w:val="24"/>
                <w:szCs w:val="24"/>
              </w:rPr>
            </w:pPr>
            <w:r w:rsidRPr="008D6431">
              <w:rPr>
                <w:rFonts w:ascii="Times New Roman" w:hAnsi="Times New Roman"/>
                <w:color w:val="000000"/>
                <w:sz w:val="24"/>
                <w:szCs w:val="24"/>
              </w:rPr>
              <w:t>44,6</w:t>
            </w:r>
          </w:p>
        </w:tc>
        <w:tc>
          <w:tcPr>
            <w:tcW w:w="851" w:type="dxa"/>
            <w:vAlign w:val="center"/>
          </w:tcPr>
          <w:p w:rsidR="00BF0FD8" w:rsidRPr="008D6431" w:rsidRDefault="00BF0FD8" w:rsidP="00690A71">
            <w:pPr>
              <w:spacing w:after="0" w:line="240" w:lineRule="auto"/>
              <w:ind w:left="-391" w:right="-108" w:firstLine="102"/>
              <w:jc w:val="center"/>
              <w:rPr>
                <w:rFonts w:ascii="Times New Roman" w:hAnsi="Times New Roman"/>
                <w:color w:val="000000"/>
                <w:sz w:val="24"/>
                <w:szCs w:val="24"/>
              </w:rPr>
            </w:pPr>
            <w:r w:rsidRPr="008D6431">
              <w:rPr>
                <w:rFonts w:ascii="Times New Roman" w:hAnsi="Times New Roman"/>
                <w:color w:val="000000"/>
                <w:sz w:val="24"/>
                <w:szCs w:val="24"/>
              </w:rPr>
              <w:t>9,6</w:t>
            </w:r>
          </w:p>
        </w:tc>
        <w:tc>
          <w:tcPr>
            <w:tcW w:w="850" w:type="dxa"/>
            <w:vAlign w:val="center"/>
          </w:tcPr>
          <w:p w:rsidR="00BF0FD8" w:rsidRPr="008D6431" w:rsidRDefault="00BF0FD8" w:rsidP="00690A71">
            <w:pPr>
              <w:spacing w:after="0" w:line="240" w:lineRule="auto"/>
              <w:ind w:left="-108" w:right="-108"/>
              <w:jc w:val="center"/>
              <w:rPr>
                <w:rFonts w:ascii="Times New Roman" w:hAnsi="Times New Roman"/>
                <w:color w:val="000000"/>
                <w:sz w:val="24"/>
                <w:szCs w:val="24"/>
              </w:rPr>
            </w:pPr>
            <w:r w:rsidRPr="008D6431">
              <w:rPr>
                <w:rFonts w:ascii="Times New Roman" w:hAnsi="Times New Roman"/>
                <w:color w:val="000000"/>
                <w:sz w:val="24"/>
                <w:szCs w:val="24"/>
              </w:rPr>
              <w:t>-12,6</w:t>
            </w:r>
          </w:p>
        </w:tc>
        <w:tc>
          <w:tcPr>
            <w:tcW w:w="709" w:type="dxa"/>
            <w:vAlign w:val="center"/>
          </w:tcPr>
          <w:p w:rsidR="00BF0FD8" w:rsidRPr="008D6431" w:rsidRDefault="00BF0FD8" w:rsidP="00690A71">
            <w:pPr>
              <w:spacing w:after="0" w:line="240" w:lineRule="auto"/>
              <w:ind w:right="-108"/>
              <w:jc w:val="center"/>
              <w:rPr>
                <w:rFonts w:ascii="Times New Roman" w:hAnsi="Times New Roman"/>
                <w:color w:val="000000"/>
                <w:sz w:val="24"/>
                <w:szCs w:val="24"/>
              </w:rPr>
            </w:pPr>
            <w:r w:rsidRPr="008D6431">
              <w:rPr>
                <w:rFonts w:ascii="Times New Roman" w:hAnsi="Times New Roman"/>
                <w:color w:val="000000"/>
                <w:sz w:val="24"/>
                <w:szCs w:val="24"/>
              </w:rPr>
              <w:t>19,9</w:t>
            </w:r>
          </w:p>
        </w:tc>
        <w:tc>
          <w:tcPr>
            <w:tcW w:w="850" w:type="dxa"/>
            <w:vAlign w:val="center"/>
          </w:tcPr>
          <w:p w:rsidR="00BF0FD8" w:rsidRPr="008D6431" w:rsidRDefault="00BF0FD8" w:rsidP="00690A71">
            <w:pPr>
              <w:spacing w:after="0" w:line="240" w:lineRule="auto"/>
              <w:ind w:left="-108" w:right="-108"/>
              <w:jc w:val="center"/>
              <w:rPr>
                <w:rFonts w:ascii="Times New Roman" w:hAnsi="Times New Roman"/>
                <w:color w:val="000000"/>
                <w:sz w:val="24"/>
                <w:szCs w:val="24"/>
              </w:rPr>
            </w:pPr>
            <w:r w:rsidRPr="008D6431">
              <w:rPr>
                <w:rFonts w:ascii="Times New Roman" w:hAnsi="Times New Roman"/>
                <w:color w:val="000000"/>
                <w:sz w:val="24"/>
                <w:szCs w:val="24"/>
              </w:rPr>
              <w:t>82,5</w:t>
            </w:r>
          </w:p>
        </w:tc>
      </w:tr>
    </w:tbl>
    <w:p w:rsidR="00BF0FD8" w:rsidRPr="004101DF" w:rsidRDefault="00BF0FD8" w:rsidP="00BF0FD8">
      <w:pPr>
        <w:spacing w:after="0" w:line="360" w:lineRule="auto"/>
        <w:ind w:left="-284" w:firstLine="710"/>
        <w:jc w:val="both"/>
        <w:rPr>
          <w:rFonts w:ascii="Times New Roman" w:hAnsi="Times New Roman"/>
          <w:color w:val="000000"/>
          <w:sz w:val="28"/>
          <w:szCs w:val="28"/>
        </w:rPr>
      </w:pPr>
      <w:proofErr w:type="spellStart"/>
      <w:r w:rsidRPr="0012560E">
        <w:rPr>
          <w:rFonts w:ascii="Times New Roman" w:hAnsi="Times New Roman"/>
          <w:color w:val="000000"/>
          <w:sz w:val="28"/>
          <w:szCs w:val="28"/>
        </w:rPr>
        <w:t>Джерело</w:t>
      </w:r>
      <w:proofErr w:type="spell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розраховано</w:t>
      </w:r>
      <w:proofErr w:type="spellEnd"/>
      <w:r w:rsidRPr="0012560E">
        <w:rPr>
          <w:rFonts w:ascii="Times New Roman" w:hAnsi="Times New Roman"/>
          <w:color w:val="000000"/>
          <w:sz w:val="28"/>
          <w:szCs w:val="28"/>
        </w:rPr>
        <w:t xml:space="preserve"> автором</w:t>
      </w:r>
      <w:r>
        <w:rPr>
          <w:rFonts w:ascii="Times New Roman" w:hAnsi="Times New Roman"/>
          <w:color w:val="000000"/>
          <w:sz w:val="28"/>
          <w:szCs w:val="28"/>
        </w:rPr>
        <w:t xml:space="preserve"> за </w:t>
      </w:r>
      <w:proofErr w:type="spellStart"/>
      <w:r>
        <w:rPr>
          <w:rFonts w:ascii="Times New Roman" w:hAnsi="Times New Roman"/>
          <w:color w:val="000000"/>
          <w:sz w:val="28"/>
          <w:szCs w:val="28"/>
        </w:rPr>
        <w:t>даними</w:t>
      </w:r>
      <w:proofErr w:type="spellEnd"/>
      <w:r>
        <w:rPr>
          <w:rFonts w:ascii="Times New Roman" w:hAnsi="Times New Roman"/>
          <w:color w:val="000000"/>
          <w:sz w:val="28"/>
          <w:szCs w:val="28"/>
        </w:rPr>
        <w:t xml:space="preserve">: </w:t>
      </w:r>
      <w:r w:rsidRPr="004101DF">
        <w:rPr>
          <w:rFonts w:ascii="Times New Roman" w:hAnsi="Times New Roman"/>
          <w:color w:val="000000"/>
          <w:sz w:val="28"/>
          <w:szCs w:val="28"/>
        </w:rPr>
        <w:t>[</w:t>
      </w:r>
      <w:r w:rsidR="006410D2">
        <w:rPr>
          <w:rFonts w:ascii="Times New Roman" w:hAnsi="Times New Roman"/>
          <w:color w:val="000000"/>
          <w:sz w:val="28"/>
          <w:szCs w:val="28"/>
          <w:lang w:val="uk-UA"/>
        </w:rPr>
        <w:fldChar w:fldCharType="begin"/>
      </w:r>
      <w:r w:rsidR="006410D2">
        <w:rPr>
          <w:rFonts w:ascii="Times New Roman" w:hAnsi="Times New Roman"/>
          <w:color w:val="000000"/>
          <w:sz w:val="28"/>
          <w:szCs w:val="28"/>
        </w:rPr>
        <w:instrText xml:space="preserve"> REF _Ref449059581 \r \h </w:instrText>
      </w:r>
      <w:r w:rsidR="006410D2">
        <w:rPr>
          <w:rFonts w:ascii="Times New Roman" w:hAnsi="Times New Roman"/>
          <w:color w:val="000000"/>
          <w:sz w:val="28"/>
          <w:szCs w:val="28"/>
          <w:lang w:val="uk-UA"/>
        </w:rPr>
      </w:r>
      <w:r w:rsidR="006410D2">
        <w:rPr>
          <w:rFonts w:ascii="Times New Roman" w:hAnsi="Times New Roman"/>
          <w:color w:val="000000"/>
          <w:sz w:val="28"/>
          <w:szCs w:val="28"/>
          <w:lang w:val="uk-UA"/>
        </w:rPr>
        <w:fldChar w:fldCharType="separate"/>
      </w:r>
      <w:r w:rsidR="006B1E97">
        <w:rPr>
          <w:rFonts w:ascii="Times New Roman" w:hAnsi="Times New Roman"/>
          <w:color w:val="000000"/>
          <w:sz w:val="28"/>
          <w:szCs w:val="28"/>
        </w:rPr>
        <w:t>1</w:t>
      </w:r>
      <w:r w:rsidR="006410D2">
        <w:rPr>
          <w:rFonts w:ascii="Times New Roman" w:hAnsi="Times New Roman"/>
          <w:color w:val="000000"/>
          <w:sz w:val="28"/>
          <w:szCs w:val="28"/>
          <w:lang w:val="uk-UA"/>
        </w:rPr>
        <w:fldChar w:fldCharType="end"/>
      </w:r>
      <w:r w:rsidR="00CD7B82">
        <w:rPr>
          <w:rFonts w:ascii="Times New Roman" w:hAnsi="Times New Roman"/>
          <w:color w:val="000000"/>
          <w:sz w:val="28"/>
          <w:szCs w:val="28"/>
          <w:lang w:val="uk-UA"/>
        </w:rPr>
        <w:t xml:space="preserve">; </w:t>
      </w:r>
      <w:r w:rsidR="006410D2">
        <w:rPr>
          <w:rFonts w:ascii="Times New Roman" w:hAnsi="Times New Roman"/>
          <w:color w:val="000000"/>
          <w:sz w:val="28"/>
          <w:szCs w:val="28"/>
          <w:lang w:val="uk-UA"/>
        </w:rPr>
        <w:fldChar w:fldCharType="begin"/>
      </w:r>
      <w:r w:rsidR="006410D2">
        <w:rPr>
          <w:rFonts w:ascii="Times New Roman" w:hAnsi="Times New Roman"/>
          <w:color w:val="000000"/>
          <w:sz w:val="28"/>
          <w:szCs w:val="28"/>
          <w:lang w:val="uk-UA"/>
        </w:rPr>
        <w:instrText xml:space="preserve"> REF _Ref449059588 \r \h </w:instrText>
      </w:r>
      <w:r w:rsidR="006410D2">
        <w:rPr>
          <w:rFonts w:ascii="Times New Roman" w:hAnsi="Times New Roman"/>
          <w:color w:val="000000"/>
          <w:sz w:val="28"/>
          <w:szCs w:val="28"/>
          <w:lang w:val="uk-UA"/>
        </w:rPr>
      </w:r>
      <w:r w:rsidR="006410D2">
        <w:rPr>
          <w:rFonts w:ascii="Times New Roman" w:hAnsi="Times New Roman"/>
          <w:color w:val="000000"/>
          <w:sz w:val="28"/>
          <w:szCs w:val="28"/>
          <w:lang w:val="uk-UA"/>
        </w:rPr>
        <w:fldChar w:fldCharType="separate"/>
      </w:r>
      <w:r w:rsidR="006B1E97">
        <w:rPr>
          <w:rFonts w:ascii="Times New Roman" w:hAnsi="Times New Roman"/>
          <w:color w:val="000000"/>
          <w:sz w:val="28"/>
          <w:szCs w:val="28"/>
          <w:lang w:val="uk-UA"/>
        </w:rPr>
        <w:t>4</w:t>
      </w:r>
      <w:r w:rsidR="006410D2">
        <w:rPr>
          <w:rFonts w:ascii="Times New Roman" w:hAnsi="Times New Roman"/>
          <w:color w:val="000000"/>
          <w:sz w:val="28"/>
          <w:szCs w:val="28"/>
          <w:lang w:val="uk-UA"/>
        </w:rPr>
        <w:fldChar w:fldCharType="end"/>
      </w:r>
      <w:r w:rsidRPr="004101DF">
        <w:rPr>
          <w:rFonts w:ascii="Times New Roman" w:hAnsi="Times New Roman"/>
          <w:color w:val="000000"/>
          <w:sz w:val="28"/>
          <w:szCs w:val="28"/>
        </w:rPr>
        <w:t>]</w:t>
      </w:r>
    </w:p>
    <w:p w:rsidR="00BF0FD8" w:rsidRPr="0012560E" w:rsidRDefault="00BF0FD8" w:rsidP="00BF0FD8">
      <w:pPr>
        <w:spacing w:after="0" w:line="360" w:lineRule="auto"/>
        <w:ind w:left="-284" w:firstLine="710"/>
        <w:jc w:val="both"/>
        <w:rPr>
          <w:rFonts w:ascii="Times New Roman" w:hAnsi="Times New Roman"/>
          <w:color w:val="000000"/>
          <w:sz w:val="28"/>
          <w:szCs w:val="28"/>
        </w:rPr>
      </w:pPr>
      <w:r w:rsidRPr="0012560E">
        <w:rPr>
          <w:rFonts w:ascii="Times New Roman" w:hAnsi="Times New Roman"/>
          <w:sz w:val="28"/>
          <w:szCs w:val="28"/>
        </w:rPr>
        <w:t xml:space="preserve">За результатами </w:t>
      </w:r>
      <w:proofErr w:type="spellStart"/>
      <w:r w:rsidRPr="0012560E">
        <w:rPr>
          <w:rFonts w:ascii="Times New Roman" w:hAnsi="Times New Roman"/>
          <w:sz w:val="28"/>
          <w:szCs w:val="28"/>
        </w:rPr>
        <w:t>розрахунків</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бачимо</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що</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негативні</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зміни</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відбувалися</w:t>
      </w:r>
      <w:proofErr w:type="spellEnd"/>
      <w:r w:rsidRPr="0012560E">
        <w:rPr>
          <w:rFonts w:ascii="Times New Roman" w:hAnsi="Times New Roman"/>
          <w:sz w:val="28"/>
          <w:szCs w:val="28"/>
        </w:rPr>
        <w:t xml:space="preserve"> у </w:t>
      </w:r>
      <w:proofErr w:type="spellStart"/>
      <w:proofErr w:type="gramStart"/>
      <w:r w:rsidRPr="0012560E">
        <w:rPr>
          <w:rFonts w:ascii="Times New Roman" w:hAnsi="Times New Roman"/>
          <w:sz w:val="28"/>
          <w:szCs w:val="28"/>
        </w:rPr>
        <w:t>вс</w:t>
      </w:r>
      <w:proofErr w:type="gramEnd"/>
      <w:r w:rsidRPr="0012560E">
        <w:rPr>
          <w:rFonts w:ascii="Times New Roman" w:hAnsi="Times New Roman"/>
          <w:sz w:val="28"/>
          <w:szCs w:val="28"/>
        </w:rPr>
        <w:t>іх</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періодах</w:t>
      </w:r>
      <w:proofErr w:type="spellEnd"/>
      <w:r w:rsidR="00DE414E">
        <w:rPr>
          <w:rFonts w:ascii="Times New Roman" w:hAnsi="Times New Roman"/>
          <w:sz w:val="28"/>
          <w:szCs w:val="28"/>
        </w:rPr>
        <w:t xml:space="preserve"> за </w:t>
      </w:r>
      <w:proofErr w:type="spellStart"/>
      <w:r w:rsidR="00DE414E">
        <w:rPr>
          <w:rFonts w:ascii="Times New Roman" w:hAnsi="Times New Roman"/>
          <w:sz w:val="28"/>
          <w:szCs w:val="28"/>
        </w:rPr>
        <w:t>винятком</w:t>
      </w:r>
      <w:proofErr w:type="spellEnd"/>
      <w:r w:rsidR="00DE414E">
        <w:rPr>
          <w:rFonts w:ascii="Times New Roman" w:hAnsi="Times New Roman"/>
          <w:sz w:val="28"/>
          <w:szCs w:val="28"/>
        </w:rPr>
        <w:t xml:space="preserve"> 2006 та 2012 </w:t>
      </w:r>
      <w:proofErr w:type="spellStart"/>
      <w:r w:rsidR="00DE414E">
        <w:rPr>
          <w:rFonts w:ascii="Times New Roman" w:hAnsi="Times New Roman"/>
          <w:sz w:val="28"/>
          <w:szCs w:val="28"/>
        </w:rPr>
        <w:t>років</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Більш</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наглядним</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з</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позицій</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оцінки</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даного</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індикатора</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є</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порівняння</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темпів</w:t>
      </w:r>
      <w:proofErr w:type="spellEnd"/>
      <w:r w:rsidRPr="0012560E">
        <w:rPr>
          <w:rFonts w:ascii="Times New Roman" w:hAnsi="Times New Roman"/>
          <w:sz w:val="28"/>
          <w:szCs w:val="28"/>
        </w:rPr>
        <w:t xml:space="preserve"> </w:t>
      </w:r>
      <w:proofErr w:type="spellStart"/>
      <w:r w:rsidRPr="0012560E">
        <w:rPr>
          <w:rFonts w:ascii="Times New Roman" w:hAnsi="Times New Roman"/>
          <w:sz w:val="28"/>
          <w:szCs w:val="28"/>
        </w:rPr>
        <w:t>з</w:t>
      </w:r>
      <w:r>
        <w:rPr>
          <w:rFonts w:ascii="Times New Roman" w:hAnsi="Times New Roman"/>
          <w:sz w:val="28"/>
          <w:szCs w:val="28"/>
        </w:rPr>
        <w:t>міни</w:t>
      </w:r>
      <w:proofErr w:type="spellEnd"/>
      <w:r>
        <w:rPr>
          <w:rFonts w:ascii="Times New Roman" w:hAnsi="Times New Roman"/>
          <w:sz w:val="28"/>
          <w:szCs w:val="28"/>
        </w:rPr>
        <w:t xml:space="preserve"> </w:t>
      </w:r>
      <w:proofErr w:type="spellStart"/>
      <w:r>
        <w:rPr>
          <w:rFonts w:ascii="Times New Roman" w:hAnsi="Times New Roman"/>
          <w:sz w:val="28"/>
          <w:szCs w:val="28"/>
        </w:rPr>
        <w:t>обох</w:t>
      </w:r>
      <w:proofErr w:type="spellEnd"/>
      <w:r>
        <w:rPr>
          <w:rFonts w:ascii="Times New Roman" w:hAnsi="Times New Roman"/>
          <w:sz w:val="28"/>
          <w:szCs w:val="28"/>
        </w:rPr>
        <w:t xml:space="preserve"> </w:t>
      </w:r>
      <w:proofErr w:type="spellStart"/>
      <w:r>
        <w:rPr>
          <w:rFonts w:ascii="Times New Roman" w:hAnsi="Times New Roman"/>
          <w:sz w:val="28"/>
          <w:szCs w:val="28"/>
        </w:rPr>
        <w:t>показників</w:t>
      </w:r>
      <w:proofErr w:type="spellEnd"/>
      <w:r>
        <w:rPr>
          <w:rFonts w:ascii="Times New Roman" w:hAnsi="Times New Roman"/>
          <w:sz w:val="28"/>
          <w:szCs w:val="28"/>
        </w:rPr>
        <w:t xml:space="preserve">. </w:t>
      </w:r>
      <w:proofErr w:type="spellStart"/>
      <w:r>
        <w:rPr>
          <w:rFonts w:ascii="Times New Roman" w:hAnsi="Times New Roman"/>
          <w:color w:val="000000"/>
          <w:sz w:val="28"/>
          <w:szCs w:val="28"/>
        </w:rPr>
        <w:t>Р</w:t>
      </w:r>
      <w:r w:rsidRPr="0012560E">
        <w:rPr>
          <w:rFonts w:ascii="Times New Roman" w:hAnsi="Times New Roman"/>
          <w:color w:val="000000"/>
          <w:sz w:val="28"/>
          <w:szCs w:val="28"/>
        </w:rPr>
        <w:t>озвиток</w:t>
      </w:r>
      <w:proofErr w:type="spell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даних</w:t>
      </w:r>
      <w:proofErr w:type="spell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індикаторів</w:t>
      </w:r>
      <w:proofErr w:type="spell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графічно</w:t>
      </w:r>
      <w:proofErr w:type="spellEnd"/>
      <w:r w:rsidR="00664DB1">
        <w:rPr>
          <w:rFonts w:ascii="Times New Roman" w:hAnsi="Times New Roman"/>
          <w:color w:val="000000"/>
          <w:sz w:val="28"/>
          <w:szCs w:val="28"/>
        </w:rPr>
        <w:t xml:space="preserve"> </w:t>
      </w:r>
      <w:proofErr w:type="spellStart"/>
      <w:r w:rsidR="00664DB1">
        <w:rPr>
          <w:rFonts w:ascii="Times New Roman" w:hAnsi="Times New Roman"/>
          <w:color w:val="000000"/>
          <w:sz w:val="28"/>
          <w:szCs w:val="28"/>
        </w:rPr>
        <w:t>зображений</w:t>
      </w:r>
      <w:proofErr w:type="spellEnd"/>
      <w:r w:rsidR="00664DB1">
        <w:rPr>
          <w:rFonts w:ascii="Times New Roman" w:hAnsi="Times New Roman"/>
          <w:color w:val="000000"/>
          <w:sz w:val="28"/>
          <w:szCs w:val="28"/>
        </w:rPr>
        <w:t xml:space="preserve"> на рис. </w:t>
      </w:r>
      <w:r w:rsidR="00664DB1">
        <w:rPr>
          <w:rFonts w:ascii="Times New Roman" w:hAnsi="Times New Roman"/>
          <w:color w:val="000000"/>
          <w:sz w:val="28"/>
          <w:szCs w:val="28"/>
          <w:lang w:val="uk-UA"/>
        </w:rPr>
        <w:t>4</w:t>
      </w:r>
      <w:r w:rsidRPr="0012560E">
        <w:rPr>
          <w:rFonts w:ascii="Times New Roman" w:hAnsi="Times New Roman"/>
          <w:color w:val="000000"/>
          <w:sz w:val="28"/>
          <w:szCs w:val="28"/>
        </w:rPr>
        <w:t>:</w:t>
      </w:r>
    </w:p>
    <w:p w:rsidR="00BF0FD8" w:rsidRPr="0012560E" w:rsidRDefault="00BF0FD8" w:rsidP="00BF0FD8">
      <w:pPr>
        <w:spacing w:after="0"/>
        <w:ind w:left="-284"/>
        <w:rPr>
          <w:rFonts w:ascii="Times New Roman" w:hAnsi="Times New Roman"/>
        </w:rPr>
      </w:pPr>
      <w:r>
        <w:rPr>
          <w:rFonts w:ascii="Times New Roman" w:hAnsi="Times New Roman"/>
          <w:noProof/>
          <w:lang w:val="uk-UA" w:eastAsia="uk-UA"/>
        </w:rPr>
        <w:drawing>
          <wp:inline distT="0" distB="0" distL="0" distR="0">
            <wp:extent cx="6362700" cy="1905000"/>
            <wp:effectExtent l="19050" t="0" r="19050" b="0"/>
            <wp:docPr id="4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0FD8" w:rsidRPr="0012560E" w:rsidRDefault="00664DB1" w:rsidP="00BF0FD8">
      <w:pPr>
        <w:spacing w:after="0" w:line="360" w:lineRule="auto"/>
        <w:ind w:left="-284" w:firstLine="710"/>
        <w:jc w:val="both"/>
        <w:rPr>
          <w:rFonts w:ascii="Times New Roman" w:hAnsi="Times New Roman"/>
          <w:color w:val="000000"/>
          <w:sz w:val="28"/>
          <w:szCs w:val="28"/>
        </w:rPr>
      </w:pPr>
      <w:r>
        <w:rPr>
          <w:rFonts w:ascii="Times New Roman" w:hAnsi="Times New Roman"/>
          <w:color w:val="000000"/>
          <w:sz w:val="28"/>
          <w:szCs w:val="28"/>
        </w:rPr>
        <w:t xml:space="preserve">Рис. </w:t>
      </w:r>
      <w:r w:rsidR="00BF0FD8">
        <w:rPr>
          <w:rFonts w:ascii="Times New Roman" w:hAnsi="Times New Roman"/>
          <w:color w:val="000000"/>
          <w:sz w:val="28"/>
          <w:szCs w:val="28"/>
        </w:rPr>
        <w:t>4</w:t>
      </w:r>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Динаміка</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темпів</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зміни</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номінального</w:t>
      </w:r>
      <w:proofErr w:type="spellEnd"/>
      <w:r w:rsidR="00BF0FD8" w:rsidRPr="0012560E">
        <w:rPr>
          <w:rFonts w:ascii="Times New Roman" w:hAnsi="Times New Roman"/>
          <w:color w:val="000000"/>
          <w:sz w:val="28"/>
          <w:szCs w:val="28"/>
        </w:rPr>
        <w:t xml:space="preserve"> та </w:t>
      </w:r>
      <w:proofErr w:type="gramStart"/>
      <w:r w:rsidR="00BF0FD8" w:rsidRPr="0012560E">
        <w:rPr>
          <w:rFonts w:ascii="Times New Roman" w:hAnsi="Times New Roman"/>
          <w:color w:val="000000"/>
          <w:sz w:val="28"/>
          <w:szCs w:val="28"/>
        </w:rPr>
        <w:t>реального</w:t>
      </w:r>
      <w:proofErr w:type="gramEnd"/>
      <w:r w:rsidR="00BF0FD8">
        <w:rPr>
          <w:rFonts w:ascii="Times New Roman" w:hAnsi="Times New Roman"/>
          <w:color w:val="000000"/>
          <w:sz w:val="28"/>
          <w:szCs w:val="28"/>
        </w:rPr>
        <w:t xml:space="preserve"> </w:t>
      </w:r>
      <w:proofErr w:type="spellStart"/>
      <w:r w:rsidR="00BF0FD8">
        <w:rPr>
          <w:rFonts w:ascii="Times New Roman" w:hAnsi="Times New Roman"/>
          <w:color w:val="000000"/>
          <w:sz w:val="28"/>
          <w:szCs w:val="28"/>
        </w:rPr>
        <w:t>податкового</w:t>
      </w:r>
      <w:proofErr w:type="spellEnd"/>
      <w:r w:rsidR="00BF0FD8">
        <w:rPr>
          <w:rFonts w:ascii="Times New Roman" w:hAnsi="Times New Roman"/>
          <w:color w:val="000000"/>
          <w:sz w:val="28"/>
          <w:szCs w:val="28"/>
        </w:rPr>
        <w:t xml:space="preserve"> боргу в </w:t>
      </w:r>
      <w:proofErr w:type="spellStart"/>
      <w:r w:rsidR="00BF0FD8">
        <w:rPr>
          <w:rFonts w:ascii="Times New Roman" w:hAnsi="Times New Roman"/>
          <w:color w:val="000000"/>
          <w:sz w:val="28"/>
          <w:szCs w:val="28"/>
        </w:rPr>
        <w:t>Україні</w:t>
      </w:r>
      <w:proofErr w:type="spellEnd"/>
      <w:r w:rsidR="00BF0FD8">
        <w:rPr>
          <w:rFonts w:ascii="Times New Roman" w:hAnsi="Times New Roman"/>
          <w:color w:val="000000"/>
          <w:sz w:val="28"/>
          <w:szCs w:val="28"/>
        </w:rPr>
        <w:t xml:space="preserve">, </w:t>
      </w:r>
      <w:r w:rsidR="00BF0FD8" w:rsidRPr="0012560E">
        <w:rPr>
          <w:rFonts w:ascii="Times New Roman" w:hAnsi="Times New Roman"/>
          <w:color w:val="000000"/>
          <w:sz w:val="28"/>
          <w:szCs w:val="28"/>
        </w:rPr>
        <w:t xml:space="preserve">2005-2014 </w:t>
      </w:r>
      <w:proofErr w:type="spellStart"/>
      <w:r w:rsidR="00BF0FD8" w:rsidRPr="0012560E">
        <w:rPr>
          <w:rFonts w:ascii="Times New Roman" w:hAnsi="Times New Roman"/>
          <w:color w:val="000000"/>
          <w:sz w:val="28"/>
          <w:szCs w:val="28"/>
        </w:rPr>
        <w:t>рр</w:t>
      </w:r>
      <w:proofErr w:type="spellEnd"/>
      <w:r w:rsidR="00BF0FD8" w:rsidRPr="0012560E">
        <w:rPr>
          <w:rFonts w:ascii="Times New Roman" w:hAnsi="Times New Roman"/>
          <w:color w:val="000000"/>
          <w:sz w:val="28"/>
          <w:szCs w:val="28"/>
        </w:rPr>
        <w:t>.</w:t>
      </w:r>
    </w:p>
    <w:p w:rsidR="00BF0FD8" w:rsidRPr="00DE414E" w:rsidRDefault="00BF0FD8" w:rsidP="00BF0FD8">
      <w:pPr>
        <w:spacing w:after="0" w:line="360" w:lineRule="auto"/>
        <w:ind w:left="-284" w:firstLine="710"/>
        <w:jc w:val="both"/>
        <w:rPr>
          <w:rFonts w:ascii="Times New Roman" w:hAnsi="Times New Roman"/>
          <w:color w:val="000000"/>
          <w:sz w:val="28"/>
          <w:szCs w:val="28"/>
        </w:rPr>
      </w:pPr>
      <w:proofErr w:type="spellStart"/>
      <w:r w:rsidRPr="0012560E">
        <w:rPr>
          <w:rFonts w:ascii="Times New Roman" w:hAnsi="Times New Roman"/>
          <w:color w:val="000000"/>
          <w:sz w:val="28"/>
          <w:szCs w:val="28"/>
        </w:rPr>
        <w:t>Джерело</w:t>
      </w:r>
      <w:proofErr w:type="spellEnd"/>
      <w:r w:rsidRPr="0012560E">
        <w:rPr>
          <w:rFonts w:ascii="Times New Roman" w:hAnsi="Times New Roman"/>
          <w:color w:val="000000"/>
          <w:sz w:val="28"/>
          <w:szCs w:val="28"/>
        </w:rPr>
        <w:t xml:space="preserve">: </w:t>
      </w:r>
      <w:proofErr w:type="spellStart"/>
      <w:r w:rsidRPr="0012560E">
        <w:rPr>
          <w:rFonts w:ascii="Times New Roman" w:hAnsi="Times New Roman"/>
          <w:color w:val="000000"/>
          <w:sz w:val="28"/>
          <w:szCs w:val="28"/>
        </w:rPr>
        <w:t>побудовано</w:t>
      </w:r>
      <w:proofErr w:type="spellEnd"/>
      <w:r w:rsidRPr="0012560E">
        <w:rPr>
          <w:rFonts w:ascii="Times New Roman" w:hAnsi="Times New Roman"/>
          <w:color w:val="000000"/>
          <w:sz w:val="28"/>
          <w:szCs w:val="28"/>
        </w:rPr>
        <w:t xml:space="preserve"> автором</w:t>
      </w:r>
      <w:r w:rsidR="00CD7B82">
        <w:rPr>
          <w:rFonts w:ascii="Times New Roman" w:hAnsi="Times New Roman"/>
          <w:color w:val="000000"/>
          <w:sz w:val="28"/>
          <w:szCs w:val="28"/>
          <w:lang w:val="uk-UA"/>
        </w:rPr>
        <w:t xml:space="preserve"> за: </w:t>
      </w:r>
      <w:r w:rsidR="00CD7B82" w:rsidRPr="00DE414E">
        <w:rPr>
          <w:rFonts w:ascii="Times New Roman" w:hAnsi="Times New Roman"/>
          <w:color w:val="000000"/>
          <w:sz w:val="28"/>
          <w:szCs w:val="28"/>
        </w:rPr>
        <w:t>[</w:t>
      </w:r>
      <w:r w:rsidR="006410D2">
        <w:rPr>
          <w:rFonts w:ascii="Times New Roman" w:hAnsi="Times New Roman"/>
          <w:color w:val="000000"/>
          <w:sz w:val="28"/>
          <w:szCs w:val="28"/>
        </w:rPr>
        <w:fldChar w:fldCharType="begin"/>
      </w:r>
      <w:r w:rsidR="006410D2">
        <w:rPr>
          <w:rFonts w:ascii="Times New Roman" w:hAnsi="Times New Roman"/>
          <w:color w:val="000000"/>
          <w:sz w:val="28"/>
          <w:szCs w:val="28"/>
        </w:rPr>
        <w:instrText xml:space="preserve"> REF _Ref449059581 \r \h </w:instrText>
      </w:r>
      <w:r w:rsidR="006410D2">
        <w:rPr>
          <w:rFonts w:ascii="Times New Roman" w:hAnsi="Times New Roman"/>
          <w:color w:val="000000"/>
          <w:sz w:val="28"/>
          <w:szCs w:val="28"/>
        </w:rPr>
      </w:r>
      <w:r w:rsidR="006410D2">
        <w:rPr>
          <w:rFonts w:ascii="Times New Roman" w:hAnsi="Times New Roman"/>
          <w:color w:val="000000"/>
          <w:sz w:val="28"/>
          <w:szCs w:val="28"/>
        </w:rPr>
        <w:fldChar w:fldCharType="separate"/>
      </w:r>
      <w:r w:rsidR="006B1E97">
        <w:rPr>
          <w:rFonts w:ascii="Times New Roman" w:hAnsi="Times New Roman"/>
          <w:color w:val="000000"/>
          <w:sz w:val="28"/>
          <w:szCs w:val="28"/>
        </w:rPr>
        <w:t>1</w:t>
      </w:r>
      <w:r w:rsidR="006410D2">
        <w:rPr>
          <w:rFonts w:ascii="Times New Roman" w:hAnsi="Times New Roman"/>
          <w:color w:val="000000"/>
          <w:sz w:val="28"/>
          <w:szCs w:val="28"/>
        </w:rPr>
        <w:fldChar w:fldCharType="end"/>
      </w:r>
      <w:r w:rsidR="00CD7B82">
        <w:rPr>
          <w:rFonts w:ascii="Times New Roman" w:hAnsi="Times New Roman"/>
          <w:color w:val="000000"/>
          <w:sz w:val="28"/>
          <w:szCs w:val="28"/>
          <w:lang w:val="uk-UA"/>
        </w:rPr>
        <w:t xml:space="preserve">; </w:t>
      </w:r>
      <w:r w:rsidR="006410D2">
        <w:rPr>
          <w:rFonts w:ascii="Times New Roman" w:hAnsi="Times New Roman"/>
          <w:color w:val="000000"/>
          <w:sz w:val="28"/>
          <w:szCs w:val="28"/>
          <w:lang w:val="uk-UA"/>
        </w:rPr>
        <w:fldChar w:fldCharType="begin"/>
      </w:r>
      <w:r w:rsidR="006410D2">
        <w:rPr>
          <w:rFonts w:ascii="Times New Roman" w:hAnsi="Times New Roman"/>
          <w:color w:val="000000"/>
          <w:sz w:val="28"/>
          <w:szCs w:val="28"/>
          <w:lang w:val="uk-UA"/>
        </w:rPr>
        <w:instrText xml:space="preserve"> REF _Ref424653837 \r \h </w:instrText>
      </w:r>
      <w:r w:rsidR="006410D2">
        <w:rPr>
          <w:rFonts w:ascii="Times New Roman" w:hAnsi="Times New Roman"/>
          <w:color w:val="000000"/>
          <w:sz w:val="28"/>
          <w:szCs w:val="28"/>
          <w:lang w:val="uk-UA"/>
        </w:rPr>
      </w:r>
      <w:r w:rsidR="006410D2">
        <w:rPr>
          <w:rFonts w:ascii="Times New Roman" w:hAnsi="Times New Roman"/>
          <w:color w:val="000000"/>
          <w:sz w:val="28"/>
          <w:szCs w:val="28"/>
          <w:lang w:val="uk-UA"/>
        </w:rPr>
        <w:fldChar w:fldCharType="separate"/>
      </w:r>
      <w:r w:rsidR="006B1E97">
        <w:rPr>
          <w:rFonts w:ascii="Times New Roman" w:hAnsi="Times New Roman"/>
          <w:color w:val="000000"/>
          <w:sz w:val="28"/>
          <w:szCs w:val="28"/>
          <w:lang w:val="uk-UA"/>
        </w:rPr>
        <w:t>5</w:t>
      </w:r>
      <w:r w:rsidR="006410D2">
        <w:rPr>
          <w:rFonts w:ascii="Times New Roman" w:hAnsi="Times New Roman"/>
          <w:color w:val="000000"/>
          <w:sz w:val="28"/>
          <w:szCs w:val="28"/>
          <w:lang w:val="uk-UA"/>
        </w:rPr>
        <w:fldChar w:fldCharType="end"/>
      </w:r>
      <w:r w:rsidR="00CD7B82">
        <w:rPr>
          <w:rFonts w:ascii="Times New Roman" w:hAnsi="Times New Roman"/>
          <w:color w:val="000000"/>
          <w:sz w:val="28"/>
          <w:szCs w:val="28"/>
          <w:lang w:val="uk-UA"/>
        </w:rPr>
        <w:t xml:space="preserve">; </w:t>
      </w:r>
      <w:r w:rsidR="006410D2">
        <w:rPr>
          <w:rFonts w:ascii="Times New Roman" w:hAnsi="Times New Roman"/>
          <w:color w:val="000000"/>
          <w:sz w:val="28"/>
          <w:szCs w:val="28"/>
          <w:lang w:val="uk-UA"/>
        </w:rPr>
        <w:fldChar w:fldCharType="begin"/>
      </w:r>
      <w:r w:rsidR="006410D2">
        <w:rPr>
          <w:rFonts w:ascii="Times New Roman" w:hAnsi="Times New Roman"/>
          <w:color w:val="000000"/>
          <w:sz w:val="28"/>
          <w:szCs w:val="28"/>
          <w:lang w:val="uk-UA"/>
        </w:rPr>
        <w:instrText xml:space="preserve"> REF _Ref449059588 \r \h </w:instrText>
      </w:r>
      <w:r w:rsidR="006410D2">
        <w:rPr>
          <w:rFonts w:ascii="Times New Roman" w:hAnsi="Times New Roman"/>
          <w:color w:val="000000"/>
          <w:sz w:val="28"/>
          <w:szCs w:val="28"/>
          <w:lang w:val="uk-UA"/>
        </w:rPr>
      </w:r>
      <w:r w:rsidR="006410D2">
        <w:rPr>
          <w:rFonts w:ascii="Times New Roman" w:hAnsi="Times New Roman"/>
          <w:color w:val="000000"/>
          <w:sz w:val="28"/>
          <w:szCs w:val="28"/>
          <w:lang w:val="uk-UA"/>
        </w:rPr>
        <w:fldChar w:fldCharType="separate"/>
      </w:r>
      <w:r w:rsidR="006B1E97">
        <w:rPr>
          <w:rFonts w:ascii="Times New Roman" w:hAnsi="Times New Roman"/>
          <w:color w:val="000000"/>
          <w:sz w:val="28"/>
          <w:szCs w:val="28"/>
          <w:lang w:val="uk-UA"/>
        </w:rPr>
        <w:t>4</w:t>
      </w:r>
      <w:r w:rsidR="006410D2">
        <w:rPr>
          <w:rFonts w:ascii="Times New Roman" w:hAnsi="Times New Roman"/>
          <w:color w:val="000000"/>
          <w:sz w:val="28"/>
          <w:szCs w:val="28"/>
          <w:lang w:val="uk-UA"/>
        </w:rPr>
        <w:fldChar w:fldCharType="end"/>
      </w:r>
      <w:r w:rsidR="00CD7B82" w:rsidRPr="00DE414E">
        <w:rPr>
          <w:rFonts w:ascii="Times New Roman" w:hAnsi="Times New Roman"/>
          <w:color w:val="000000"/>
          <w:sz w:val="28"/>
          <w:szCs w:val="28"/>
        </w:rPr>
        <w:t>]</w:t>
      </w:r>
    </w:p>
    <w:p w:rsidR="00BF0FD8" w:rsidRPr="0012560E" w:rsidRDefault="00BF0FD8" w:rsidP="00BF0FD8">
      <w:pPr>
        <w:spacing w:after="0" w:line="360" w:lineRule="auto"/>
        <w:ind w:left="-284" w:firstLine="710"/>
        <w:jc w:val="both"/>
        <w:rPr>
          <w:rFonts w:ascii="Times New Roman" w:hAnsi="Times New Roman"/>
          <w:color w:val="000000"/>
          <w:sz w:val="28"/>
          <w:szCs w:val="28"/>
        </w:rPr>
      </w:pPr>
    </w:p>
    <w:p w:rsidR="00664DB1" w:rsidRDefault="00664DB1" w:rsidP="006E3629">
      <w:pPr>
        <w:spacing w:after="0" w:line="360" w:lineRule="auto"/>
        <w:ind w:left="-567" w:firstLine="709"/>
        <w:jc w:val="both"/>
        <w:rPr>
          <w:rFonts w:ascii="Times New Roman" w:hAnsi="Times New Roman"/>
          <w:color w:val="000000"/>
          <w:sz w:val="28"/>
          <w:szCs w:val="28"/>
          <w:lang w:val="uk-UA"/>
        </w:rPr>
      </w:pPr>
      <w:r>
        <w:rPr>
          <w:rFonts w:ascii="Times New Roman" w:hAnsi="Times New Roman"/>
          <w:color w:val="000000"/>
          <w:sz w:val="28"/>
          <w:szCs w:val="28"/>
        </w:rPr>
        <w:t xml:space="preserve">Як </w:t>
      </w:r>
      <w:proofErr w:type="spellStart"/>
      <w:r>
        <w:rPr>
          <w:rFonts w:ascii="Times New Roman" w:hAnsi="Times New Roman"/>
          <w:color w:val="000000"/>
          <w:sz w:val="28"/>
          <w:szCs w:val="28"/>
        </w:rPr>
        <w:t>можемо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бачити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із</w:t>
      </w:r>
      <w:proofErr w:type="spellEnd"/>
      <w:r>
        <w:rPr>
          <w:rFonts w:ascii="Times New Roman" w:hAnsi="Times New Roman"/>
          <w:color w:val="000000"/>
          <w:sz w:val="28"/>
          <w:szCs w:val="28"/>
        </w:rPr>
        <w:t xml:space="preserve"> рис. </w:t>
      </w:r>
      <w:r w:rsidR="00BF0FD8">
        <w:rPr>
          <w:rFonts w:ascii="Times New Roman" w:hAnsi="Times New Roman"/>
          <w:color w:val="000000"/>
          <w:sz w:val="28"/>
          <w:szCs w:val="28"/>
        </w:rPr>
        <w:t>4</w:t>
      </w:r>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реальні</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темпи</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зростання</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податкового</w:t>
      </w:r>
      <w:proofErr w:type="spellEnd"/>
      <w:r w:rsidR="00BF0FD8" w:rsidRPr="0012560E">
        <w:rPr>
          <w:rFonts w:ascii="Times New Roman" w:hAnsi="Times New Roman"/>
          <w:color w:val="000000"/>
          <w:sz w:val="28"/>
          <w:szCs w:val="28"/>
        </w:rPr>
        <w:t xml:space="preserve"> боргу, </w:t>
      </w:r>
      <w:proofErr w:type="spellStart"/>
      <w:r w:rsidR="00BF0FD8" w:rsidRPr="0012560E">
        <w:rPr>
          <w:rFonts w:ascii="Times New Roman" w:hAnsi="Times New Roman"/>
          <w:color w:val="000000"/>
          <w:sz w:val="28"/>
          <w:szCs w:val="28"/>
        </w:rPr>
        <w:t>крім</w:t>
      </w:r>
      <w:proofErr w:type="spellEnd"/>
      <w:r w:rsidR="00BF0FD8" w:rsidRPr="0012560E">
        <w:rPr>
          <w:rFonts w:ascii="Times New Roman" w:hAnsi="Times New Roman"/>
          <w:color w:val="000000"/>
          <w:sz w:val="28"/>
          <w:szCs w:val="28"/>
        </w:rPr>
        <w:t xml:space="preserve">  2013-2014 </w:t>
      </w:r>
      <w:proofErr w:type="spellStart"/>
      <w:r w:rsidR="00BF0FD8" w:rsidRPr="0012560E">
        <w:rPr>
          <w:rFonts w:ascii="Times New Roman" w:hAnsi="Times New Roman"/>
          <w:color w:val="000000"/>
          <w:sz w:val="28"/>
          <w:szCs w:val="28"/>
        </w:rPr>
        <w:t>років</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є</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вищими</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ніж</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це</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відображає</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номінальний</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показник</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більше</w:t>
      </w:r>
      <w:proofErr w:type="spellEnd"/>
      <w:r w:rsidR="00BF0FD8" w:rsidRPr="0012560E">
        <w:rPr>
          <w:rFonts w:ascii="Times New Roman" w:hAnsi="Times New Roman"/>
          <w:color w:val="000000"/>
          <w:sz w:val="28"/>
          <w:szCs w:val="28"/>
        </w:rPr>
        <w:t xml:space="preserve"> того, </w:t>
      </w:r>
      <w:proofErr w:type="spellStart"/>
      <w:r w:rsidR="00BF0FD8" w:rsidRPr="0012560E">
        <w:rPr>
          <w:rFonts w:ascii="Times New Roman" w:hAnsi="Times New Roman"/>
          <w:color w:val="000000"/>
          <w:sz w:val="28"/>
          <w:szCs w:val="28"/>
        </w:rPr>
        <w:t>темпи</w:t>
      </w:r>
      <w:proofErr w:type="spellEnd"/>
      <w:r w:rsidR="00BF0FD8" w:rsidRPr="0012560E">
        <w:rPr>
          <w:rFonts w:ascii="Times New Roman" w:hAnsi="Times New Roman"/>
          <w:color w:val="000000"/>
          <w:sz w:val="28"/>
          <w:szCs w:val="28"/>
        </w:rPr>
        <w:t xml:space="preserve"> спаду у 2006-2007 роках </w:t>
      </w:r>
      <w:proofErr w:type="spellStart"/>
      <w:r w:rsidR="00BF0FD8" w:rsidRPr="0012560E">
        <w:rPr>
          <w:rFonts w:ascii="Times New Roman" w:hAnsi="Times New Roman"/>
          <w:color w:val="000000"/>
          <w:sz w:val="28"/>
          <w:szCs w:val="28"/>
        </w:rPr>
        <w:t>теж</w:t>
      </w:r>
      <w:proofErr w:type="spellEnd"/>
      <w:r w:rsidR="00BF0FD8" w:rsidRPr="0012560E">
        <w:rPr>
          <w:rFonts w:ascii="Times New Roman" w:hAnsi="Times New Roman"/>
          <w:color w:val="000000"/>
          <w:sz w:val="28"/>
          <w:szCs w:val="28"/>
        </w:rPr>
        <w:t xml:space="preserve"> в </w:t>
      </w:r>
      <w:proofErr w:type="spellStart"/>
      <w:r w:rsidR="00BF0FD8" w:rsidRPr="0012560E">
        <w:rPr>
          <w:rFonts w:ascii="Times New Roman" w:hAnsi="Times New Roman"/>
          <w:color w:val="000000"/>
          <w:sz w:val="28"/>
          <w:szCs w:val="28"/>
        </w:rPr>
        <w:t>дійсності</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є</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менш</w:t>
      </w:r>
      <w:proofErr w:type="spellEnd"/>
      <w:r w:rsidR="00BF0FD8" w:rsidRPr="0012560E">
        <w:rPr>
          <w:rFonts w:ascii="Times New Roman" w:hAnsi="Times New Roman"/>
          <w:color w:val="000000"/>
          <w:sz w:val="28"/>
          <w:szCs w:val="28"/>
        </w:rPr>
        <w:t xml:space="preserve"> </w:t>
      </w:r>
      <w:r>
        <w:rPr>
          <w:rFonts w:ascii="Times New Roman" w:hAnsi="Times New Roman"/>
          <w:color w:val="000000"/>
          <w:sz w:val="28"/>
          <w:szCs w:val="28"/>
          <w:lang w:val="uk-UA"/>
        </w:rPr>
        <w:t>значними</w:t>
      </w:r>
      <w:r w:rsidR="00DE414E">
        <w:rPr>
          <w:rFonts w:ascii="Times New Roman" w:hAnsi="Times New Roman"/>
          <w:color w:val="000000"/>
          <w:sz w:val="28"/>
          <w:szCs w:val="28"/>
        </w:rPr>
        <w:t xml:space="preserve">.  </w:t>
      </w:r>
      <w:proofErr w:type="spellStart"/>
      <w:r w:rsidR="00DE414E">
        <w:rPr>
          <w:rFonts w:ascii="Times New Roman" w:hAnsi="Times New Roman"/>
          <w:color w:val="000000"/>
          <w:sz w:val="28"/>
          <w:szCs w:val="28"/>
        </w:rPr>
        <w:t>Це</w:t>
      </w:r>
      <w:proofErr w:type="spellEnd"/>
      <w:r w:rsidR="00DE414E">
        <w:rPr>
          <w:rFonts w:ascii="Times New Roman" w:hAnsi="Times New Roman"/>
          <w:color w:val="000000"/>
          <w:sz w:val="28"/>
          <w:szCs w:val="28"/>
        </w:rPr>
        <w:t xml:space="preserve"> </w:t>
      </w:r>
      <w:proofErr w:type="spellStart"/>
      <w:proofErr w:type="gramStart"/>
      <w:r w:rsidR="00DE414E">
        <w:rPr>
          <w:rFonts w:ascii="Times New Roman" w:hAnsi="Times New Roman"/>
          <w:color w:val="000000"/>
          <w:sz w:val="28"/>
          <w:szCs w:val="28"/>
        </w:rPr>
        <w:t>св</w:t>
      </w:r>
      <w:proofErr w:type="gramEnd"/>
      <w:r w:rsidR="00DE414E">
        <w:rPr>
          <w:rFonts w:ascii="Times New Roman" w:hAnsi="Times New Roman"/>
          <w:color w:val="000000"/>
          <w:sz w:val="28"/>
          <w:szCs w:val="28"/>
        </w:rPr>
        <w:t>ідчить</w:t>
      </w:r>
      <w:proofErr w:type="spellEnd"/>
      <w:r w:rsidR="00DE414E">
        <w:rPr>
          <w:rFonts w:ascii="Times New Roman" w:hAnsi="Times New Roman"/>
          <w:color w:val="000000"/>
          <w:sz w:val="28"/>
          <w:szCs w:val="28"/>
        </w:rPr>
        <w:t xml:space="preserve"> про </w:t>
      </w:r>
      <w:proofErr w:type="spellStart"/>
      <w:r w:rsidR="00BF0FD8" w:rsidRPr="0012560E">
        <w:rPr>
          <w:rFonts w:ascii="Times New Roman" w:hAnsi="Times New Roman"/>
          <w:color w:val="000000"/>
          <w:sz w:val="28"/>
          <w:szCs w:val="28"/>
        </w:rPr>
        <w:t>складну</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ситуацію</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що</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складається</w:t>
      </w:r>
      <w:proofErr w:type="spellEnd"/>
      <w:r w:rsidR="00BF0FD8" w:rsidRPr="0012560E">
        <w:rPr>
          <w:rFonts w:ascii="Times New Roman" w:hAnsi="Times New Roman"/>
          <w:color w:val="000000"/>
          <w:sz w:val="28"/>
          <w:szCs w:val="28"/>
        </w:rPr>
        <w:t xml:space="preserve"> </w:t>
      </w:r>
      <w:proofErr w:type="spellStart"/>
      <w:r w:rsidR="00BF0FD8" w:rsidRPr="0012560E">
        <w:rPr>
          <w:rFonts w:ascii="Times New Roman" w:hAnsi="Times New Roman"/>
          <w:color w:val="000000"/>
          <w:sz w:val="28"/>
          <w:szCs w:val="28"/>
        </w:rPr>
        <w:t>щодо</w:t>
      </w:r>
      <w:proofErr w:type="spellEnd"/>
      <w:r w:rsidR="00BF0FD8" w:rsidRPr="0012560E">
        <w:rPr>
          <w:rFonts w:ascii="Times New Roman" w:hAnsi="Times New Roman"/>
          <w:color w:val="000000"/>
          <w:sz w:val="28"/>
          <w:szCs w:val="28"/>
        </w:rPr>
        <w:t xml:space="preserve"> </w:t>
      </w:r>
      <w:r w:rsidR="00DE414E">
        <w:rPr>
          <w:rFonts w:ascii="Times New Roman" w:hAnsi="Times New Roman"/>
          <w:color w:val="000000"/>
          <w:sz w:val="28"/>
          <w:szCs w:val="28"/>
          <w:lang w:val="uk-UA"/>
        </w:rPr>
        <w:t xml:space="preserve">боргу </w:t>
      </w:r>
      <w:proofErr w:type="spellStart"/>
      <w:r w:rsidR="00BF0FD8" w:rsidRPr="0012560E">
        <w:rPr>
          <w:rFonts w:ascii="Times New Roman" w:hAnsi="Times New Roman"/>
          <w:color w:val="000000"/>
          <w:sz w:val="28"/>
          <w:szCs w:val="28"/>
        </w:rPr>
        <w:t>п</w:t>
      </w:r>
      <w:r w:rsidR="00DE414E">
        <w:rPr>
          <w:rFonts w:ascii="Times New Roman" w:hAnsi="Times New Roman"/>
          <w:color w:val="000000"/>
          <w:sz w:val="28"/>
          <w:szCs w:val="28"/>
        </w:rPr>
        <w:t>латників</w:t>
      </w:r>
      <w:proofErr w:type="spellEnd"/>
      <w:r w:rsidR="00DE414E">
        <w:rPr>
          <w:rFonts w:ascii="Times New Roman" w:hAnsi="Times New Roman"/>
          <w:color w:val="000000"/>
          <w:sz w:val="28"/>
          <w:szCs w:val="28"/>
        </w:rPr>
        <w:t xml:space="preserve"> </w:t>
      </w:r>
      <w:proofErr w:type="spellStart"/>
      <w:r w:rsidR="00DE414E">
        <w:rPr>
          <w:rFonts w:ascii="Times New Roman" w:hAnsi="Times New Roman"/>
          <w:color w:val="000000"/>
          <w:sz w:val="28"/>
          <w:szCs w:val="28"/>
        </w:rPr>
        <w:t>податків</w:t>
      </w:r>
      <w:proofErr w:type="spellEnd"/>
      <w:r w:rsidR="00BF0FD8" w:rsidRPr="0012560E">
        <w:rPr>
          <w:rFonts w:ascii="Times New Roman" w:hAnsi="Times New Roman"/>
          <w:color w:val="000000"/>
          <w:sz w:val="28"/>
          <w:szCs w:val="28"/>
        </w:rPr>
        <w:t xml:space="preserve">. </w:t>
      </w:r>
    </w:p>
    <w:p w:rsidR="00925E87" w:rsidRDefault="00664DB1" w:rsidP="006E3629">
      <w:pPr>
        <w:spacing w:after="0" w:line="360" w:lineRule="auto"/>
        <w:ind w:left="-567" w:firstLine="709"/>
        <w:jc w:val="both"/>
        <w:rPr>
          <w:rStyle w:val="apple-converted-space"/>
          <w:rFonts w:ascii="Times New Roman" w:hAnsi="Times New Roman"/>
          <w:spacing w:val="2"/>
          <w:sz w:val="28"/>
          <w:szCs w:val="28"/>
          <w:shd w:val="clear" w:color="auto" w:fill="FFFFFF"/>
          <w:lang w:val="uk-UA"/>
        </w:rPr>
      </w:pPr>
      <w:r>
        <w:rPr>
          <w:rFonts w:ascii="Times New Roman" w:hAnsi="Times New Roman"/>
          <w:color w:val="000000"/>
          <w:sz w:val="28"/>
          <w:szCs w:val="28"/>
          <w:lang w:val="uk-UA"/>
        </w:rPr>
        <w:lastRenderedPageBreak/>
        <w:t>З метою подолання проблеми податкової заборгованості</w:t>
      </w:r>
      <w:r w:rsidR="00F613AB" w:rsidRPr="00721812">
        <w:rPr>
          <w:rFonts w:ascii="Times New Roman" w:hAnsi="Times New Roman"/>
          <w:color w:val="000000" w:themeColor="text1"/>
          <w:sz w:val="28"/>
          <w:szCs w:val="28"/>
          <w:lang w:val="uk-UA"/>
        </w:rPr>
        <w:t xml:space="preserve"> вперше </w:t>
      </w:r>
      <w:r>
        <w:rPr>
          <w:rFonts w:ascii="Times New Roman" w:hAnsi="Times New Roman"/>
          <w:color w:val="000000" w:themeColor="text1"/>
          <w:sz w:val="28"/>
          <w:szCs w:val="28"/>
          <w:lang w:val="uk-UA"/>
        </w:rPr>
        <w:t>(у 2001 р.)</w:t>
      </w:r>
      <w:r w:rsidRPr="00721812">
        <w:rPr>
          <w:rFonts w:ascii="Times New Roman" w:hAnsi="Times New Roman"/>
          <w:color w:val="000000" w:themeColor="text1"/>
          <w:sz w:val="28"/>
          <w:szCs w:val="28"/>
          <w:lang w:val="uk-UA"/>
        </w:rPr>
        <w:t xml:space="preserve"> </w:t>
      </w:r>
      <w:r w:rsidR="00DE414E" w:rsidRPr="00721812">
        <w:rPr>
          <w:rFonts w:ascii="Times New Roman" w:hAnsi="Times New Roman"/>
          <w:color w:val="000000" w:themeColor="text1"/>
          <w:sz w:val="28"/>
          <w:szCs w:val="28"/>
          <w:lang w:val="uk-UA"/>
        </w:rPr>
        <w:t xml:space="preserve">було </w:t>
      </w:r>
      <w:r w:rsidR="00F613AB" w:rsidRPr="00721812">
        <w:rPr>
          <w:rFonts w:ascii="Times New Roman" w:hAnsi="Times New Roman"/>
          <w:color w:val="000000" w:themeColor="text1"/>
          <w:sz w:val="28"/>
          <w:szCs w:val="28"/>
          <w:lang w:val="uk-UA"/>
        </w:rPr>
        <w:t>створено Стратегічний план розвитку Державної податкової служби України на період до 2013 року</w:t>
      </w:r>
      <w:r w:rsidR="00721812" w:rsidRPr="00721812">
        <w:rPr>
          <w:rFonts w:ascii="Times New Roman" w:hAnsi="Times New Roman"/>
          <w:color w:val="000000" w:themeColor="text1"/>
          <w:sz w:val="28"/>
          <w:szCs w:val="28"/>
          <w:lang w:val="uk-UA"/>
        </w:rPr>
        <w:t xml:space="preserve">. Однією із найпрогресивніших сторін стратегії </w:t>
      </w:r>
      <w:r>
        <w:rPr>
          <w:rFonts w:ascii="Times New Roman" w:hAnsi="Times New Roman"/>
          <w:color w:val="000000" w:themeColor="text1"/>
          <w:sz w:val="28"/>
          <w:szCs w:val="28"/>
          <w:lang w:val="uk-UA"/>
        </w:rPr>
        <w:t xml:space="preserve">за значенням для фінансової безпеки </w:t>
      </w:r>
      <w:r w:rsidR="00721812" w:rsidRPr="00721812">
        <w:rPr>
          <w:rFonts w:ascii="Times New Roman" w:hAnsi="Times New Roman"/>
          <w:color w:val="000000" w:themeColor="text1"/>
          <w:sz w:val="28"/>
          <w:szCs w:val="28"/>
          <w:lang w:val="uk-UA"/>
        </w:rPr>
        <w:t xml:space="preserve">було формування кількох </w:t>
      </w:r>
      <w:r>
        <w:rPr>
          <w:rFonts w:ascii="Times New Roman" w:hAnsi="Times New Roman"/>
          <w:color w:val="000000" w:themeColor="text1"/>
          <w:sz w:val="28"/>
          <w:szCs w:val="28"/>
          <w:lang w:val="uk-UA"/>
        </w:rPr>
        <w:t>відносних показників</w:t>
      </w:r>
      <w:r w:rsidR="00DE414E">
        <w:rPr>
          <w:rFonts w:ascii="Times New Roman" w:hAnsi="Times New Roman"/>
          <w:color w:val="000000" w:themeColor="text1"/>
          <w:sz w:val="28"/>
          <w:szCs w:val="28"/>
          <w:lang w:val="uk-UA"/>
        </w:rPr>
        <w:t xml:space="preserve"> оцінки</w:t>
      </w:r>
      <w:r>
        <w:rPr>
          <w:rFonts w:ascii="Times New Roman" w:hAnsi="Times New Roman"/>
          <w:color w:val="000000" w:themeColor="text1"/>
          <w:sz w:val="28"/>
          <w:szCs w:val="28"/>
          <w:lang w:val="uk-UA"/>
        </w:rPr>
        <w:t>, а саме</w:t>
      </w:r>
      <w:r w:rsidR="00721812" w:rsidRPr="00AA7DA4">
        <w:rPr>
          <w:rFonts w:ascii="Times New Roman" w:hAnsi="Times New Roman"/>
          <w:color w:val="000000" w:themeColor="text1"/>
          <w:sz w:val="28"/>
          <w:szCs w:val="28"/>
          <w:lang w:val="uk-UA"/>
        </w:rPr>
        <w:t>:</w:t>
      </w:r>
      <w:r w:rsidRPr="00664DB1">
        <w:rPr>
          <w:rFonts w:ascii="Times New Roman" w:hAnsi="Times New Roman"/>
          <w:bCs/>
          <w:color w:val="000000" w:themeColor="text1"/>
          <w:sz w:val="24"/>
          <w:szCs w:val="24"/>
          <w:lang w:val="uk-UA"/>
        </w:rPr>
        <w:t xml:space="preserve"> </w:t>
      </w:r>
      <w:r w:rsidRPr="00664DB1">
        <w:rPr>
          <w:rFonts w:ascii="Times New Roman" w:hAnsi="Times New Roman"/>
          <w:bCs/>
          <w:color w:val="000000" w:themeColor="text1"/>
          <w:sz w:val="28"/>
          <w:szCs w:val="28"/>
          <w:lang w:val="uk-UA"/>
        </w:rPr>
        <w:t>показник добровільності виконання платниками своїх податкових зобов’язань, показник витрат по виконанню вимог податкового законодавства платниками податків, ймовірність виявлення випадків ухилення від сплати податків та неплатежів, і</w:t>
      </w:r>
      <w:r w:rsidRPr="00664DB1">
        <w:rPr>
          <w:rFonts w:ascii="Times New Roman" w:hAnsi="Times New Roman"/>
          <w:color w:val="000000" w:themeColor="text1"/>
          <w:sz w:val="28"/>
          <w:szCs w:val="28"/>
          <w:lang w:val="uk-UA"/>
        </w:rPr>
        <w:t>ндикатор якості функціонування ДПС при адмініструванні податків та наданні послуг платникам.</w:t>
      </w:r>
      <w:r w:rsidR="000E03A7" w:rsidRPr="00664DB1">
        <w:rPr>
          <w:rFonts w:ascii="Times New Roman" w:hAnsi="Times New Roman"/>
          <w:sz w:val="28"/>
          <w:szCs w:val="28"/>
          <w:lang w:val="uk-UA"/>
        </w:rPr>
        <w:t xml:space="preserve"> </w:t>
      </w:r>
      <w:r w:rsidR="000E03A7" w:rsidRPr="00180AC3">
        <w:rPr>
          <w:rFonts w:ascii="Times New Roman" w:hAnsi="Times New Roman"/>
          <w:sz w:val="28"/>
          <w:szCs w:val="28"/>
        </w:rPr>
        <w:t xml:space="preserve">Дана </w:t>
      </w:r>
      <w:proofErr w:type="spellStart"/>
      <w:r w:rsidR="000E03A7" w:rsidRPr="00180AC3">
        <w:rPr>
          <w:rFonts w:ascii="Times New Roman" w:hAnsi="Times New Roman"/>
          <w:sz w:val="28"/>
          <w:szCs w:val="28"/>
        </w:rPr>
        <w:t>ініціатива</w:t>
      </w:r>
      <w:proofErr w:type="spellEnd"/>
      <w:r w:rsidR="000E03A7" w:rsidRPr="00180AC3">
        <w:rPr>
          <w:rFonts w:ascii="Times New Roman" w:hAnsi="Times New Roman"/>
          <w:sz w:val="28"/>
          <w:szCs w:val="28"/>
        </w:rPr>
        <w:t xml:space="preserve"> </w:t>
      </w:r>
      <w:proofErr w:type="spellStart"/>
      <w:r w:rsidR="000E03A7" w:rsidRPr="00180AC3">
        <w:rPr>
          <w:rFonts w:ascii="Times New Roman" w:hAnsi="Times New Roman"/>
          <w:sz w:val="28"/>
          <w:szCs w:val="28"/>
        </w:rPr>
        <w:t>була</w:t>
      </w:r>
      <w:proofErr w:type="spellEnd"/>
      <w:r w:rsidR="000E03A7" w:rsidRPr="00180AC3">
        <w:rPr>
          <w:rFonts w:ascii="Times New Roman" w:hAnsi="Times New Roman"/>
          <w:sz w:val="28"/>
          <w:szCs w:val="28"/>
        </w:rPr>
        <w:t xml:space="preserve"> </w:t>
      </w:r>
      <w:proofErr w:type="spellStart"/>
      <w:r w:rsidR="000E03A7" w:rsidRPr="00180AC3">
        <w:rPr>
          <w:rFonts w:ascii="Times New Roman" w:hAnsi="Times New Roman"/>
          <w:sz w:val="28"/>
          <w:szCs w:val="28"/>
        </w:rPr>
        <w:t>продовжена</w:t>
      </w:r>
      <w:proofErr w:type="spellEnd"/>
      <w:r w:rsidR="000E03A7" w:rsidRPr="00180AC3">
        <w:rPr>
          <w:rFonts w:ascii="Times New Roman" w:hAnsi="Times New Roman"/>
          <w:sz w:val="28"/>
          <w:szCs w:val="28"/>
        </w:rPr>
        <w:t xml:space="preserve"> </w:t>
      </w:r>
      <w:proofErr w:type="spellStart"/>
      <w:r w:rsidR="000E03A7" w:rsidRPr="00180AC3">
        <w:rPr>
          <w:rFonts w:ascii="Times New Roman" w:hAnsi="Times New Roman"/>
          <w:sz w:val="28"/>
          <w:szCs w:val="28"/>
        </w:rPr>
        <w:t>створенням</w:t>
      </w:r>
      <w:proofErr w:type="spellEnd"/>
      <w:r w:rsidR="000E03A7" w:rsidRPr="00180AC3">
        <w:rPr>
          <w:rFonts w:ascii="Times New Roman" w:hAnsi="Times New Roman"/>
          <w:sz w:val="28"/>
          <w:szCs w:val="28"/>
        </w:rPr>
        <w:t xml:space="preserve">  </w:t>
      </w:r>
      <w:proofErr w:type="spellStart"/>
      <w:r w:rsidR="000E03A7" w:rsidRPr="00180AC3">
        <w:rPr>
          <w:rFonts w:ascii="Times New Roman" w:hAnsi="Times New Roman"/>
          <w:sz w:val="28"/>
          <w:szCs w:val="28"/>
        </w:rPr>
        <w:t>Стратегічного</w:t>
      </w:r>
      <w:proofErr w:type="spellEnd"/>
      <w:r w:rsidR="000E03A7" w:rsidRPr="00180AC3">
        <w:rPr>
          <w:rFonts w:ascii="Times New Roman" w:hAnsi="Times New Roman"/>
          <w:sz w:val="28"/>
          <w:szCs w:val="28"/>
        </w:rPr>
        <w:t xml:space="preserve"> плану </w:t>
      </w:r>
      <w:proofErr w:type="spellStart"/>
      <w:r w:rsidR="000E03A7" w:rsidRPr="00180AC3">
        <w:rPr>
          <w:rFonts w:ascii="Times New Roman" w:hAnsi="Times New Roman"/>
          <w:sz w:val="28"/>
          <w:szCs w:val="28"/>
        </w:rPr>
        <w:t>розвитку</w:t>
      </w:r>
      <w:proofErr w:type="spellEnd"/>
      <w:r w:rsidR="000E03A7" w:rsidRPr="00180AC3">
        <w:rPr>
          <w:rFonts w:ascii="Times New Roman" w:hAnsi="Times New Roman"/>
          <w:sz w:val="28"/>
          <w:szCs w:val="28"/>
        </w:rPr>
        <w:t xml:space="preserve"> </w:t>
      </w:r>
      <w:proofErr w:type="spellStart"/>
      <w:r w:rsidR="000E03A7" w:rsidRPr="00180AC3">
        <w:rPr>
          <w:rFonts w:ascii="Times New Roman" w:hAnsi="Times New Roman"/>
          <w:sz w:val="28"/>
          <w:szCs w:val="28"/>
        </w:rPr>
        <w:t>Міністерства</w:t>
      </w:r>
      <w:proofErr w:type="spellEnd"/>
      <w:r w:rsidR="000E03A7" w:rsidRPr="00180AC3">
        <w:rPr>
          <w:rFonts w:ascii="Times New Roman" w:hAnsi="Times New Roman"/>
          <w:sz w:val="28"/>
          <w:szCs w:val="28"/>
        </w:rPr>
        <w:t xml:space="preserve"> </w:t>
      </w:r>
      <w:proofErr w:type="spellStart"/>
      <w:r w:rsidR="000E03A7" w:rsidRPr="00180AC3">
        <w:rPr>
          <w:rFonts w:ascii="Times New Roman" w:hAnsi="Times New Roman"/>
          <w:sz w:val="28"/>
          <w:szCs w:val="28"/>
        </w:rPr>
        <w:t>доходів</w:t>
      </w:r>
      <w:proofErr w:type="spellEnd"/>
      <w:r w:rsidR="000E03A7" w:rsidRPr="00180AC3">
        <w:rPr>
          <w:rFonts w:ascii="Times New Roman" w:hAnsi="Times New Roman"/>
          <w:sz w:val="28"/>
          <w:szCs w:val="28"/>
        </w:rPr>
        <w:t xml:space="preserve"> </w:t>
      </w:r>
      <w:proofErr w:type="spellStart"/>
      <w:r w:rsidR="000E03A7" w:rsidRPr="00180AC3">
        <w:rPr>
          <w:rFonts w:ascii="Times New Roman" w:hAnsi="Times New Roman"/>
          <w:sz w:val="28"/>
          <w:szCs w:val="28"/>
        </w:rPr>
        <w:t>і</w:t>
      </w:r>
      <w:proofErr w:type="spellEnd"/>
      <w:r w:rsidR="000E03A7" w:rsidRPr="00180AC3">
        <w:rPr>
          <w:rFonts w:ascii="Times New Roman" w:hAnsi="Times New Roman"/>
          <w:sz w:val="28"/>
          <w:szCs w:val="28"/>
        </w:rPr>
        <w:t xml:space="preserve"> </w:t>
      </w:r>
      <w:proofErr w:type="spellStart"/>
      <w:r w:rsidR="000E03A7" w:rsidRPr="00180AC3">
        <w:rPr>
          <w:rFonts w:ascii="Times New Roman" w:hAnsi="Times New Roman"/>
          <w:sz w:val="28"/>
          <w:szCs w:val="28"/>
        </w:rPr>
        <w:t>зборів</w:t>
      </w:r>
      <w:proofErr w:type="spellEnd"/>
      <w:r w:rsidR="000E03A7" w:rsidRPr="00180AC3">
        <w:rPr>
          <w:rFonts w:ascii="Times New Roman" w:hAnsi="Times New Roman"/>
          <w:sz w:val="28"/>
          <w:szCs w:val="28"/>
        </w:rPr>
        <w:t xml:space="preserve"> на 2013-2018 роки</w:t>
      </w:r>
      <w:r w:rsidR="000E03A7" w:rsidRPr="00180AC3">
        <w:rPr>
          <w:rFonts w:ascii="Times New Roman" w:hAnsi="Times New Roman"/>
          <w:sz w:val="28"/>
          <w:szCs w:val="28"/>
          <w:lang w:val="uk-UA"/>
        </w:rPr>
        <w:t xml:space="preserve">. </w:t>
      </w:r>
      <w:r w:rsidR="000E03A7" w:rsidRPr="00664DB1">
        <w:rPr>
          <w:rFonts w:ascii="Times New Roman" w:hAnsi="Times New Roman"/>
          <w:color w:val="000000"/>
          <w:sz w:val="28"/>
          <w:szCs w:val="28"/>
          <w:shd w:val="clear" w:color="auto" w:fill="FFFFFF"/>
          <w:lang w:val="uk-UA"/>
        </w:rPr>
        <w:t>Удосконалення системи стягнення податкового боргу</w:t>
      </w:r>
      <w:r w:rsidR="000E03A7" w:rsidRPr="00180AC3">
        <w:rPr>
          <w:rFonts w:ascii="Times New Roman" w:hAnsi="Times New Roman"/>
          <w:color w:val="000000"/>
          <w:sz w:val="28"/>
          <w:szCs w:val="28"/>
          <w:shd w:val="clear" w:color="auto" w:fill="FFFFFF"/>
          <w:lang w:val="uk-UA"/>
        </w:rPr>
        <w:t xml:space="preserve"> </w:t>
      </w:r>
      <w:r w:rsidR="00180AC3" w:rsidRPr="00180AC3">
        <w:rPr>
          <w:rFonts w:ascii="Times New Roman" w:hAnsi="Times New Roman"/>
          <w:color w:val="000000"/>
          <w:sz w:val="28"/>
          <w:szCs w:val="28"/>
          <w:shd w:val="clear" w:color="auto" w:fill="FFFFFF"/>
          <w:lang w:val="uk-UA"/>
        </w:rPr>
        <w:t xml:space="preserve">задекларовано шляхом </w:t>
      </w:r>
      <w:r w:rsidR="000E03A7" w:rsidRPr="00664DB1">
        <w:rPr>
          <w:rFonts w:ascii="Times New Roman" w:hAnsi="Times New Roman"/>
          <w:color w:val="000000"/>
          <w:sz w:val="28"/>
          <w:szCs w:val="28"/>
          <w:shd w:val="clear" w:color="auto" w:fill="FFFFFF"/>
          <w:lang w:val="uk-UA"/>
        </w:rPr>
        <w:t>розроблення законодавчих ініціатив з питань прискорення стягнення податкового боргу</w:t>
      </w:r>
      <w:r w:rsidR="00925E87">
        <w:rPr>
          <w:rFonts w:ascii="Times New Roman" w:hAnsi="Times New Roman"/>
          <w:color w:val="000000"/>
          <w:sz w:val="28"/>
          <w:szCs w:val="28"/>
          <w:shd w:val="clear" w:color="auto" w:fill="FFFFFF"/>
          <w:lang w:val="uk-UA"/>
        </w:rPr>
        <w:t xml:space="preserve"> </w:t>
      </w:r>
      <w:r w:rsidR="00180AC3" w:rsidRPr="00664DB1">
        <w:rPr>
          <w:rFonts w:ascii="Times New Roman" w:hAnsi="Times New Roman"/>
          <w:color w:val="000000"/>
          <w:sz w:val="28"/>
          <w:szCs w:val="28"/>
          <w:shd w:val="clear" w:color="auto" w:fill="FFFFFF"/>
          <w:lang w:val="uk-UA"/>
        </w:rPr>
        <w:t>з урахуванням можливості подальшого ведення бізнесу боржником</w:t>
      </w:r>
      <w:r w:rsidR="00180AC3">
        <w:rPr>
          <w:color w:val="000000"/>
          <w:shd w:val="clear" w:color="auto" w:fill="FFFFFF"/>
          <w:lang w:val="uk-UA"/>
        </w:rPr>
        <w:t xml:space="preserve"> </w:t>
      </w:r>
      <w:r w:rsidR="006A335B">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 xml:space="preserve"> </w:t>
      </w:r>
      <w:r>
        <w:rPr>
          <w:rFonts w:ascii="Times New Roman" w:hAnsi="Times New Roman"/>
          <w:sz w:val="28"/>
          <w:szCs w:val="28"/>
          <w:lang w:val="uk-UA"/>
        </w:rPr>
        <w:t>Попри актуальність окреслених цілей,</w:t>
      </w:r>
      <w:r w:rsidR="00180AC3">
        <w:rPr>
          <w:rFonts w:ascii="Times New Roman" w:hAnsi="Times New Roman"/>
          <w:sz w:val="28"/>
          <w:szCs w:val="28"/>
          <w:lang w:val="uk-UA"/>
        </w:rPr>
        <w:t xml:space="preserve"> не </w:t>
      </w:r>
      <w:r>
        <w:rPr>
          <w:rFonts w:ascii="Times New Roman" w:hAnsi="Times New Roman"/>
          <w:sz w:val="28"/>
          <w:szCs w:val="28"/>
          <w:lang w:val="uk-UA"/>
        </w:rPr>
        <w:t xml:space="preserve">було </w:t>
      </w:r>
      <w:r w:rsidR="00180AC3">
        <w:rPr>
          <w:rFonts w:ascii="Times New Roman" w:hAnsi="Times New Roman"/>
          <w:sz w:val="28"/>
          <w:szCs w:val="28"/>
          <w:lang w:val="uk-UA"/>
        </w:rPr>
        <w:t xml:space="preserve">окреслено ні методів досягнення, ні відповідальних виконавців, </w:t>
      </w:r>
      <w:r w:rsidR="002642C0">
        <w:rPr>
          <w:rFonts w:ascii="Times New Roman" w:hAnsi="Times New Roman"/>
          <w:sz w:val="28"/>
          <w:szCs w:val="28"/>
          <w:lang w:val="uk-UA"/>
        </w:rPr>
        <w:t xml:space="preserve">ні </w:t>
      </w:r>
      <w:r w:rsidR="002642C0" w:rsidRPr="00925E87">
        <w:rPr>
          <w:rFonts w:ascii="Times New Roman" w:hAnsi="Times New Roman"/>
          <w:sz w:val="28"/>
          <w:szCs w:val="28"/>
          <w:lang w:val="uk-UA"/>
        </w:rPr>
        <w:t xml:space="preserve">критеріїв оцінки ефективності заходів </w:t>
      </w:r>
      <w:r w:rsidR="00180AC3" w:rsidRPr="00925E87">
        <w:rPr>
          <w:rFonts w:ascii="Times New Roman" w:hAnsi="Times New Roman"/>
          <w:sz w:val="28"/>
          <w:szCs w:val="28"/>
          <w:lang w:val="uk-UA"/>
        </w:rPr>
        <w:t xml:space="preserve">що, при відсутності </w:t>
      </w:r>
      <w:r w:rsidRPr="00925E87">
        <w:rPr>
          <w:rFonts w:ascii="Times New Roman" w:hAnsi="Times New Roman"/>
          <w:sz w:val="28"/>
          <w:szCs w:val="28"/>
          <w:lang w:val="uk-UA"/>
        </w:rPr>
        <w:t xml:space="preserve">на той час </w:t>
      </w:r>
      <w:r w:rsidR="00180AC3" w:rsidRPr="00925E87">
        <w:rPr>
          <w:rFonts w:ascii="Times New Roman" w:hAnsi="Times New Roman"/>
          <w:sz w:val="28"/>
          <w:szCs w:val="28"/>
          <w:lang w:val="uk-UA"/>
        </w:rPr>
        <w:t>відповідного Департаменту</w:t>
      </w:r>
      <w:r w:rsidRPr="00925E87">
        <w:rPr>
          <w:rFonts w:ascii="Times New Roman" w:hAnsi="Times New Roman"/>
          <w:sz w:val="28"/>
          <w:szCs w:val="28"/>
          <w:lang w:val="uk-UA"/>
        </w:rPr>
        <w:t xml:space="preserve"> у структурі </w:t>
      </w:r>
      <w:proofErr w:type="spellStart"/>
      <w:r w:rsidRPr="00925E87">
        <w:rPr>
          <w:rFonts w:ascii="Times New Roman" w:hAnsi="Times New Roman"/>
          <w:sz w:val="28"/>
          <w:szCs w:val="28"/>
          <w:lang w:val="uk-UA"/>
        </w:rPr>
        <w:t>Міндоходів</w:t>
      </w:r>
      <w:proofErr w:type="spellEnd"/>
      <w:r w:rsidRPr="00925E87">
        <w:rPr>
          <w:rFonts w:ascii="Times New Roman" w:hAnsi="Times New Roman"/>
          <w:sz w:val="28"/>
          <w:szCs w:val="28"/>
          <w:lang w:val="uk-UA"/>
        </w:rPr>
        <w:t>, повністю дезорієнтувало</w:t>
      </w:r>
      <w:r w:rsidR="00180AC3" w:rsidRPr="00925E87">
        <w:rPr>
          <w:rFonts w:ascii="Times New Roman" w:hAnsi="Times New Roman"/>
          <w:sz w:val="28"/>
          <w:szCs w:val="28"/>
          <w:lang w:val="uk-UA"/>
        </w:rPr>
        <w:t xml:space="preserve"> дану роботу</w:t>
      </w:r>
      <w:r w:rsidRPr="00925E87">
        <w:rPr>
          <w:rFonts w:ascii="Times New Roman" w:hAnsi="Times New Roman"/>
          <w:sz w:val="28"/>
          <w:szCs w:val="28"/>
          <w:lang w:val="uk-UA"/>
        </w:rPr>
        <w:t xml:space="preserve"> та надало</w:t>
      </w:r>
      <w:r w:rsidR="002642C0" w:rsidRPr="00925E87">
        <w:rPr>
          <w:rFonts w:ascii="Times New Roman" w:hAnsi="Times New Roman"/>
          <w:sz w:val="28"/>
          <w:szCs w:val="28"/>
          <w:lang w:val="uk-UA"/>
        </w:rPr>
        <w:t xml:space="preserve"> їй декларативного характеру</w:t>
      </w:r>
      <w:r w:rsidR="00180AC3" w:rsidRPr="00925E87">
        <w:rPr>
          <w:rFonts w:ascii="Times New Roman" w:hAnsi="Times New Roman"/>
          <w:sz w:val="28"/>
          <w:szCs w:val="28"/>
          <w:lang w:val="uk-UA"/>
        </w:rPr>
        <w:t>.</w:t>
      </w:r>
      <w:r w:rsidR="00D80A12" w:rsidRPr="00925E87">
        <w:rPr>
          <w:spacing w:val="2"/>
          <w:sz w:val="21"/>
          <w:szCs w:val="21"/>
          <w:shd w:val="clear" w:color="auto" w:fill="FFFFFF"/>
          <w:lang w:val="uk-UA"/>
        </w:rPr>
        <w:t xml:space="preserve"> </w:t>
      </w:r>
      <w:r w:rsidR="00925E87" w:rsidRPr="00925E87">
        <w:rPr>
          <w:rFonts w:ascii="Times New Roman" w:hAnsi="Times New Roman"/>
          <w:spacing w:val="2"/>
          <w:sz w:val="28"/>
          <w:szCs w:val="28"/>
          <w:shd w:val="clear" w:color="auto" w:fill="FFFFFF"/>
          <w:lang w:val="uk-UA"/>
        </w:rPr>
        <w:t xml:space="preserve">У структурі Державної фіскальної служби </w:t>
      </w:r>
      <w:r w:rsidR="00925E87" w:rsidRPr="00925E87">
        <w:rPr>
          <w:rFonts w:ascii="Times New Roman" w:hAnsi="Times New Roman"/>
          <w:sz w:val="28"/>
          <w:szCs w:val="28"/>
          <w:lang w:val="uk-UA"/>
        </w:rPr>
        <w:t>11 департаментів забезпечують виконання індикативних показників доходної частини бюджету, виконують контролюючі функції та функції боротьби з правопорушеннями у сфері оподаткування</w:t>
      </w:r>
      <w:r w:rsidR="00E04A1D">
        <w:rPr>
          <w:rFonts w:ascii="Times New Roman" w:hAnsi="Times New Roman"/>
          <w:sz w:val="28"/>
          <w:szCs w:val="28"/>
          <w:lang w:val="uk-UA"/>
        </w:rPr>
        <w:t xml:space="preserve"> </w:t>
      </w:r>
      <w:r w:rsidR="00CD7B82" w:rsidRPr="00CD7B82">
        <w:rPr>
          <w:rFonts w:ascii="Times New Roman" w:hAnsi="Times New Roman"/>
          <w:spacing w:val="2"/>
          <w:sz w:val="28"/>
          <w:szCs w:val="28"/>
          <w:shd w:val="clear" w:color="auto" w:fill="FFFFFF"/>
          <w:lang w:val="uk-UA"/>
        </w:rPr>
        <w:t>[</w:t>
      </w:r>
      <w:r w:rsidR="006410D2">
        <w:rPr>
          <w:rFonts w:ascii="Times New Roman" w:hAnsi="Times New Roman"/>
          <w:spacing w:val="2"/>
          <w:sz w:val="28"/>
          <w:szCs w:val="28"/>
          <w:shd w:val="clear" w:color="auto" w:fill="FFFFFF"/>
          <w:lang w:val="uk-UA"/>
        </w:rPr>
        <w:fldChar w:fldCharType="begin"/>
      </w:r>
      <w:r w:rsidR="006410D2">
        <w:rPr>
          <w:rFonts w:ascii="Times New Roman" w:hAnsi="Times New Roman"/>
          <w:spacing w:val="2"/>
          <w:sz w:val="28"/>
          <w:szCs w:val="28"/>
          <w:shd w:val="clear" w:color="auto" w:fill="FFFFFF"/>
          <w:lang w:val="uk-UA"/>
        </w:rPr>
        <w:instrText xml:space="preserve"> REF _Ref449059588 \r \h </w:instrText>
      </w:r>
      <w:r w:rsidR="006410D2">
        <w:rPr>
          <w:rFonts w:ascii="Times New Roman" w:hAnsi="Times New Roman"/>
          <w:spacing w:val="2"/>
          <w:sz w:val="28"/>
          <w:szCs w:val="28"/>
          <w:shd w:val="clear" w:color="auto" w:fill="FFFFFF"/>
          <w:lang w:val="uk-UA"/>
        </w:rPr>
      </w:r>
      <w:r w:rsidR="006410D2">
        <w:rPr>
          <w:rFonts w:ascii="Times New Roman" w:hAnsi="Times New Roman"/>
          <w:spacing w:val="2"/>
          <w:sz w:val="28"/>
          <w:szCs w:val="28"/>
          <w:shd w:val="clear" w:color="auto" w:fill="FFFFFF"/>
          <w:lang w:val="uk-UA"/>
        </w:rPr>
        <w:fldChar w:fldCharType="separate"/>
      </w:r>
      <w:r w:rsidR="006B1E97">
        <w:rPr>
          <w:rFonts w:ascii="Times New Roman" w:hAnsi="Times New Roman"/>
          <w:spacing w:val="2"/>
          <w:sz w:val="28"/>
          <w:szCs w:val="28"/>
          <w:shd w:val="clear" w:color="auto" w:fill="FFFFFF"/>
          <w:lang w:val="uk-UA"/>
        </w:rPr>
        <w:t>4</w:t>
      </w:r>
      <w:r w:rsidR="006410D2">
        <w:rPr>
          <w:rFonts w:ascii="Times New Roman" w:hAnsi="Times New Roman"/>
          <w:spacing w:val="2"/>
          <w:sz w:val="28"/>
          <w:szCs w:val="28"/>
          <w:shd w:val="clear" w:color="auto" w:fill="FFFFFF"/>
          <w:lang w:val="uk-UA"/>
        </w:rPr>
        <w:fldChar w:fldCharType="end"/>
      </w:r>
      <w:r w:rsidR="00CD7B82" w:rsidRPr="00CD7B82">
        <w:rPr>
          <w:rFonts w:ascii="Times New Roman" w:hAnsi="Times New Roman"/>
          <w:spacing w:val="2"/>
          <w:sz w:val="28"/>
          <w:szCs w:val="28"/>
          <w:shd w:val="clear" w:color="auto" w:fill="FFFFFF"/>
          <w:lang w:val="uk-UA"/>
        </w:rPr>
        <w:t>]</w:t>
      </w:r>
      <w:r w:rsidR="00D80A12" w:rsidRPr="00925E87">
        <w:rPr>
          <w:rFonts w:ascii="Times New Roman" w:hAnsi="Times New Roman"/>
          <w:spacing w:val="2"/>
          <w:sz w:val="28"/>
          <w:szCs w:val="28"/>
          <w:shd w:val="clear" w:color="auto" w:fill="FFFFFF"/>
          <w:lang w:val="uk-UA"/>
        </w:rPr>
        <w:t>.</w:t>
      </w:r>
      <w:r w:rsidR="00D80A12" w:rsidRPr="00925E87">
        <w:rPr>
          <w:rStyle w:val="apple-converted-space"/>
          <w:rFonts w:ascii="Times New Roman" w:hAnsi="Times New Roman"/>
          <w:spacing w:val="2"/>
          <w:sz w:val="28"/>
          <w:szCs w:val="28"/>
          <w:shd w:val="clear" w:color="auto" w:fill="FFFFFF"/>
        </w:rPr>
        <w:t> </w:t>
      </w:r>
    </w:p>
    <w:p w:rsidR="00AA7DA4" w:rsidRPr="00925E87" w:rsidRDefault="005975B2" w:rsidP="006E3629">
      <w:pPr>
        <w:spacing w:after="0" w:line="360" w:lineRule="auto"/>
        <w:ind w:left="-567" w:firstLine="709"/>
        <w:jc w:val="both"/>
        <w:rPr>
          <w:rFonts w:ascii="Times New Roman" w:hAnsi="Times New Roman"/>
          <w:sz w:val="28"/>
          <w:szCs w:val="28"/>
          <w:lang w:val="uk-UA"/>
        </w:rPr>
      </w:pPr>
      <w:r w:rsidRPr="00925E87">
        <w:rPr>
          <w:rFonts w:ascii="Times New Roman" w:hAnsi="Times New Roman"/>
          <w:sz w:val="28"/>
          <w:szCs w:val="28"/>
          <w:lang w:val="uk-UA"/>
        </w:rPr>
        <w:t xml:space="preserve">Усе вище викладене дає підстави вважати обґрунтованою потребу створення </w:t>
      </w:r>
      <w:r w:rsidR="00932BA8" w:rsidRPr="00925E87">
        <w:rPr>
          <w:rFonts w:ascii="Times New Roman" w:hAnsi="Times New Roman"/>
          <w:sz w:val="28"/>
          <w:szCs w:val="28"/>
          <w:lang w:val="uk-UA"/>
        </w:rPr>
        <w:t>Програми</w:t>
      </w:r>
      <w:r w:rsidRPr="00925E87">
        <w:rPr>
          <w:rFonts w:ascii="Times New Roman" w:hAnsi="Times New Roman"/>
          <w:sz w:val="28"/>
          <w:szCs w:val="28"/>
          <w:lang w:val="uk-UA"/>
        </w:rPr>
        <w:t xml:space="preserve"> нейтралізації податково-боргових ризиків фінансової безпеки держави</w:t>
      </w:r>
      <w:r w:rsidR="000F6038" w:rsidRPr="00925E87">
        <w:rPr>
          <w:rFonts w:ascii="Times New Roman" w:hAnsi="Times New Roman"/>
          <w:sz w:val="28"/>
          <w:szCs w:val="28"/>
          <w:lang w:val="uk-UA"/>
        </w:rPr>
        <w:t xml:space="preserve"> (далі – </w:t>
      </w:r>
      <w:r w:rsidR="00932BA8" w:rsidRPr="00925E87">
        <w:rPr>
          <w:rFonts w:ascii="Times New Roman" w:hAnsi="Times New Roman"/>
          <w:sz w:val="28"/>
          <w:szCs w:val="28"/>
          <w:lang w:val="uk-UA"/>
        </w:rPr>
        <w:t>Програма</w:t>
      </w:r>
      <w:r w:rsidR="000F6038" w:rsidRPr="00925E87">
        <w:rPr>
          <w:rFonts w:ascii="Times New Roman" w:hAnsi="Times New Roman"/>
          <w:sz w:val="28"/>
          <w:szCs w:val="28"/>
          <w:lang w:val="uk-UA"/>
        </w:rPr>
        <w:t>)</w:t>
      </w:r>
      <w:r w:rsidR="00925E87">
        <w:rPr>
          <w:rFonts w:ascii="Times New Roman" w:hAnsi="Times New Roman"/>
          <w:sz w:val="28"/>
          <w:szCs w:val="28"/>
          <w:lang w:val="uk-UA"/>
        </w:rPr>
        <w:t>, яка</w:t>
      </w:r>
      <w:r w:rsidR="000F6038">
        <w:rPr>
          <w:rFonts w:ascii="Times New Roman" w:hAnsi="Times New Roman"/>
          <w:sz w:val="28"/>
          <w:szCs w:val="28"/>
          <w:lang w:val="uk-UA"/>
        </w:rPr>
        <w:t xml:space="preserve"> </w:t>
      </w:r>
      <w:r>
        <w:rPr>
          <w:rFonts w:ascii="Times New Roman" w:hAnsi="Times New Roman"/>
          <w:sz w:val="28"/>
          <w:szCs w:val="28"/>
          <w:lang w:val="uk-UA"/>
        </w:rPr>
        <w:t xml:space="preserve">включатиме </w:t>
      </w:r>
      <w:r w:rsidR="00925E87">
        <w:rPr>
          <w:rFonts w:ascii="Times New Roman" w:hAnsi="Times New Roman"/>
          <w:sz w:val="28"/>
          <w:szCs w:val="28"/>
          <w:lang w:val="uk-UA"/>
        </w:rPr>
        <w:t xml:space="preserve">такі </w:t>
      </w:r>
      <w:r>
        <w:rPr>
          <w:rFonts w:ascii="Times New Roman" w:hAnsi="Times New Roman"/>
          <w:sz w:val="28"/>
          <w:szCs w:val="28"/>
          <w:lang w:val="uk-UA"/>
        </w:rPr>
        <w:t>структурно-логічні комплекси:</w:t>
      </w:r>
      <w:r w:rsidR="00925E87">
        <w:rPr>
          <w:rFonts w:ascii="Times New Roman" w:hAnsi="Times New Roman"/>
          <w:sz w:val="28"/>
          <w:szCs w:val="28"/>
          <w:lang w:val="uk-UA"/>
        </w:rPr>
        <w:t xml:space="preserve"> з</w:t>
      </w:r>
      <w:r w:rsidRPr="00925E87">
        <w:rPr>
          <w:rFonts w:ascii="Times New Roman" w:hAnsi="Times New Roman"/>
          <w:sz w:val="28"/>
          <w:szCs w:val="28"/>
          <w:lang w:val="uk-UA"/>
        </w:rPr>
        <w:t>агальна частина</w:t>
      </w:r>
      <w:r>
        <w:rPr>
          <w:rFonts w:ascii="Times New Roman" w:hAnsi="Times New Roman"/>
          <w:sz w:val="28"/>
          <w:szCs w:val="28"/>
          <w:lang w:val="uk-UA"/>
        </w:rPr>
        <w:t xml:space="preserve"> </w:t>
      </w:r>
      <w:r w:rsidR="00925E87">
        <w:rPr>
          <w:rFonts w:ascii="Times New Roman" w:hAnsi="Times New Roman"/>
          <w:sz w:val="28"/>
          <w:szCs w:val="28"/>
          <w:lang w:val="uk-UA"/>
        </w:rPr>
        <w:t>(</w:t>
      </w:r>
      <w:r>
        <w:rPr>
          <w:rFonts w:ascii="Times New Roman" w:hAnsi="Times New Roman"/>
          <w:sz w:val="28"/>
          <w:szCs w:val="28"/>
          <w:lang w:val="uk-UA"/>
        </w:rPr>
        <w:t xml:space="preserve">аналіз податково-боргових загроз фінансовій безпеці держави </w:t>
      </w:r>
      <w:r w:rsidRPr="005975B2">
        <w:rPr>
          <w:rFonts w:ascii="Times New Roman" w:hAnsi="Times New Roman"/>
          <w:sz w:val="28"/>
          <w:szCs w:val="28"/>
          <w:lang w:val="uk-UA"/>
        </w:rPr>
        <w:t>[</w:t>
      </w:r>
      <w:r w:rsidR="006410D2">
        <w:rPr>
          <w:rFonts w:ascii="Times New Roman" w:hAnsi="Times New Roman"/>
          <w:sz w:val="28"/>
          <w:szCs w:val="28"/>
          <w:lang w:val="uk-UA"/>
        </w:rPr>
        <w:fldChar w:fldCharType="begin"/>
      </w:r>
      <w:r w:rsidR="006410D2">
        <w:rPr>
          <w:rFonts w:ascii="Times New Roman" w:hAnsi="Times New Roman"/>
          <w:sz w:val="28"/>
          <w:szCs w:val="28"/>
          <w:lang w:val="uk-UA"/>
        </w:rPr>
        <w:instrText xml:space="preserve"> REF _Ref449059568 \r \h </w:instrText>
      </w:r>
      <w:r w:rsidR="006410D2">
        <w:rPr>
          <w:rFonts w:ascii="Times New Roman" w:hAnsi="Times New Roman"/>
          <w:sz w:val="28"/>
          <w:szCs w:val="28"/>
          <w:lang w:val="uk-UA"/>
        </w:rPr>
      </w:r>
      <w:r w:rsidR="006410D2">
        <w:rPr>
          <w:rFonts w:ascii="Times New Roman" w:hAnsi="Times New Roman"/>
          <w:sz w:val="28"/>
          <w:szCs w:val="28"/>
          <w:lang w:val="uk-UA"/>
        </w:rPr>
        <w:fldChar w:fldCharType="separate"/>
      </w:r>
      <w:r w:rsidR="006B1E97">
        <w:rPr>
          <w:rFonts w:ascii="Times New Roman" w:hAnsi="Times New Roman"/>
          <w:sz w:val="28"/>
          <w:szCs w:val="28"/>
          <w:lang w:val="uk-UA"/>
        </w:rPr>
        <w:t>3</w:t>
      </w:r>
      <w:r w:rsidR="006410D2">
        <w:rPr>
          <w:rFonts w:ascii="Times New Roman" w:hAnsi="Times New Roman"/>
          <w:sz w:val="28"/>
          <w:szCs w:val="28"/>
          <w:lang w:val="uk-UA"/>
        </w:rPr>
        <w:fldChar w:fldCharType="end"/>
      </w:r>
      <w:r w:rsidR="00B9279A">
        <w:rPr>
          <w:rFonts w:ascii="Times New Roman" w:hAnsi="Times New Roman"/>
          <w:sz w:val="28"/>
          <w:szCs w:val="28"/>
          <w:lang w:val="uk-UA"/>
        </w:rPr>
        <w:t>, с. 94</w:t>
      </w:r>
      <w:r w:rsidRPr="005975B2">
        <w:rPr>
          <w:rFonts w:ascii="Times New Roman" w:hAnsi="Times New Roman"/>
          <w:sz w:val="28"/>
          <w:szCs w:val="28"/>
          <w:lang w:val="uk-UA"/>
        </w:rPr>
        <w:t>]</w:t>
      </w:r>
      <w:r w:rsidR="00925E87">
        <w:rPr>
          <w:rFonts w:ascii="Times New Roman" w:hAnsi="Times New Roman"/>
          <w:sz w:val="28"/>
          <w:szCs w:val="28"/>
          <w:lang w:val="uk-UA"/>
        </w:rPr>
        <w:t>); ц</w:t>
      </w:r>
      <w:r w:rsidR="000F6038" w:rsidRPr="00925E87">
        <w:rPr>
          <w:rFonts w:ascii="Times New Roman" w:hAnsi="Times New Roman"/>
          <w:sz w:val="28"/>
          <w:szCs w:val="28"/>
          <w:lang w:val="uk-UA"/>
        </w:rPr>
        <w:t xml:space="preserve">ілі, </w:t>
      </w:r>
      <w:r w:rsidRPr="00925E87">
        <w:rPr>
          <w:rFonts w:ascii="Times New Roman" w:hAnsi="Times New Roman"/>
          <w:sz w:val="28"/>
          <w:szCs w:val="28"/>
          <w:lang w:val="uk-UA"/>
        </w:rPr>
        <w:t>завдання</w:t>
      </w:r>
      <w:r w:rsidR="000F6038" w:rsidRPr="00925E87">
        <w:rPr>
          <w:rFonts w:ascii="Times New Roman" w:hAnsi="Times New Roman"/>
          <w:sz w:val="28"/>
          <w:szCs w:val="28"/>
          <w:lang w:val="uk-UA"/>
        </w:rPr>
        <w:t xml:space="preserve"> та принципи</w:t>
      </w:r>
      <w:r w:rsidRPr="00925E87">
        <w:rPr>
          <w:rFonts w:ascii="Times New Roman" w:hAnsi="Times New Roman"/>
          <w:sz w:val="28"/>
          <w:szCs w:val="28"/>
          <w:lang w:val="uk-UA"/>
        </w:rPr>
        <w:t xml:space="preserve"> </w:t>
      </w:r>
      <w:r w:rsidR="00925E87" w:rsidRPr="00925E87">
        <w:rPr>
          <w:rFonts w:ascii="Times New Roman" w:hAnsi="Times New Roman"/>
          <w:sz w:val="28"/>
          <w:szCs w:val="28"/>
          <w:lang w:val="uk-UA"/>
        </w:rPr>
        <w:t>Програми</w:t>
      </w:r>
      <w:r w:rsidR="00925E87">
        <w:rPr>
          <w:rFonts w:ascii="Times New Roman" w:hAnsi="Times New Roman"/>
          <w:sz w:val="28"/>
          <w:szCs w:val="28"/>
          <w:lang w:val="uk-UA"/>
        </w:rPr>
        <w:t>; нормативно</w:t>
      </w:r>
      <w:r w:rsidR="00117947" w:rsidRPr="00925E87">
        <w:rPr>
          <w:rFonts w:ascii="Times New Roman" w:hAnsi="Times New Roman"/>
          <w:sz w:val="28"/>
          <w:szCs w:val="28"/>
          <w:lang w:val="uk-UA"/>
        </w:rPr>
        <w:t>-правова баз</w:t>
      </w:r>
      <w:r w:rsidR="00925E87">
        <w:rPr>
          <w:rFonts w:ascii="Times New Roman" w:hAnsi="Times New Roman"/>
          <w:sz w:val="28"/>
          <w:szCs w:val="28"/>
          <w:lang w:val="uk-UA"/>
        </w:rPr>
        <w:t>а та методологічне забезпечення; о</w:t>
      </w:r>
      <w:r w:rsidR="000F6038" w:rsidRPr="00925E87">
        <w:rPr>
          <w:rFonts w:ascii="Times New Roman" w:hAnsi="Times New Roman"/>
          <w:sz w:val="28"/>
          <w:szCs w:val="28"/>
          <w:lang w:val="uk-UA"/>
        </w:rPr>
        <w:t xml:space="preserve">рганізаційно-функціональна структура </w:t>
      </w:r>
      <w:r w:rsidR="00117947" w:rsidRPr="00925E87">
        <w:rPr>
          <w:rFonts w:ascii="Times New Roman" w:hAnsi="Times New Roman"/>
          <w:sz w:val="28"/>
          <w:szCs w:val="28"/>
          <w:lang w:val="uk-UA"/>
        </w:rPr>
        <w:t>та кадрове</w:t>
      </w:r>
      <w:r w:rsidR="00925E87">
        <w:rPr>
          <w:rFonts w:ascii="Times New Roman" w:hAnsi="Times New Roman"/>
          <w:sz w:val="28"/>
          <w:szCs w:val="28"/>
          <w:lang w:val="uk-UA"/>
        </w:rPr>
        <w:t>;</w:t>
      </w:r>
      <w:r w:rsidR="00424B31">
        <w:rPr>
          <w:rFonts w:ascii="Times New Roman" w:hAnsi="Times New Roman"/>
          <w:sz w:val="28"/>
          <w:szCs w:val="28"/>
          <w:lang w:val="uk-UA"/>
        </w:rPr>
        <w:t xml:space="preserve"> </w:t>
      </w:r>
      <w:r w:rsidR="00925E87">
        <w:rPr>
          <w:rFonts w:ascii="Times New Roman" w:hAnsi="Times New Roman"/>
          <w:bCs/>
          <w:sz w:val="28"/>
          <w:szCs w:val="28"/>
          <w:lang w:val="uk-UA"/>
        </w:rPr>
        <w:t>ф</w:t>
      </w:r>
      <w:r w:rsidR="00964CEF" w:rsidRPr="00B2175D">
        <w:rPr>
          <w:rFonts w:ascii="Times New Roman" w:hAnsi="Times New Roman"/>
          <w:bCs/>
          <w:sz w:val="28"/>
          <w:szCs w:val="28"/>
          <w:lang w:val="uk-UA"/>
        </w:rPr>
        <w:t xml:space="preserve">інансування </w:t>
      </w:r>
      <w:r w:rsidR="00925E87">
        <w:rPr>
          <w:rFonts w:ascii="Times New Roman" w:hAnsi="Times New Roman"/>
          <w:bCs/>
          <w:sz w:val="28"/>
          <w:szCs w:val="28"/>
          <w:lang w:val="uk-UA"/>
        </w:rPr>
        <w:t>Програми</w:t>
      </w:r>
      <w:r w:rsidR="00925E87">
        <w:rPr>
          <w:rFonts w:ascii="Times New Roman" w:hAnsi="Times New Roman"/>
          <w:sz w:val="28"/>
          <w:szCs w:val="28"/>
          <w:lang w:val="uk-UA"/>
        </w:rPr>
        <w:t xml:space="preserve">; </w:t>
      </w:r>
      <w:r w:rsidR="00925E87">
        <w:rPr>
          <w:rFonts w:ascii="Times New Roman" w:hAnsi="Times New Roman"/>
          <w:bCs/>
          <w:sz w:val="28"/>
          <w:szCs w:val="28"/>
          <w:lang w:val="uk-UA"/>
        </w:rPr>
        <w:t>з</w:t>
      </w:r>
      <w:r w:rsidR="00B2175D" w:rsidRPr="00925E87">
        <w:rPr>
          <w:rFonts w:ascii="Times New Roman" w:hAnsi="Times New Roman"/>
          <w:bCs/>
          <w:sz w:val="28"/>
          <w:szCs w:val="28"/>
          <w:lang w:val="uk-UA"/>
        </w:rPr>
        <w:t>аходи нейтралізації податково-боргових ризиків фінансової безпеки</w:t>
      </w:r>
      <w:r w:rsidR="00925E87">
        <w:rPr>
          <w:rFonts w:ascii="Times New Roman" w:hAnsi="Times New Roman"/>
          <w:sz w:val="28"/>
          <w:szCs w:val="28"/>
          <w:lang w:val="uk-UA"/>
        </w:rPr>
        <w:t>; а</w:t>
      </w:r>
      <w:r w:rsidR="00925E87" w:rsidRPr="00100520">
        <w:rPr>
          <w:rFonts w:ascii="Times New Roman" w:hAnsi="Times New Roman"/>
          <w:sz w:val="28"/>
          <w:szCs w:val="28"/>
          <w:lang w:val="uk-UA"/>
        </w:rPr>
        <w:t>удит ефективності заходів</w:t>
      </w:r>
      <w:r w:rsidR="00925E87">
        <w:rPr>
          <w:rFonts w:ascii="Times New Roman" w:hAnsi="Times New Roman"/>
          <w:sz w:val="28"/>
          <w:szCs w:val="28"/>
          <w:lang w:val="uk-UA"/>
        </w:rPr>
        <w:t xml:space="preserve"> (система</w:t>
      </w:r>
      <w:r w:rsidR="00925E87" w:rsidRPr="00100520">
        <w:rPr>
          <w:rFonts w:ascii="Times New Roman" w:hAnsi="Times New Roman"/>
          <w:sz w:val="28"/>
          <w:szCs w:val="28"/>
          <w:lang w:val="uk-UA"/>
        </w:rPr>
        <w:t xml:space="preserve"> оціночних показників за кожним із заходів</w:t>
      </w:r>
      <w:r w:rsidR="00925E87">
        <w:rPr>
          <w:rFonts w:ascii="Times New Roman" w:hAnsi="Times New Roman"/>
          <w:sz w:val="28"/>
          <w:szCs w:val="28"/>
          <w:lang w:val="uk-UA"/>
        </w:rPr>
        <w:t>).</w:t>
      </w:r>
      <w:r w:rsidR="00925E87">
        <w:rPr>
          <w:rFonts w:ascii="Times New Roman" w:hAnsi="Times New Roman"/>
          <w:bCs/>
          <w:sz w:val="28"/>
          <w:szCs w:val="28"/>
          <w:lang w:val="uk-UA"/>
        </w:rPr>
        <w:t xml:space="preserve"> </w:t>
      </w:r>
      <w:r w:rsidR="00925E87">
        <w:rPr>
          <w:rFonts w:ascii="Times New Roman" w:hAnsi="Times New Roman"/>
          <w:sz w:val="28"/>
          <w:szCs w:val="28"/>
          <w:lang w:val="uk-UA"/>
        </w:rPr>
        <w:t xml:space="preserve">Блок заходів щодо нейтралізації </w:t>
      </w:r>
      <w:r w:rsidR="00925E87">
        <w:rPr>
          <w:rFonts w:ascii="Times New Roman" w:hAnsi="Times New Roman"/>
          <w:sz w:val="28"/>
          <w:szCs w:val="28"/>
          <w:lang w:val="uk-UA"/>
        </w:rPr>
        <w:lastRenderedPageBreak/>
        <w:t xml:space="preserve">ризиків </w:t>
      </w:r>
      <w:r w:rsidR="00B2175D">
        <w:rPr>
          <w:rFonts w:ascii="Times New Roman" w:hAnsi="Times New Roman"/>
          <w:sz w:val="28"/>
          <w:szCs w:val="28"/>
          <w:lang w:val="uk-UA"/>
        </w:rPr>
        <w:t xml:space="preserve">є ключовим у </w:t>
      </w:r>
      <w:r w:rsidR="00925E87">
        <w:rPr>
          <w:rFonts w:ascii="Times New Roman" w:hAnsi="Times New Roman"/>
          <w:sz w:val="28"/>
          <w:szCs w:val="28"/>
          <w:lang w:val="uk-UA"/>
        </w:rPr>
        <w:t>Програмі</w:t>
      </w:r>
      <w:r w:rsidR="00B2175D">
        <w:rPr>
          <w:rFonts w:ascii="Times New Roman" w:hAnsi="Times New Roman"/>
          <w:sz w:val="28"/>
          <w:szCs w:val="28"/>
          <w:lang w:val="uk-UA"/>
        </w:rPr>
        <w:t>, оскільки включає конкретний інструментарій, що може бути використа</w:t>
      </w:r>
      <w:r w:rsidR="006410D2">
        <w:rPr>
          <w:rFonts w:ascii="Times New Roman" w:hAnsi="Times New Roman"/>
          <w:sz w:val="28"/>
          <w:szCs w:val="28"/>
          <w:lang w:val="uk-UA"/>
        </w:rPr>
        <w:t>ний у роботі із боржниками. П</w:t>
      </w:r>
      <w:r w:rsidR="00B2175D">
        <w:rPr>
          <w:rFonts w:ascii="Times New Roman" w:hAnsi="Times New Roman"/>
          <w:sz w:val="28"/>
          <w:szCs w:val="28"/>
          <w:lang w:val="uk-UA"/>
        </w:rPr>
        <w:t xml:space="preserve">ропонуємо </w:t>
      </w:r>
      <w:r w:rsidR="006410D2">
        <w:rPr>
          <w:rFonts w:ascii="Times New Roman" w:hAnsi="Times New Roman"/>
          <w:sz w:val="28"/>
          <w:szCs w:val="28"/>
          <w:lang w:val="uk-UA"/>
        </w:rPr>
        <w:t>групувати такі заходи</w:t>
      </w:r>
      <w:r w:rsidR="00B2175D">
        <w:rPr>
          <w:rFonts w:ascii="Times New Roman" w:hAnsi="Times New Roman"/>
          <w:sz w:val="28"/>
          <w:szCs w:val="28"/>
          <w:lang w:val="uk-UA"/>
        </w:rPr>
        <w:t xml:space="preserve"> </w:t>
      </w:r>
      <w:r w:rsidR="006410D2">
        <w:rPr>
          <w:rFonts w:ascii="Times New Roman" w:hAnsi="Times New Roman"/>
          <w:sz w:val="28"/>
          <w:szCs w:val="28"/>
          <w:lang w:val="uk-UA"/>
        </w:rPr>
        <w:t xml:space="preserve">за етапом </w:t>
      </w:r>
      <w:r w:rsidR="00B2175D">
        <w:rPr>
          <w:rFonts w:ascii="Times New Roman" w:hAnsi="Times New Roman"/>
          <w:sz w:val="28"/>
          <w:szCs w:val="28"/>
          <w:lang w:val="uk-UA"/>
        </w:rPr>
        <w:t xml:space="preserve"> життєвого ц</w:t>
      </w:r>
      <w:r w:rsidR="00925E87">
        <w:rPr>
          <w:rFonts w:ascii="Times New Roman" w:hAnsi="Times New Roman"/>
          <w:sz w:val="28"/>
          <w:szCs w:val="28"/>
          <w:lang w:val="uk-UA"/>
        </w:rPr>
        <w:t>иклу податково-боргових загроз (</w:t>
      </w:r>
      <w:r w:rsidR="00925E87">
        <w:rPr>
          <w:rFonts w:ascii="Times New Roman" w:hAnsi="Times New Roman"/>
          <w:sz w:val="28"/>
          <w:szCs w:val="28"/>
        </w:rPr>
        <w:t xml:space="preserve">рис. </w:t>
      </w:r>
      <w:r w:rsidR="00AA7DA4">
        <w:rPr>
          <w:rFonts w:ascii="Times New Roman" w:hAnsi="Times New Roman"/>
          <w:sz w:val="28"/>
          <w:szCs w:val="28"/>
        </w:rPr>
        <w:t>5</w:t>
      </w:r>
      <w:r w:rsidR="00925E87">
        <w:rPr>
          <w:rFonts w:ascii="Times New Roman" w:hAnsi="Times New Roman"/>
          <w:sz w:val="28"/>
          <w:szCs w:val="28"/>
          <w:lang w:val="uk-UA"/>
        </w:rPr>
        <w:t>)</w:t>
      </w:r>
      <w:r w:rsidR="00AA7DA4">
        <w:rPr>
          <w:rFonts w:ascii="Times New Roman" w:hAnsi="Times New Roman"/>
          <w:sz w:val="28"/>
          <w:szCs w:val="28"/>
        </w:rPr>
        <w:t>:</w:t>
      </w:r>
    </w:p>
    <w:p w:rsidR="00AA7DA4" w:rsidRDefault="0026153D" w:rsidP="006E3629">
      <w:pPr>
        <w:tabs>
          <w:tab w:val="left" w:pos="1035"/>
        </w:tabs>
        <w:spacing w:after="0" w:line="360" w:lineRule="auto"/>
        <w:ind w:left="-567" w:firstLine="709"/>
        <w:jc w:val="both"/>
        <w:rPr>
          <w:rFonts w:ascii="Times New Roman" w:hAnsi="Times New Roman"/>
          <w:sz w:val="28"/>
          <w:szCs w:val="28"/>
        </w:rPr>
      </w:pPr>
      <w:r w:rsidRPr="0026153D">
        <w:rPr>
          <w:rFonts w:ascii="Times New Roman" w:hAnsi="Times New Roman"/>
          <w:noProof/>
          <w:sz w:val="28"/>
          <w:szCs w:val="28"/>
        </w:rPr>
        <w:pict>
          <v:group id="_x0000_s1026" style="position:absolute;left:0;text-align:left;margin-left:-20.35pt;margin-top:8.5pt;width:514.3pt;height:471.5pt;z-index:251660288" coordorigin="1139,3917" coordsize="9594,9997">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7" type="#_x0000_t80" style="position:absolute;left:1139;top:7373;width:5089;height:5368">
              <v:shadow on="t" opacity=".5" offset="6pt,-6pt"/>
              <v:textbox style="mso-next-textbox:#_x0000_s1027">
                <w:txbxContent>
                  <w:p w:rsidR="00AA7DA4" w:rsidRPr="002F6313" w:rsidRDefault="00AA7DA4" w:rsidP="00AA7DA4">
                    <w:pPr>
                      <w:jc w:val="center"/>
                      <w:rPr>
                        <w:rFonts w:ascii="Times New Roman" w:hAnsi="Times New Roman"/>
                        <w:b/>
                      </w:rPr>
                    </w:pPr>
                    <w:r w:rsidRPr="002F6313">
                      <w:rPr>
                        <w:rFonts w:ascii="Times New Roman" w:hAnsi="Times New Roman"/>
                        <w:b/>
                        <w:lang w:val="en-US"/>
                      </w:rPr>
                      <w:t>IV</w:t>
                    </w:r>
                    <w:r w:rsidRPr="002F6313">
                      <w:rPr>
                        <w:rFonts w:ascii="Times New Roman" w:hAnsi="Times New Roman"/>
                        <w:b/>
                      </w:rPr>
                      <w:t xml:space="preserve">. Спад </w:t>
                    </w:r>
                    <w:proofErr w:type="spellStart"/>
                    <w:r w:rsidRPr="002F6313">
                      <w:rPr>
                        <w:rFonts w:ascii="Times New Roman" w:hAnsi="Times New Roman"/>
                        <w:b/>
                      </w:rPr>
                      <w:t>активності</w:t>
                    </w:r>
                    <w:proofErr w:type="spellEnd"/>
                  </w:p>
                  <w:p w:rsidR="00AA7DA4" w:rsidRPr="002F6313" w:rsidRDefault="00AA7DA4" w:rsidP="00AA7DA4">
                    <w:pPr>
                      <w:pStyle w:val="ListParagraph"/>
                      <w:numPr>
                        <w:ilvl w:val="0"/>
                        <w:numId w:val="13"/>
                      </w:numPr>
                      <w:ind w:left="0" w:firstLine="0"/>
                      <w:rPr>
                        <w:rFonts w:ascii="Times New Roman" w:hAnsi="Times New Roman"/>
                        <w:lang w:val="uk-UA"/>
                      </w:rPr>
                    </w:pPr>
                    <w:r>
                      <w:rPr>
                        <w:rFonts w:ascii="Times New Roman" w:hAnsi="Times New Roman"/>
                        <w:lang w:val="uk-UA"/>
                      </w:rPr>
                      <w:t>в</w:t>
                    </w:r>
                    <w:r w:rsidRPr="002F6313">
                      <w:rPr>
                        <w:rFonts w:ascii="Times New Roman" w:hAnsi="Times New Roman"/>
                        <w:lang w:val="uk-UA"/>
                      </w:rPr>
                      <w:t>ідстеження регулярності платежів за графіком розстрочення;</w:t>
                    </w:r>
                  </w:p>
                  <w:p w:rsidR="00AA7DA4" w:rsidRPr="002F6313" w:rsidRDefault="00AA7DA4" w:rsidP="00AA7DA4">
                    <w:pPr>
                      <w:pStyle w:val="ListParagraph"/>
                      <w:numPr>
                        <w:ilvl w:val="0"/>
                        <w:numId w:val="13"/>
                      </w:numPr>
                      <w:ind w:left="0" w:firstLine="0"/>
                      <w:rPr>
                        <w:rFonts w:ascii="Times New Roman" w:hAnsi="Times New Roman"/>
                        <w:lang w:val="uk-UA"/>
                      </w:rPr>
                    </w:pPr>
                    <w:r>
                      <w:rPr>
                        <w:rFonts w:ascii="Times New Roman" w:hAnsi="Times New Roman"/>
                        <w:lang w:val="uk-UA"/>
                      </w:rPr>
                      <w:t>с</w:t>
                    </w:r>
                    <w:r w:rsidRPr="002F6313">
                      <w:rPr>
                        <w:rFonts w:ascii="Times New Roman" w:hAnsi="Times New Roman"/>
                        <w:lang w:val="uk-UA"/>
                      </w:rPr>
                      <w:t xml:space="preserve">амостійна                   реалізація </w:t>
                    </w:r>
                  </w:p>
                  <w:p w:rsidR="00AA7DA4" w:rsidRPr="002F6313" w:rsidRDefault="00AA7DA4" w:rsidP="00AA7DA4">
                    <w:pPr>
                      <w:pStyle w:val="ListParagraph"/>
                      <w:ind w:left="0"/>
                      <w:rPr>
                        <w:rFonts w:ascii="Times New Roman" w:hAnsi="Times New Roman"/>
                        <w:lang w:val="uk-UA"/>
                      </w:rPr>
                    </w:pPr>
                    <w:r w:rsidRPr="002F6313">
                      <w:rPr>
                        <w:rFonts w:ascii="Times New Roman" w:hAnsi="Times New Roman"/>
                        <w:lang w:val="uk-UA"/>
                      </w:rPr>
                      <w:t>заставлених активів</w:t>
                    </w:r>
                  </w:p>
                  <w:p w:rsidR="00AA7DA4" w:rsidRPr="002F6313" w:rsidRDefault="00AA7DA4" w:rsidP="00AA7DA4">
                    <w:pPr>
                      <w:pStyle w:val="ListParagraph"/>
                      <w:ind w:left="0"/>
                      <w:rPr>
                        <w:rFonts w:ascii="Times New Roman" w:hAnsi="Times New Roman"/>
                        <w:lang w:val="uk-UA"/>
                      </w:rPr>
                    </w:pPr>
                    <w:r w:rsidRPr="002F6313">
                      <w:rPr>
                        <w:rFonts w:ascii="Times New Roman" w:hAnsi="Times New Roman"/>
                        <w:lang w:val="uk-UA"/>
                      </w:rPr>
                      <w:t xml:space="preserve">або компенсація </w:t>
                    </w:r>
                  </w:p>
                  <w:p w:rsidR="00AA7DA4" w:rsidRPr="002F6313" w:rsidRDefault="00AA7DA4" w:rsidP="00AA7DA4">
                    <w:pPr>
                      <w:pStyle w:val="ListParagraph"/>
                      <w:ind w:left="0"/>
                      <w:rPr>
                        <w:rFonts w:ascii="Times New Roman" w:hAnsi="Times New Roman"/>
                        <w:lang w:val="uk-UA"/>
                      </w:rPr>
                    </w:pPr>
                    <w:r w:rsidRPr="002F6313">
                      <w:rPr>
                        <w:rFonts w:ascii="Times New Roman" w:hAnsi="Times New Roman"/>
                        <w:lang w:val="uk-UA"/>
                      </w:rPr>
                      <w:t xml:space="preserve">витрат на </w:t>
                    </w:r>
                  </w:p>
                  <w:p w:rsidR="00AA7DA4" w:rsidRPr="002F6313" w:rsidRDefault="00AA7DA4" w:rsidP="00AA7DA4">
                    <w:pPr>
                      <w:pStyle w:val="ListParagraph"/>
                      <w:ind w:left="0"/>
                      <w:rPr>
                        <w:rFonts w:ascii="Times New Roman" w:hAnsi="Times New Roman"/>
                        <w:lang w:val="uk-UA"/>
                      </w:rPr>
                    </w:pPr>
                    <w:r w:rsidRPr="002F6313">
                      <w:rPr>
                        <w:rFonts w:ascii="Times New Roman" w:hAnsi="Times New Roman"/>
                        <w:lang w:val="uk-UA"/>
                      </w:rPr>
                      <w:t>реалізацію.</w:t>
                    </w:r>
                  </w:p>
                  <w:p w:rsidR="00AA7DA4" w:rsidRPr="002F6313" w:rsidRDefault="00AA7DA4" w:rsidP="00AA7DA4">
                    <w:pPr>
                      <w:pStyle w:val="ListParagraph"/>
                      <w:ind w:left="0"/>
                      <w:rPr>
                        <w:rFonts w:ascii="Times New Roman" w:hAnsi="Times New Roman"/>
                        <w:lang w:val="uk-UA"/>
                      </w:rPr>
                    </w:pP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28" type="#_x0000_t77" style="position:absolute;left:2562;top:7373;width:8171;height:5368">
              <v:shadow on="t" opacity=".5" offset="6pt,-6pt"/>
              <v:textbox style="mso-next-textbox:#_x0000_s1028">
                <w:txbxContent>
                  <w:p w:rsidR="00AA7DA4" w:rsidRDefault="00AA7DA4" w:rsidP="00AA7DA4"/>
                  <w:p w:rsidR="00AA7DA4" w:rsidRDefault="00AA7DA4" w:rsidP="00AA7DA4"/>
                  <w:p w:rsidR="00AA7DA4" w:rsidRPr="002F6313" w:rsidRDefault="00AA7DA4" w:rsidP="00AA7DA4">
                    <w:pPr>
                      <w:spacing w:after="0"/>
                      <w:ind w:firstLine="284"/>
                      <w:rPr>
                        <w:rFonts w:ascii="Times New Roman" w:hAnsi="Times New Roman"/>
                        <w:b/>
                      </w:rPr>
                    </w:pPr>
                    <w:r w:rsidRPr="002F6313">
                      <w:rPr>
                        <w:b/>
                      </w:rPr>
                      <w:t xml:space="preserve">ІІІ. </w:t>
                    </w:r>
                    <w:proofErr w:type="spellStart"/>
                    <w:r w:rsidRPr="002F6313">
                      <w:rPr>
                        <w:rFonts w:ascii="Times New Roman" w:hAnsi="Times New Roman"/>
                        <w:b/>
                      </w:rPr>
                      <w:t>Розгортання</w:t>
                    </w:r>
                    <w:proofErr w:type="spellEnd"/>
                    <w:r w:rsidRPr="002F6313">
                      <w:rPr>
                        <w:rFonts w:ascii="Times New Roman" w:hAnsi="Times New Roman"/>
                        <w:b/>
                      </w:rPr>
                      <w:t xml:space="preserve"> </w:t>
                    </w:r>
                    <w:r>
                      <w:rPr>
                        <w:rFonts w:ascii="Times New Roman" w:hAnsi="Times New Roman"/>
                        <w:b/>
                      </w:rPr>
                      <w:t xml:space="preserve">                                          </w:t>
                    </w:r>
                    <w:proofErr w:type="spellStart"/>
                    <w:r w:rsidRPr="002F6313">
                      <w:rPr>
                        <w:rFonts w:ascii="Times New Roman" w:hAnsi="Times New Roman"/>
                        <w:b/>
                      </w:rPr>
                      <w:t>загрози</w:t>
                    </w:r>
                    <w:proofErr w:type="spellEnd"/>
                  </w:p>
                  <w:p w:rsidR="00AA7DA4" w:rsidRPr="00853A83" w:rsidRDefault="00AA7DA4" w:rsidP="00AA7DA4">
                    <w:pPr>
                      <w:pStyle w:val="ListParagraph"/>
                      <w:numPr>
                        <w:ilvl w:val="0"/>
                        <w:numId w:val="12"/>
                      </w:numPr>
                      <w:spacing w:after="0"/>
                      <w:rPr>
                        <w:rFonts w:ascii="Times New Roman" w:hAnsi="Times New Roman"/>
                        <w:lang w:val="uk-UA"/>
                      </w:rPr>
                    </w:pPr>
                    <w:r w:rsidRPr="00853A83">
                      <w:rPr>
                        <w:rFonts w:ascii="Times New Roman" w:hAnsi="Times New Roman"/>
                        <w:lang w:val="uk-UA"/>
                      </w:rPr>
                      <w:t xml:space="preserve">позапланова </w:t>
                    </w:r>
                    <w:r>
                      <w:rPr>
                        <w:rFonts w:ascii="Times New Roman" w:hAnsi="Times New Roman"/>
                        <w:lang w:val="uk-UA"/>
                      </w:rPr>
                      <w:t xml:space="preserve">                             </w:t>
                    </w:r>
                    <w:r w:rsidRPr="00853A83">
                      <w:rPr>
                        <w:rFonts w:ascii="Times New Roman" w:hAnsi="Times New Roman"/>
                        <w:lang w:val="uk-UA"/>
                      </w:rPr>
                      <w:t>перевірка перед наданням розстрочення;</w:t>
                    </w:r>
                  </w:p>
                  <w:p w:rsidR="00AA7DA4" w:rsidRPr="00853A83" w:rsidRDefault="00AA7DA4" w:rsidP="00AA7DA4">
                    <w:pPr>
                      <w:pStyle w:val="ListParagraph"/>
                      <w:numPr>
                        <w:ilvl w:val="0"/>
                        <w:numId w:val="12"/>
                      </w:numPr>
                      <w:spacing w:after="0"/>
                      <w:rPr>
                        <w:rFonts w:ascii="Times New Roman" w:hAnsi="Times New Roman"/>
                        <w:lang w:val="uk-UA"/>
                      </w:rPr>
                    </w:pPr>
                    <w:r w:rsidRPr="00853A83">
                      <w:rPr>
                        <w:rFonts w:ascii="Times New Roman" w:hAnsi="Times New Roman"/>
                        <w:lang w:val="uk-UA"/>
                      </w:rPr>
                      <w:t>застосування примусових заходів без санкції суду;</w:t>
                    </w:r>
                  </w:p>
                  <w:p w:rsidR="00AA7DA4" w:rsidRPr="00853A83" w:rsidRDefault="00AA7DA4" w:rsidP="00AA7DA4">
                    <w:pPr>
                      <w:pStyle w:val="ListParagraph"/>
                      <w:numPr>
                        <w:ilvl w:val="0"/>
                        <w:numId w:val="12"/>
                      </w:numPr>
                      <w:spacing w:after="0"/>
                      <w:rPr>
                        <w:rFonts w:ascii="Times New Roman" w:hAnsi="Times New Roman"/>
                        <w:lang w:val="uk-UA"/>
                      </w:rPr>
                    </w:pPr>
                    <w:r w:rsidRPr="00853A83">
                      <w:rPr>
                        <w:rFonts w:ascii="Times New Roman" w:hAnsi="Times New Roman"/>
                        <w:lang w:val="uk-UA"/>
                      </w:rPr>
                      <w:t>заборона окремих господарських операцій;</w:t>
                    </w:r>
                  </w:p>
                  <w:p w:rsidR="00AA7DA4" w:rsidRDefault="00AA7DA4" w:rsidP="00AA7DA4">
                    <w:pPr>
                      <w:pStyle w:val="ListParagraph"/>
                      <w:numPr>
                        <w:ilvl w:val="0"/>
                        <w:numId w:val="12"/>
                      </w:numPr>
                      <w:spacing w:after="0"/>
                      <w:rPr>
                        <w:rFonts w:ascii="Times New Roman" w:hAnsi="Times New Roman"/>
                        <w:lang w:val="uk-UA"/>
                      </w:rPr>
                    </w:pPr>
                    <w:r>
                      <w:rPr>
                        <w:rFonts w:ascii="Times New Roman" w:hAnsi="Times New Roman"/>
                        <w:lang w:val="uk-UA"/>
                      </w:rPr>
                      <w:t>використання кредитних та дебітних карток;</w:t>
                    </w:r>
                  </w:p>
                  <w:p w:rsidR="00AA7DA4" w:rsidRDefault="00AA7DA4" w:rsidP="00AA7DA4">
                    <w:pPr>
                      <w:pStyle w:val="ListParagraph"/>
                      <w:numPr>
                        <w:ilvl w:val="0"/>
                        <w:numId w:val="12"/>
                      </w:numPr>
                      <w:spacing w:after="0"/>
                      <w:rPr>
                        <w:rFonts w:ascii="Times New Roman" w:hAnsi="Times New Roman"/>
                        <w:lang w:val="uk-UA"/>
                      </w:rPr>
                    </w:pPr>
                    <w:r>
                      <w:rPr>
                        <w:rFonts w:ascii="Times New Roman" w:hAnsi="Times New Roman"/>
                        <w:lang w:val="uk-UA"/>
                      </w:rPr>
                      <w:t>залік дебіторської заборгованості;</w:t>
                    </w:r>
                  </w:p>
                  <w:p w:rsidR="00AA7DA4" w:rsidRDefault="00AA7DA4" w:rsidP="00AA7DA4">
                    <w:pPr>
                      <w:pStyle w:val="ListParagraph"/>
                      <w:numPr>
                        <w:ilvl w:val="0"/>
                        <w:numId w:val="12"/>
                      </w:numPr>
                      <w:spacing w:after="0"/>
                      <w:rPr>
                        <w:rFonts w:ascii="Times New Roman" w:hAnsi="Times New Roman"/>
                        <w:lang w:val="uk-UA"/>
                      </w:rPr>
                    </w:pPr>
                    <w:r>
                      <w:rPr>
                        <w:rFonts w:ascii="Times New Roman" w:hAnsi="Times New Roman"/>
                        <w:lang w:val="uk-UA"/>
                      </w:rPr>
                      <w:t>залучення ліцензованих колекторів;</w:t>
                    </w:r>
                  </w:p>
                  <w:p w:rsidR="00AA7DA4" w:rsidRDefault="00AA7DA4" w:rsidP="00AA7DA4">
                    <w:pPr>
                      <w:pStyle w:val="ListParagraph"/>
                      <w:numPr>
                        <w:ilvl w:val="0"/>
                        <w:numId w:val="12"/>
                      </w:numPr>
                      <w:spacing w:after="0"/>
                      <w:rPr>
                        <w:rFonts w:ascii="Times New Roman" w:hAnsi="Times New Roman"/>
                        <w:lang w:val="uk-UA"/>
                      </w:rPr>
                    </w:pPr>
                    <w:r>
                      <w:rPr>
                        <w:rFonts w:ascii="Times New Roman" w:hAnsi="Times New Roman"/>
                        <w:lang w:val="uk-UA"/>
                      </w:rPr>
                      <w:t>непрямі методи контролю;</w:t>
                    </w:r>
                  </w:p>
                  <w:p w:rsidR="00AA7DA4" w:rsidRDefault="00AA7DA4" w:rsidP="00AA7DA4">
                    <w:pPr>
                      <w:pStyle w:val="ListParagraph"/>
                      <w:numPr>
                        <w:ilvl w:val="0"/>
                        <w:numId w:val="12"/>
                      </w:numPr>
                      <w:spacing w:after="0"/>
                      <w:rPr>
                        <w:rFonts w:ascii="Times New Roman" w:hAnsi="Times New Roman"/>
                        <w:lang w:val="uk-UA"/>
                      </w:rPr>
                    </w:pPr>
                    <w:r>
                      <w:rPr>
                        <w:rFonts w:ascii="Times New Roman" w:hAnsi="Times New Roman"/>
                        <w:lang w:val="uk-UA"/>
                      </w:rPr>
                      <w:t>поширення застави на всі активи боржника;</w:t>
                    </w:r>
                  </w:p>
                  <w:p w:rsidR="00AA7DA4" w:rsidRDefault="00AA7DA4" w:rsidP="00AA7DA4">
                    <w:pPr>
                      <w:pStyle w:val="ListParagraph"/>
                      <w:numPr>
                        <w:ilvl w:val="0"/>
                        <w:numId w:val="12"/>
                      </w:numPr>
                      <w:spacing w:after="0"/>
                      <w:rPr>
                        <w:rFonts w:ascii="Times New Roman" w:hAnsi="Times New Roman"/>
                        <w:lang w:val="uk-UA"/>
                      </w:rPr>
                    </w:pPr>
                    <w:r>
                      <w:rPr>
                        <w:rFonts w:ascii="Times New Roman" w:hAnsi="Times New Roman"/>
                        <w:lang w:val="uk-UA"/>
                      </w:rPr>
                      <w:t xml:space="preserve">відповідальність за </w:t>
                    </w:r>
                    <w:proofErr w:type="spellStart"/>
                    <w:r>
                      <w:rPr>
                        <w:rFonts w:ascii="Times New Roman" w:hAnsi="Times New Roman"/>
                        <w:lang w:val="uk-UA"/>
                      </w:rPr>
                      <w:t>посібництво</w:t>
                    </w:r>
                    <w:proofErr w:type="spellEnd"/>
                    <w:r>
                      <w:rPr>
                        <w:rFonts w:ascii="Times New Roman" w:hAnsi="Times New Roman"/>
                        <w:lang w:val="uk-UA"/>
                      </w:rPr>
                      <w:t xml:space="preserve"> в ухиленні, готування до ухилення;</w:t>
                    </w:r>
                  </w:p>
                  <w:p w:rsidR="00AA7DA4" w:rsidRPr="00853A83" w:rsidRDefault="00AA7DA4" w:rsidP="00AA7DA4">
                    <w:pPr>
                      <w:pStyle w:val="ListParagraph"/>
                      <w:numPr>
                        <w:ilvl w:val="0"/>
                        <w:numId w:val="12"/>
                      </w:numPr>
                      <w:spacing w:after="0"/>
                      <w:rPr>
                        <w:rFonts w:ascii="Times New Roman" w:hAnsi="Times New Roman"/>
                        <w:lang w:val="uk-UA"/>
                      </w:rPr>
                    </w:pPr>
                    <w:r>
                      <w:rPr>
                        <w:rFonts w:ascii="Times New Roman" w:hAnsi="Times New Roman"/>
                        <w:lang w:val="uk-UA"/>
                      </w:rPr>
                      <w:t>податкова амністія.</w:t>
                    </w:r>
                  </w:p>
                  <w:p w:rsidR="00AA7DA4" w:rsidRPr="00853A83" w:rsidRDefault="00AA7DA4" w:rsidP="00AA7DA4"/>
                </w:txbxContent>
              </v:textbox>
            </v:shape>
            <v:shape id="_x0000_s1029" type="#_x0000_t80" style="position:absolute;left:5910;top:3917;width:4823;height:5140">
              <v:shadow on="t" opacity=".5" offset="6pt,-6pt"/>
              <v:textbox style="mso-next-textbox:#_x0000_s1029">
                <w:txbxContent>
                  <w:p w:rsidR="00AA7DA4" w:rsidRPr="00853A83" w:rsidRDefault="00AA7DA4" w:rsidP="00AA7DA4">
                    <w:pPr>
                      <w:spacing w:after="0"/>
                      <w:jc w:val="center"/>
                      <w:rPr>
                        <w:rFonts w:ascii="Times New Roman" w:hAnsi="Times New Roman"/>
                        <w:b/>
                      </w:rPr>
                    </w:pPr>
                    <w:r w:rsidRPr="00853A83">
                      <w:rPr>
                        <w:rFonts w:ascii="Times New Roman" w:hAnsi="Times New Roman"/>
                        <w:b/>
                      </w:rPr>
                      <w:t xml:space="preserve">ІІ. </w:t>
                    </w:r>
                    <w:proofErr w:type="spellStart"/>
                    <w:r w:rsidRPr="00853A83">
                      <w:rPr>
                        <w:rFonts w:ascii="Times New Roman" w:hAnsi="Times New Roman"/>
                        <w:b/>
                      </w:rPr>
                      <w:t>Зародження</w:t>
                    </w:r>
                    <w:proofErr w:type="spellEnd"/>
                    <w:r w:rsidRPr="00853A83">
                      <w:rPr>
                        <w:rFonts w:ascii="Times New Roman" w:hAnsi="Times New Roman"/>
                        <w:b/>
                      </w:rPr>
                      <w:t xml:space="preserve"> </w:t>
                    </w:r>
                    <w:proofErr w:type="spellStart"/>
                    <w:r w:rsidRPr="00853A83">
                      <w:rPr>
                        <w:rFonts w:ascii="Times New Roman" w:hAnsi="Times New Roman"/>
                        <w:b/>
                      </w:rPr>
                      <w:t>ризику</w:t>
                    </w:r>
                    <w:proofErr w:type="spellEnd"/>
                  </w:p>
                  <w:p w:rsidR="00AA7DA4" w:rsidRPr="00853A83" w:rsidRDefault="00AA7DA4" w:rsidP="00AA7DA4">
                    <w:pPr>
                      <w:pStyle w:val="ListParagraph"/>
                      <w:spacing w:after="0" w:line="240" w:lineRule="auto"/>
                      <w:ind w:left="0"/>
                      <w:jc w:val="center"/>
                      <w:rPr>
                        <w:rFonts w:ascii="Times New Roman" w:hAnsi="Times New Roman"/>
                        <w:lang w:val="uk-UA"/>
                      </w:rPr>
                    </w:pPr>
                    <w:r>
                      <w:rPr>
                        <w:lang w:val="uk-UA"/>
                      </w:rPr>
                      <w:t xml:space="preserve">- </w:t>
                    </w:r>
                    <w:r w:rsidRPr="00853A83">
                      <w:rPr>
                        <w:rFonts w:ascii="Times New Roman" w:hAnsi="Times New Roman"/>
                        <w:lang w:val="uk-UA"/>
                      </w:rPr>
                      <w:t>усунення колізії щодо розстрочення та відстрочення;</w:t>
                    </w:r>
                  </w:p>
                  <w:p w:rsidR="00AA7DA4" w:rsidRPr="00853A83" w:rsidRDefault="00AA7DA4" w:rsidP="00AA7DA4">
                    <w:pPr>
                      <w:pStyle w:val="ListParagraph"/>
                      <w:spacing w:after="0" w:line="240" w:lineRule="auto"/>
                      <w:ind w:left="0"/>
                      <w:jc w:val="center"/>
                      <w:rPr>
                        <w:rFonts w:ascii="Times New Roman" w:hAnsi="Times New Roman"/>
                        <w:lang w:val="uk-UA"/>
                      </w:rPr>
                    </w:pPr>
                    <w:r w:rsidRPr="00853A83">
                      <w:rPr>
                        <w:rFonts w:ascii="Times New Roman" w:hAnsi="Times New Roman"/>
                        <w:lang w:val="uk-UA"/>
                      </w:rPr>
                      <w:t xml:space="preserve">                               -  законодавче визначення </w:t>
                    </w:r>
                  </w:p>
                  <w:p w:rsidR="00AA7DA4" w:rsidRPr="00853A83" w:rsidRDefault="00AA7DA4" w:rsidP="00AA7DA4">
                    <w:pPr>
                      <w:pStyle w:val="ListParagraph"/>
                      <w:numPr>
                        <w:ilvl w:val="0"/>
                        <w:numId w:val="11"/>
                      </w:numPr>
                      <w:spacing w:after="0" w:line="240" w:lineRule="auto"/>
                      <w:ind w:left="0"/>
                      <w:jc w:val="right"/>
                      <w:rPr>
                        <w:rFonts w:ascii="Times New Roman" w:hAnsi="Times New Roman"/>
                        <w:lang w:val="uk-UA"/>
                      </w:rPr>
                    </w:pPr>
                    <w:r w:rsidRPr="00853A83">
                      <w:rPr>
                        <w:rFonts w:ascii="Times New Roman" w:hAnsi="Times New Roman"/>
                        <w:lang w:val="uk-UA"/>
                      </w:rPr>
                      <w:t xml:space="preserve">                                      «достатні докази</w:t>
                    </w:r>
                  </w:p>
                  <w:p w:rsidR="00AA7DA4" w:rsidRPr="00853A83" w:rsidRDefault="00AA7DA4" w:rsidP="00AA7DA4">
                    <w:pPr>
                      <w:pStyle w:val="ListParagraph"/>
                      <w:numPr>
                        <w:ilvl w:val="0"/>
                        <w:numId w:val="11"/>
                      </w:numPr>
                      <w:spacing w:after="0" w:line="240" w:lineRule="auto"/>
                      <w:ind w:left="0"/>
                      <w:jc w:val="right"/>
                      <w:rPr>
                        <w:rFonts w:ascii="Times New Roman" w:hAnsi="Times New Roman"/>
                        <w:lang w:val="uk-UA"/>
                      </w:rPr>
                    </w:pPr>
                    <w:r w:rsidRPr="00853A83">
                      <w:rPr>
                        <w:rFonts w:ascii="Times New Roman" w:hAnsi="Times New Roman"/>
                        <w:lang w:val="uk-UA"/>
                      </w:rPr>
                      <w:t xml:space="preserve">                                              </w:t>
                    </w:r>
                    <w:r>
                      <w:rPr>
                        <w:rFonts w:ascii="Times New Roman" w:hAnsi="Times New Roman"/>
                        <w:lang w:val="uk-UA"/>
                      </w:rPr>
                      <w:t>ф</w:t>
                    </w:r>
                    <w:r w:rsidRPr="00853A83">
                      <w:rPr>
                        <w:rFonts w:ascii="Times New Roman" w:hAnsi="Times New Roman"/>
                        <w:lang w:val="uk-UA"/>
                      </w:rPr>
                      <w:t>інансової</w:t>
                    </w:r>
                    <w:r>
                      <w:rPr>
                        <w:rFonts w:ascii="Times New Roman" w:hAnsi="Times New Roman"/>
                        <w:lang w:val="uk-UA"/>
                      </w:rPr>
                      <w:t xml:space="preserve"> </w:t>
                    </w:r>
                    <w:r w:rsidRPr="00853A83">
                      <w:rPr>
                        <w:rFonts w:ascii="Times New Roman" w:hAnsi="Times New Roman"/>
                        <w:lang w:val="uk-UA"/>
                      </w:rPr>
                      <w:t>неспромож</w:t>
                    </w:r>
                    <w:r>
                      <w:rPr>
                        <w:rFonts w:ascii="Times New Roman" w:hAnsi="Times New Roman"/>
                        <w:lang w:val="uk-UA"/>
                      </w:rPr>
                      <w:t>ності</w:t>
                    </w:r>
                    <w:r w:rsidRPr="00853A83">
                      <w:rPr>
                        <w:rFonts w:ascii="Times New Roman" w:hAnsi="Times New Roman"/>
                        <w:lang w:val="uk-UA"/>
                      </w:rPr>
                      <w:t>»;</w:t>
                    </w:r>
                  </w:p>
                  <w:p w:rsidR="00AA7DA4" w:rsidRDefault="00AA7DA4" w:rsidP="00AA7DA4">
                    <w:pPr>
                      <w:pStyle w:val="ListParagraph"/>
                      <w:numPr>
                        <w:ilvl w:val="0"/>
                        <w:numId w:val="11"/>
                      </w:numPr>
                      <w:spacing w:after="0" w:line="240" w:lineRule="auto"/>
                      <w:ind w:left="0"/>
                      <w:jc w:val="right"/>
                      <w:rPr>
                        <w:rFonts w:ascii="Times New Roman" w:hAnsi="Times New Roman"/>
                        <w:lang w:val="uk-UA"/>
                      </w:rPr>
                    </w:pPr>
                    <w:r w:rsidRPr="00853A83">
                      <w:rPr>
                        <w:rFonts w:ascii="Times New Roman" w:hAnsi="Times New Roman"/>
                        <w:lang w:val="uk-UA"/>
                      </w:rPr>
                      <w:t xml:space="preserve">                                  - обов’язковість податкової поруки банку для</w:t>
                    </w:r>
                  </w:p>
                  <w:p w:rsidR="00AA7DA4" w:rsidRDefault="00AA7DA4" w:rsidP="00AA7DA4">
                    <w:pPr>
                      <w:pStyle w:val="ListParagraph"/>
                      <w:spacing w:after="0" w:line="240" w:lineRule="auto"/>
                      <w:ind w:left="0"/>
                      <w:jc w:val="center"/>
                      <w:rPr>
                        <w:rFonts w:ascii="Times New Roman" w:hAnsi="Times New Roman"/>
                        <w:lang w:val="uk-UA"/>
                      </w:rPr>
                    </w:pPr>
                    <w:r>
                      <w:rPr>
                        <w:rFonts w:ascii="Times New Roman" w:hAnsi="Times New Roman"/>
                        <w:lang w:val="uk-UA"/>
                      </w:rPr>
                      <w:t xml:space="preserve"> юридичних осіб</w:t>
                    </w:r>
                  </w:p>
                  <w:p w:rsidR="00AA7DA4" w:rsidRPr="00853A83" w:rsidRDefault="00AA7DA4" w:rsidP="00AA7DA4">
                    <w:pPr>
                      <w:pStyle w:val="ListParagraph"/>
                      <w:numPr>
                        <w:ilvl w:val="0"/>
                        <w:numId w:val="11"/>
                      </w:numPr>
                      <w:spacing w:after="0" w:line="240" w:lineRule="auto"/>
                      <w:jc w:val="center"/>
                      <w:rPr>
                        <w:rFonts w:ascii="Times New Roman" w:hAnsi="Times New Roman"/>
                        <w:lang w:val="uk-UA"/>
                      </w:rPr>
                    </w:pPr>
                    <w:r>
                      <w:rPr>
                        <w:rFonts w:ascii="Times New Roman" w:hAnsi="Times New Roman"/>
                        <w:lang w:val="uk-UA"/>
                      </w:rPr>
                      <w:t>збереження застави під час оскарження донарахувань</w:t>
                    </w:r>
                  </w:p>
                </w:txbxContent>
              </v:textbox>
            </v:shape>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0" type="#_x0000_t78" style="position:absolute;left:1139;top:3917;width:7108;height:3456">
              <v:shadow on="t" opacity=".5" offset="6pt,-6pt"/>
              <v:textbox style="mso-next-textbox:#_x0000_s1030">
                <w:txbxContent>
                  <w:p w:rsidR="00AA7DA4" w:rsidRPr="00F44717" w:rsidRDefault="00AA7DA4" w:rsidP="00AA7DA4">
                    <w:pPr>
                      <w:jc w:val="center"/>
                      <w:rPr>
                        <w:rFonts w:ascii="Times New Roman" w:hAnsi="Times New Roman"/>
                        <w:b/>
                        <w:sz w:val="24"/>
                        <w:szCs w:val="24"/>
                      </w:rPr>
                    </w:pPr>
                    <w:r w:rsidRPr="00F44717">
                      <w:rPr>
                        <w:rFonts w:ascii="Times New Roman" w:hAnsi="Times New Roman"/>
                        <w:b/>
                        <w:sz w:val="24"/>
                        <w:szCs w:val="24"/>
                      </w:rPr>
                      <w:t xml:space="preserve">І. </w:t>
                    </w:r>
                    <w:proofErr w:type="spellStart"/>
                    <w:r w:rsidRPr="00F44717">
                      <w:rPr>
                        <w:rFonts w:ascii="Times New Roman" w:hAnsi="Times New Roman"/>
                        <w:b/>
                        <w:sz w:val="24"/>
                        <w:szCs w:val="24"/>
                      </w:rPr>
                      <w:t>Передумови</w:t>
                    </w:r>
                    <w:proofErr w:type="spellEnd"/>
                    <w:r w:rsidRPr="00F44717">
                      <w:rPr>
                        <w:rFonts w:ascii="Times New Roman" w:hAnsi="Times New Roman"/>
                        <w:b/>
                        <w:sz w:val="24"/>
                        <w:szCs w:val="24"/>
                      </w:rPr>
                      <w:t xml:space="preserve"> </w:t>
                    </w:r>
                    <w:proofErr w:type="spellStart"/>
                    <w:r w:rsidRPr="00F44717">
                      <w:rPr>
                        <w:rFonts w:ascii="Times New Roman" w:hAnsi="Times New Roman"/>
                        <w:b/>
                        <w:sz w:val="24"/>
                        <w:szCs w:val="24"/>
                      </w:rPr>
                      <w:t>виникнення</w:t>
                    </w:r>
                    <w:proofErr w:type="spellEnd"/>
                    <w:r w:rsidRPr="00F44717">
                      <w:rPr>
                        <w:rFonts w:ascii="Times New Roman" w:hAnsi="Times New Roman"/>
                        <w:b/>
                        <w:sz w:val="24"/>
                        <w:szCs w:val="24"/>
                      </w:rPr>
                      <w:t xml:space="preserve"> </w:t>
                    </w:r>
                    <w:proofErr w:type="spellStart"/>
                    <w:r w:rsidRPr="00F44717">
                      <w:rPr>
                        <w:rFonts w:ascii="Times New Roman" w:hAnsi="Times New Roman"/>
                        <w:b/>
                        <w:sz w:val="24"/>
                        <w:szCs w:val="24"/>
                      </w:rPr>
                      <w:t>ризику</w:t>
                    </w:r>
                    <w:proofErr w:type="spellEnd"/>
                  </w:p>
                  <w:p w:rsidR="00AA7DA4" w:rsidRPr="00F44717" w:rsidRDefault="00AA7DA4" w:rsidP="00AA7DA4">
                    <w:pPr>
                      <w:spacing w:after="0"/>
                      <w:rPr>
                        <w:rFonts w:ascii="Times New Roman" w:hAnsi="Times New Roman"/>
                        <w:sz w:val="24"/>
                        <w:szCs w:val="24"/>
                      </w:rPr>
                    </w:pPr>
                    <w:r w:rsidRPr="00F44717">
                      <w:rPr>
                        <w:rFonts w:ascii="Times New Roman" w:hAnsi="Times New Roman"/>
                        <w:sz w:val="24"/>
                        <w:szCs w:val="24"/>
                      </w:rPr>
                      <w:t xml:space="preserve">- </w:t>
                    </w:r>
                    <w:proofErr w:type="spellStart"/>
                    <w:r w:rsidRPr="00F44717">
                      <w:rPr>
                        <w:rFonts w:ascii="Times New Roman" w:hAnsi="Times New Roman"/>
                        <w:sz w:val="24"/>
                        <w:szCs w:val="24"/>
                      </w:rPr>
                      <w:t>вдосконалення</w:t>
                    </w:r>
                    <w:proofErr w:type="spellEnd"/>
                    <w:r w:rsidRPr="00F44717">
                      <w:rPr>
                        <w:rFonts w:ascii="Times New Roman" w:hAnsi="Times New Roman"/>
                        <w:sz w:val="24"/>
                        <w:szCs w:val="24"/>
                      </w:rPr>
                      <w:t xml:space="preserve"> </w:t>
                    </w:r>
                    <w:proofErr w:type="spellStart"/>
                    <w:r w:rsidRPr="00F44717">
                      <w:rPr>
                        <w:rFonts w:ascii="Times New Roman" w:hAnsi="Times New Roman"/>
                        <w:sz w:val="24"/>
                        <w:szCs w:val="24"/>
                      </w:rPr>
                      <w:t>щодо</w:t>
                    </w:r>
                    <w:proofErr w:type="spellEnd"/>
                    <w:r w:rsidRPr="00F44717">
                      <w:rPr>
                        <w:rFonts w:ascii="Times New Roman" w:hAnsi="Times New Roman"/>
                        <w:sz w:val="24"/>
                        <w:szCs w:val="24"/>
                      </w:rPr>
                      <w:t xml:space="preserve"> </w:t>
                    </w:r>
                    <w:proofErr w:type="spellStart"/>
                    <w:r w:rsidRPr="00F44717">
                      <w:rPr>
                        <w:rFonts w:ascii="Times New Roman" w:hAnsi="Times New Roman"/>
                        <w:sz w:val="24"/>
                        <w:szCs w:val="24"/>
                      </w:rPr>
                      <w:t>реєстрації</w:t>
                    </w:r>
                    <w:proofErr w:type="spellEnd"/>
                    <w:r w:rsidRPr="00F44717">
                      <w:rPr>
                        <w:rFonts w:ascii="Times New Roman" w:hAnsi="Times New Roman"/>
                        <w:sz w:val="24"/>
                        <w:szCs w:val="24"/>
                      </w:rPr>
                      <w:t xml:space="preserve">  </w:t>
                    </w:r>
                    <w:proofErr w:type="spellStart"/>
                    <w:proofErr w:type="gramStart"/>
                    <w:r w:rsidRPr="00F44717">
                      <w:rPr>
                        <w:rFonts w:ascii="Times New Roman" w:hAnsi="Times New Roman"/>
                        <w:sz w:val="24"/>
                        <w:szCs w:val="24"/>
                      </w:rPr>
                      <w:t>п</w:t>
                    </w:r>
                    <w:proofErr w:type="gramEnd"/>
                    <w:r w:rsidRPr="00F44717">
                      <w:rPr>
                        <w:rFonts w:ascii="Times New Roman" w:hAnsi="Times New Roman"/>
                        <w:sz w:val="24"/>
                        <w:szCs w:val="24"/>
                      </w:rPr>
                      <w:t>ідприємств</w:t>
                    </w:r>
                    <w:proofErr w:type="spellEnd"/>
                    <w:r w:rsidRPr="00F44717">
                      <w:rPr>
                        <w:rFonts w:ascii="Times New Roman" w:hAnsi="Times New Roman"/>
                        <w:sz w:val="24"/>
                        <w:szCs w:val="24"/>
                      </w:rPr>
                      <w:t xml:space="preserve">, </w:t>
                    </w:r>
                    <w:proofErr w:type="spellStart"/>
                    <w:r w:rsidRPr="00F44717">
                      <w:rPr>
                        <w:rFonts w:ascii="Times New Roman" w:hAnsi="Times New Roman"/>
                        <w:sz w:val="24"/>
                        <w:szCs w:val="24"/>
                      </w:rPr>
                      <w:t>зокрема</w:t>
                    </w:r>
                    <w:proofErr w:type="spellEnd"/>
                    <w:r w:rsidRPr="00F44717">
                      <w:rPr>
                        <w:rFonts w:ascii="Times New Roman" w:hAnsi="Times New Roman"/>
                        <w:sz w:val="24"/>
                        <w:szCs w:val="24"/>
                      </w:rPr>
                      <w:t xml:space="preserve"> до статутного </w:t>
                    </w:r>
                    <w:proofErr w:type="spellStart"/>
                    <w:r w:rsidRPr="00F44717">
                      <w:rPr>
                        <w:rFonts w:ascii="Times New Roman" w:hAnsi="Times New Roman"/>
                        <w:sz w:val="24"/>
                        <w:szCs w:val="24"/>
                      </w:rPr>
                      <w:t>капіталу</w:t>
                    </w:r>
                    <w:proofErr w:type="spellEnd"/>
                    <w:r w:rsidRPr="00F44717">
                      <w:rPr>
                        <w:rFonts w:ascii="Times New Roman" w:hAnsi="Times New Roman"/>
                        <w:sz w:val="24"/>
                        <w:szCs w:val="24"/>
                      </w:rPr>
                      <w:t>;</w:t>
                    </w:r>
                  </w:p>
                  <w:p w:rsidR="00AA7DA4" w:rsidRPr="00F44717" w:rsidRDefault="00AA7DA4" w:rsidP="00AA7DA4">
                    <w:pPr>
                      <w:spacing w:after="0"/>
                      <w:rPr>
                        <w:rFonts w:ascii="Times New Roman" w:hAnsi="Times New Roman"/>
                        <w:sz w:val="24"/>
                        <w:szCs w:val="24"/>
                      </w:rPr>
                    </w:pPr>
                    <w:r w:rsidRPr="00F44717">
                      <w:rPr>
                        <w:rFonts w:ascii="Times New Roman" w:hAnsi="Times New Roman"/>
                        <w:sz w:val="24"/>
                        <w:szCs w:val="24"/>
                      </w:rPr>
                      <w:t xml:space="preserve">- </w:t>
                    </w:r>
                    <w:proofErr w:type="spellStart"/>
                    <w:r w:rsidRPr="00F44717">
                      <w:rPr>
                        <w:rFonts w:ascii="Times New Roman" w:hAnsi="Times New Roman"/>
                        <w:sz w:val="24"/>
                        <w:szCs w:val="24"/>
                      </w:rPr>
                      <w:t>зниження</w:t>
                    </w:r>
                    <w:proofErr w:type="spellEnd"/>
                    <w:r w:rsidRPr="00F44717">
                      <w:rPr>
                        <w:rFonts w:ascii="Times New Roman" w:hAnsi="Times New Roman"/>
                        <w:sz w:val="24"/>
                        <w:szCs w:val="24"/>
                      </w:rPr>
                      <w:t xml:space="preserve"> </w:t>
                    </w:r>
                    <w:proofErr w:type="spellStart"/>
                    <w:r w:rsidRPr="00F44717">
                      <w:rPr>
                        <w:rFonts w:ascii="Times New Roman" w:hAnsi="Times New Roman"/>
                        <w:sz w:val="24"/>
                        <w:szCs w:val="24"/>
                      </w:rPr>
                      <w:t>податкового</w:t>
                    </w:r>
                    <w:proofErr w:type="spellEnd"/>
                    <w:r w:rsidRPr="00F44717">
                      <w:rPr>
                        <w:rFonts w:ascii="Times New Roman" w:hAnsi="Times New Roman"/>
                        <w:sz w:val="24"/>
                        <w:szCs w:val="24"/>
                      </w:rPr>
                      <w:t xml:space="preserve"> </w:t>
                    </w:r>
                    <w:proofErr w:type="spellStart"/>
                    <w:r w:rsidRPr="00F44717">
                      <w:rPr>
                        <w:rFonts w:ascii="Times New Roman" w:hAnsi="Times New Roman"/>
                        <w:sz w:val="24"/>
                        <w:szCs w:val="24"/>
                      </w:rPr>
                      <w:t>навантаження</w:t>
                    </w:r>
                    <w:proofErr w:type="spellEnd"/>
                    <w:r w:rsidRPr="00F44717">
                      <w:rPr>
                        <w:rFonts w:ascii="Times New Roman" w:hAnsi="Times New Roman"/>
                        <w:sz w:val="24"/>
                        <w:szCs w:val="24"/>
                      </w:rPr>
                      <w:t>;</w:t>
                    </w:r>
                  </w:p>
                  <w:p w:rsidR="00AA7DA4" w:rsidRPr="00F44717" w:rsidRDefault="00AA7DA4" w:rsidP="00AA7DA4">
                    <w:pPr>
                      <w:spacing w:after="0"/>
                      <w:rPr>
                        <w:rFonts w:ascii="Times New Roman" w:hAnsi="Times New Roman"/>
                        <w:sz w:val="24"/>
                        <w:szCs w:val="24"/>
                      </w:rPr>
                    </w:pPr>
                    <w:r w:rsidRPr="00F44717">
                      <w:rPr>
                        <w:rFonts w:ascii="Times New Roman" w:hAnsi="Times New Roman"/>
                        <w:sz w:val="24"/>
                        <w:szCs w:val="24"/>
                      </w:rPr>
                      <w:t xml:space="preserve">- </w:t>
                    </w:r>
                    <w:proofErr w:type="spellStart"/>
                    <w:r w:rsidRPr="00F44717">
                      <w:rPr>
                        <w:rFonts w:ascii="Times New Roman" w:hAnsi="Times New Roman"/>
                        <w:sz w:val="24"/>
                        <w:szCs w:val="24"/>
                      </w:rPr>
                      <w:t>ризикоорієнтований</w:t>
                    </w:r>
                    <w:proofErr w:type="spellEnd"/>
                    <w:r w:rsidRPr="00F44717">
                      <w:rPr>
                        <w:rFonts w:ascii="Times New Roman" w:hAnsi="Times New Roman"/>
                        <w:sz w:val="24"/>
                        <w:szCs w:val="24"/>
                      </w:rPr>
                      <w:t xml:space="preserve"> </w:t>
                    </w:r>
                    <w:proofErr w:type="spellStart"/>
                    <w:r w:rsidRPr="00F44717">
                      <w:rPr>
                        <w:rFonts w:ascii="Times New Roman" w:hAnsi="Times New Roman"/>
                        <w:sz w:val="24"/>
                        <w:szCs w:val="24"/>
                      </w:rPr>
                      <w:t>податковий</w:t>
                    </w:r>
                    <w:proofErr w:type="spellEnd"/>
                    <w:r w:rsidRPr="00F44717">
                      <w:rPr>
                        <w:rFonts w:ascii="Times New Roman" w:hAnsi="Times New Roman"/>
                        <w:sz w:val="24"/>
                        <w:szCs w:val="24"/>
                      </w:rPr>
                      <w:t xml:space="preserve"> аудит;</w:t>
                    </w:r>
                  </w:p>
                  <w:p w:rsidR="00AA7DA4" w:rsidRPr="00F44717" w:rsidRDefault="00AA7DA4" w:rsidP="00AA7DA4">
                    <w:pPr>
                      <w:spacing w:after="0"/>
                      <w:rPr>
                        <w:rFonts w:ascii="Times New Roman" w:hAnsi="Times New Roman"/>
                        <w:sz w:val="24"/>
                        <w:szCs w:val="24"/>
                      </w:rPr>
                    </w:pPr>
                    <w:r w:rsidRPr="00F44717">
                      <w:rPr>
                        <w:rFonts w:ascii="Times New Roman" w:hAnsi="Times New Roman"/>
                        <w:sz w:val="24"/>
                        <w:szCs w:val="24"/>
                      </w:rPr>
                      <w:t xml:space="preserve">- </w:t>
                    </w:r>
                    <w:proofErr w:type="spellStart"/>
                    <w:r w:rsidRPr="00F44717">
                      <w:rPr>
                        <w:rFonts w:ascii="Times New Roman" w:hAnsi="Times New Roman"/>
                        <w:sz w:val="24"/>
                        <w:szCs w:val="24"/>
                      </w:rPr>
                      <w:t>он-лайн</w:t>
                    </w:r>
                    <w:proofErr w:type="spellEnd"/>
                    <w:r w:rsidRPr="00F44717">
                      <w:rPr>
                        <w:rFonts w:ascii="Times New Roman" w:hAnsi="Times New Roman"/>
                        <w:sz w:val="24"/>
                        <w:szCs w:val="24"/>
                      </w:rPr>
                      <w:t xml:space="preserve"> доступ </w:t>
                    </w:r>
                    <w:proofErr w:type="gramStart"/>
                    <w:r w:rsidRPr="00F44717">
                      <w:rPr>
                        <w:rFonts w:ascii="Times New Roman" w:hAnsi="Times New Roman"/>
                        <w:sz w:val="24"/>
                        <w:szCs w:val="24"/>
                      </w:rPr>
                      <w:t>до</w:t>
                    </w:r>
                    <w:proofErr w:type="gramEnd"/>
                    <w:r w:rsidRPr="00F44717">
                      <w:rPr>
                        <w:rFonts w:ascii="Times New Roman" w:hAnsi="Times New Roman"/>
                        <w:sz w:val="24"/>
                        <w:szCs w:val="24"/>
                      </w:rPr>
                      <w:t xml:space="preserve"> </w:t>
                    </w:r>
                    <w:proofErr w:type="spellStart"/>
                    <w:r w:rsidRPr="00F44717">
                      <w:rPr>
                        <w:rFonts w:ascii="Times New Roman" w:hAnsi="Times New Roman"/>
                        <w:sz w:val="24"/>
                        <w:szCs w:val="24"/>
                      </w:rPr>
                      <w:t>банківських</w:t>
                    </w:r>
                    <w:proofErr w:type="spellEnd"/>
                    <w:r w:rsidRPr="00F44717">
                      <w:rPr>
                        <w:rFonts w:ascii="Times New Roman" w:hAnsi="Times New Roman"/>
                        <w:sz w:val="24"/>
                        <w:szCs w:val="24"/>
                      </w:rPr>
                      <w:t xml:space="preserve"> </w:t>
                    </w:r>
                    <w:proofErr w:type="spellStart"/>
                    <w:r w:rsidRPr="00F44717">
                      <w:rPr>
                        <w:rFonts w:ascii="Times New Roman" w:hAnsi="Times New Roman"/>
                        <w:sz w:val="24"/>
                        <w:szCs w:val="24"/>
                      </w:rPr>
                      <w:t>рахунків</w:t>
                    </w:r>
                    <w:proofErr w:type="spellEnd"/>
                    <w:r w:rsidRPr="00F44717">
                      <w:rPr>
                        <w:rFonts w:ascii="Times New Roman" w:hAnsi="Times New Roman"/>
                        <w:sz w:val="24"/>
                        <w:szCs w:val="24"/>
                      </w:rPr>
                      <w:t>;</w:t>
                    </w:r>
                  </w:p>
                  <w:p w:rsidR="00AA7DA4" w:rsidRPr="00F44717" w:rsidRDefault="00AA7DA4" w:rsidP="00AA7DA4">
                    <w:pPr>
                      <w:spacing w:after="0"/>
                      <w:rPr>
                        <w:rFonts w:ascii="Times New Roman" w:hAnsi="Times New Roman"/>
                        <w:sz w:val="24"/>
                        <w:szCs w:val="24"/>
                      </w:rPr>
                    </w:pPr>
                    <w:r w:rsidRPr="00F44717">
                      <w:rPr>
                        <w:rFonts w:ascii="Times New Roman" w:hAnsi="Times New Roman"/>
                        <w:sz w:val="24"/>
                        <w:szCs w:val="24"/>
                      </w:rPr>
                      <w:t>-</w:t>
                    </w:r>
                    <w:proofErr w:type="spellStart"/>
                    <w:r w:rsidRPr="00F44717">
                      <w:rPr>
                        <w:rFonts w:ascii="Times New Roman" w:hAnsi="Times New Roman"/>
                        <w:sz w:val="24"/>
                        <w:szCs w:val="24"/>
                      </w:rPr>
                      <w:t>он-лайн</w:t>
                    </w:r>
                    <w:proofErr w:type="spellEnd"/>
                    <w:r w:rsidRPr="00F44717">
                      <w:rPr>
                        <w:rFonts w:ascii="Times New Roman" w:hAnsi="Times New Roman"/>
                        <w:sz w:val="24"/>
                        <w:szCs w:val="24"/>
                      </w:rPr>
                      <w:t xml:space="preserve"> доступ до баз </w:t>
                    </w:r>
                    <w:proofErr w:type="spellStart"/>
                    <w:r w:rsidRPr="00F44717">
                      <w:rPr>
                        <w:rFonts w:ascii="Times New Roman" w:hAnsi="Times New Roman"/>
                        <w:sz w:val="24"/>
                        <w:szCs w:val="24"/>
                      </w:rPr>
                      <w:t>даних</w:t>
                    </w:r>
                    <w:proofErr w:type="spellEnd"/>
                    <w:r w:rsidRPr="00F44717">
                      <w:rPr>
                        <w:rFonts w:ascii="Times New Roman" w:hAnsi="Times New Roman"/>
                        <w:sz w:val="24"/>
                        <w:szCs w:val="24"/>
                      </w:rPr>
                      <w:t xml:space="preserve"> </w:t>
                    </w:r>
                    <w:proofErr w:type="spellStart"/>
                    <w:r w:rsidRPr="00F44717">
                      <w:rPr>
                        <w:rFonts w:ascii="Times New Roman" w:hAnsi="Times New Roman"/>
                        <w:sz w:val="24"/>
                        <w:szCs w:val="24"/>
                      </w:rPr>
                      <w:t>інших</w:t>
                    </w:r>
                    <w:proofErr w:type="spellEnd"/>
                    <w:r w:rsidRPr="00F44717">
                      <w:rPr>
                        <w:rFonts w:ascii="Times New Roman" w:hAnsi="Times New Roman"/>
                        <w:sz w:val="24"/>
                        <w:szCs w:val="24"/>
                      </w:rPr>
                      <w:t xml:space="preserve"> </w:t>
                    </w:r>
                    <w:proofErr w:type="spellStart"/>
                    <w:r w:rsidRPr="00F44717">
                      <w:rPr>
                        <w:rFonts w:ascii="Times New Roman" w:hAnsi="Times New Roman"/>
                        <w:sz w:val="24"/>
                        <w:szCs w:val="24"/>
                      </w:rPr>
                      <w:t>державних</w:t>
                    </w:r>
                    <w:proofErr w:type="spellEnd"/>
                    <w:r w:rsidRPr="00F44717">
                      <w:rPr>
                        <w:rFonts w:ascii="Times New Roman" w:hAnsi="Times New Roman"/>
                        <w:sz w:val="24"/>
                        <w:szCs w:val="24"/>
                      </w:rPr>
                      <w:t xml:space="preserve"> </w:t>
                    </w:r>
                    <w:proofErr w:type="spellStart"/>
                    <w:r w:rsidRPr="00F44717">
                      <w:rPr>
                        <w:rFonts w:ascii="Times New Roman" w:hAnsi="Times New Roman"/>
                        <w:sz w:val="24"/>
                        <w:szCs w:val="24"/>
                      </w:rPr>
                      <w:t>органі</w:t>
                    </w:r>
                    <w:proofErr w:type="gramStart"/>
                    <w:r w:rsidRPr="00F44717">
                      <w:rPr>
                        <w:rFonts w:ascii="Times New Roman" w:hAnsi="Times New Roman"/>
                        <w:sz w:val="24"/>
                        <w:szCs w:val="24"/>
                      </w:rPr>
                      <w:t>в</w:t>
                    </w:r>
                    <w:proofErr w:type="spellEnd"/>
                    <w:proofErr w:type="gramEnd"/>
                    <w:r w:rsidRPr="00F44717">
                      <w:rPr>
                        <w:rFonts w:ascii="Times New Roman" w:hAnsi="Times New Roman"/>
                        <w:sz w:val="24"/>
                        <w:szCs w:val="24"/>
                      </w:rPr>
                      <w:t>;</w:t>
                    </w:r>
                  </w:p>
                  <w:p w:rsidR="00AA7DA4" w:rsidRPr="00F44717" w:rsidRDefault="00AA7DA4" w:rsidP="00AA7DA4">
                    <w:pPr>
                      <w:spacing w:after="0"/>
                      <w:rPr>
                        <w:rFonts w:ascii="Times New Roman" w:hAnsi="Times New Roman"/>
                        <w:sz w:val="24"/>
                        <w:szCs w:val="24"/>
                      </w:rPr>
                    </w:pPr>
                    <w:r w:rsidRPr="00F44717">
                      <w:rPr>
                        <w:rFonts w:ascii="Times New Roman" w:hAnsi="Times New Roman"/>
                        <w:sz w:val="24"/>
                        <w:szCs w:val="24"/>
                      </w:rPr>
                      <w:t xml:space="preserve">- % штраф за </w:t>
                    </w:r>
                    <w:proofErr w:type="spellStart"/>
                    <w:r w:rsidRPr="00F44717">
                      <w:rPr>
                        <w:rFonts w:ascii="Times New Roman" w:hAnsi="Times New Roman"/>
                        <w:sz w:val="24"/>
                        <w:szCs w:val="24"/>
                      </w:rPr>
                      <w:t>неподання</w:t>
                    </w:r>
                    <w:proofErr w:type="spellEnd"/>
                    <w:r w:rsidRPr="00F44717">
                      <w:rPr>
                        <w:rFonts w:ascii="Times New Roman" w:hAnsi="Times New Roman"/>
                        <w:sz w:val="24"/>
                        <w:szCs w:val="24"/>
                      </w:rPr>
                      <w:t xml:space="preserve"> </w:t>
                    </w:r>
                    <w:proofErr w:type="spellStart"/>
                    <w:r w:rsidRPr="00F44717">
                      <w:rPr>
                        <w:rFonts w:ascii="Times New Roman" w:hAnsi="Times New Roman"/>
                        <w:sz w:val="24"/>
                        <w:szCs w:val="24"/>
                      </w:rPr>
                      <w:t>декларації</w:t>
                    </w:r>
                    <w:proofErr w:type="spellEnd"/>
                    <w:r w:rsidRPr="00F44717">
                      <w:rPr>
                        <w:rFonts w:ascii="Times New Roman" w:hAnsi="Times New Roman"/>
                        <w:sz w:val="24"/>
                        <w:szCs w:val="24"/>
                      </w:rPr>
                      <w:t>.</w:t>
                    </w:r>
                  </w:p>
                  <w:p w:rsidR="00AA7DA4" w:rsidRPr="00F44717" w:rsidRDefault="00AA7DA4" w:rsidP="00AA7DA4">
                    <w:pPr>
                      <w:spacing w:after="0"/>
                      <w:rPr>
                        <w:rFonts w:ascii="Times New Roman" w:hAnsi="Times New Roman"/>
                        <w:sz w:val="24"/>
                        <w:szCs w:val="24"/>
                      </w:rPr>
                    </w:pPr>
                  </w:p>
                </w:txbxContent>
              </v:textbox>
            </v:shape>
            <v:shape id="_x0000_s1031" type="#_x0000_t80" style="position:absolute;left:1139;top:12741;width:9594;height:1173">
              <v:shadow on="t" opacity=".5" offset="6pt,-6pt"/>
              <v:textbox style="mso-next-textbox:#_x0000_s1031">
                <w:txbxContent>
                  <w:p w:rsidR="00AA7DA4" w:rsidRPr="001B7B87" w:rsidRDefault="00AA7DA4" w:rsidP="00AA7DA4">
                    <w:pPr>
                      <w:spacing w:after="0"/>
                      <w:jc w:val="center"/>
                      <w:rPr>
                        <w:rFonts w:ascii="Times New Roman" w:hAnsi="Times New Roman"/>
                        <w:b/>
                      </w:rPr>
                    </w:pPr>
                    <w:r w:rsidRPr="001B7B87">
                      <w:rPr>
                        <w:rFonts w:ascii="Times New Roman" w:hAnsi="Times New Roman"/>
                        <w:b/>
                        <w:lang w:val="en-US"/>
                      </w:rPr>
                      <w:t>V</w:t>
                    </w:r>
                    <w:r w:rsidRPr="001B7B87">
                      <w:rPr>
                        <w:rFonts w:ascii="Times New Roman" w:hAnsi="Times New Roman"/>
                        <w:b/>
                      </w:rPr>
                      <w:t xml:space="preserve">. </w:t>
                    </w:r>
                    <w:proofErr w:type="spellStart"/>
                    <w:r w:rsidRPr="001B7B87">
                      <w:rPr>
                        <w:rFonts w:ascii="Times New Roman" w:hAnsi="Times New Roman"/>
                        <w:b/>
                      </w:rPr>
                      <w:t>Згасання</w:t>
                    </w:r>
                    <w:proofErr w:type="spellEnd"/>
                  </w:p>
                  <w:p w:rsidR="00AA7DA4" w:rsidRPr="001B7B87" w:rsidRDefault="00AA7DA4" w:rsidP="00AA7DA4">
                    <w:pPr>
                      <w:spacing w:after="0"/>
                      <w:jc w:val="center"/>
                      <w:rPr>
                        <w:rFonts w:ascii="Times New Roman" w:hAnsi="Times New Roman"/>
                      </w:rPr>
                    </w:pPr>
                    <w:r w:rsidRPr="001B7B87">
                      <w:rPr>
                        <w:rFonts w:ascii="Times New Roman" w:hAnsi="Times New Roman"/>
                      </w:rPr>
                      <w:t xml:space="preserve">- </w:t>
                    </w:r>
                    <w:proofErr w:type="spellStart"/>
                    <w:r w:rsidRPr="001B7B87">
                      <w:rPr>
                        <w:rFonts w:ascii="Times New Roman" w:hAnsi="Times New Roman"/>
                      </w:rPr>
                      <w:t>постборговий</w:t>
                    </w:r>
                    <w:proofErr w:type="spellEnd"/>
                    <w:r w:rsidRPr="001B7B87">
                      <w:rPr>
                        <w:rFonts w:ascii="Times New Roman" w:hAnsi="Times New Roman"/>
                      </w:rPr>
                      <w:t xml:space="preserve"> </w:t>
                    </w:r>
                    <w:proofErr w:type="spellStart"/>
                    <w:r w:rsidRPr="001B7B87">
                      <w:rPr>
                        <w:rFonts w:ascii="Times New Roman" w:hAnsi="Times New Roman"/>
                      </w:rPr>
                      <w:t>супровід</w:t>
                    </w:r>
                    <w:proofErr w:type="spellEnd"/>
                    <w:r w:rsidRPr="001B7B87">
                      <w:rPr>
                        <w:rFonts w:ascii="Times New Roman" w:hAnsi="Times New Roman"/>
                      </w:rPr>
                      <w:t xml:space="preserve"> </w:t>
                    </w:r>
                    <w:proofErr w:type="spellStart"/>
                    <w:r w:rsidRPr="001B7B87">
                      <w:rPr>
                        <w:rFonts w:ascii="Times New Roman" w:hAnsi="Times New Roman"/>
                      </w:rPr>
                      <w:t>боржника</w:t>
                    </w:r>
                    <w:proofErr w:type="spellEnd"/>
                  </w:p>
                </w:txbxContent>
              </v:textbox>
            </v:shape>
          </v:group>
        </w:pict>
      </w:r>
    </w:p>
    <w:p w:rsidR="00AA7DA4" w:rsidRDefault="00AA7DA4" w:rsidP="006E3629">
      <w:pPr>
        <w:tabs>
          <w:tab w:val="left" w:pos="1035"/>
        </w:tabs>
        <w:spacing w:after="0" w:line="360" w:lineRule="auto"/>
        <w:ind w:left="-567" w:firstLine="709"/>
        <w:jc w:val="both"/>
        <w:rPr>
          <w:rFonts w:ascii="Times New Roman" w:hAnsi="Times New Roman"/>
          <w:sz w:val="28"/>
          <w:szCs w:val="28"/>
        </w:rPr>
      </w:pPr>
    </w:p>
    <w:p w:rsidR="00AA7DA4" w:rsidRDefault="00AA7DA4" w:rsidP="006E3629">
      <w:pPr>
        <w:tabs>
          <w:tab w:val="left" w:pos="1035"/>
        </w:tabs>
        <w:spacing w:after="0" w:line="360" w:lineRule="auto"/>
        <w:ind w:left="-567" w:firstLine="709"/>
        <w:jc w:val="both"/>
        <w:rPr>
          <w:rFonts w:ascii="Times New Roman" w:hAnsi="Times New Roman"/>
          <w:sz w:val="28"/>
          <w:szCs w:val="28"/>
        </w:rPr>
      </w:pPr>
    </w:p>
    <w:p w:rsidR="00AA7DA4" w:rsidRDefault="00AA7DA4" w:rsidP="006E3629">
      <w:pPr>
        <w:tabs>
          <w:tab w:val="left" w:pos="1035"/>
        </w:tabs>
        <w:spacing w:after="0" w:line="360" w:lineRule="auto"/>
        <w:ind w:left="-567" w:firstLine="709"/>
        <w:jc w:val="both"/>
        <w:rPr>
          <w:rFonts w:ascii="Times New Roman" w:hAnsi="Times New Roman"/>
          <w:sz w:val="28"/>
          <w:szCs w:val="28"/>
        </w:rPr>
      </w:pPr>
    </w:p>
    <w:p w:rsidR="00AA7DA4" w:rsidRDefault="00AA7DA4" w:rsidP="006E3629">
      <w:pPr>
        <w:tabs>
          <w:tab w:val="left" w:pos="1035"/>
        </w:tabs>
        <w:spacing w:after="0" w:line="360" w:lineRule="auto"/>
        <w:ind w:left="-567" w:firstLine="709"/>
        <w:jc w:val="both"/>
        <w:rPr>
          <w:rFonts w:ascii="Times New Roman" w:hAnsi="Times New Roman"/>
          <w:sz w:val="28"/>
          <w:szCs w:val="28"/>
        </w:rPr>
      </w:pPr>
    </w:p>
    <w:p w:rsidR="00AA7DA4" w:rsidRDefault="00AA7DA4" w:rsidP="006E3629">
      <w:pPr>
        <w:tabs>
          <w:tab w:val="left" w:pos="1035"/>
        </w:tabs>
        <w:spacing w:after="0" w:line="360" w:lineRule="auto"/>
        <w:ind w:left="-567" w:firstLine="709"/>
        <w:jc w:val="both"/>
        <w:rPr>
          <w:rFonts w:ascii="Times New Roman" w:hAnsi="Times New Roman"/>
          <w:sz w:val="28"/>
          <w:szCs w:val="28"/>
        </w:rPr>
      </w:pPr>
    </w:p>
    <w:p w:rsidR="00AA7DA4" w:rsidRDefault="00AA7DA4" w:rsidP="006E3629">
      <w:pPr>
        <w:tabs>
          <w:tab w:val="left" w:pos="1035"/>
        </w:tabs>
        <w:spacing w:after="0" w:line="360" w:lineRule="auto"/>
        <w:ind w:left="-567" w:firstLine="709"/>
        <w:jc w:val="both"/>
        <w:rPr>
          <w:rFonts w:ascii="Times New Roman" w:hAnsi="Times New Roman"/>
          <w:sz w:val="28"/>
          <w:szCs w:val="28"/>
        </w:rPr>
      </w:pPr>
    </w:p>
    <w:p w:rsidR="00AA7DA4" w:rsidRDefault="00AA7DA4" w:rsidP="006E3629">
      <w:pPr>
        <w:tabs>
          <w:tab w:val="left" w:pos="1035"/>
        </w:tabs>
        <w:spacing w:after="0" w:line="360" w:lineRule="auto"/>
        <w:ind w:left="-567" w:firstLine="709"/>
        <w:jc w:val="both"/>
        <w:rPr>
          <w:rFonts w:ascii="Times New Roman" w:hAnsi="Times New Roman"/>
          <w:sz w:val="28"/>
          <w:szCs w:val="28"/>
        </w:rPr>
      </w:pPr>
    </w:p>
    <w:p w:rsidR="00AA7DA4" w:rsidRDefault="00AA7DA4" w:rsidP="006E3629">
      <w:pPr>
        <w:tabs>
          <w:tab w:val="left" w:pos="1035"/>
        </w:tabs>
        <w:spacing w:after="0" w:line="360" w:lineRule="auto"/>
        <w:ind w:left="-567" w:firstLine="709"/>
        <w:jc w:val="both"/>
        <w:rPr>
          <w:rFonts w:ascii="Times New Roman" w:hAnsi="Times New Roman"/>
          <w:sz w:val="28"/>
          <w:szCs w:val="28"/>
        </w:rPr>
      </w:pPr>
    </w:p>
    <w:p w:rsidR="00AA7DA4" w:rsidRDefault="00AA7DA4" w:rsidP="006E3629">
      <w:pPr>
        <w:tabs>
          <w:tab w:val="left" w:pos="1035"/>
        </w:tabs>
        <w:spacing w:after="0" w:line="360" w:lineRule="auto"/>
        <w:ind w:left="-567" w:firstLine="709"/>
        <w:jc w:val="both"/>
        <w:rPr>
          <w:rFonts w:ascii="Times New Roman" w:hAnsi="Times New Roman"/>
          <w:sz w:val="28"/>
          <w:szCs w:val="28"/>
        </w:rPr>
      </w:pPr>
    </w:p>
    <w:p w:rsidR="00AA7DA4" w:rsidRDefault="00AA7DA4" w:rsidP="006E3629">
      <w:pPr>
        <w:tabs>
          <w:tab w:val="left" w:pos="1035"/>
        </w:tabs>
        <w:spacing w:after="0" w:line="360" w:lineRule="auto"/>
        <w:ind w:left="-567" w:firstLine="709"/>
        <w:jc w:val="both"/>
        <w:rPr>
          <w:rFonts w:ascii="Times New Roman" w:hAnsi="Times New Roman"/>
          <w:sz w:val="28"/>
          <w:szCs w:val="28"/>
        </w:rPr>
      </w:pPr>
    </w:p>
    <w:p w:rsidR="00AA7DA4" w:rsidRDefault="00AA7DA4" w:rsidP="006E3629">
      <w:pPr>
        <w:tabs>
          <w:tab w:val="left" w:pos="1035"/>
        </w:tabs>
        <w:spacing w:after="0" w:line="360" w:lineRule="auto"/>
        <w:ind w:left="-567" w:firstLine="709"/>
        <w:jc w:val="both"/>
        <w:rPr>
          <w:rFonts w:ascii="Times New Roman" w:hAnsi="Times New Roman"/>
          <w:sz w:val="28"/>
          <w:szCs w:val="28"/>
        </w:rPr>
      </w:pPr>
    </w:p>
    <w:p w:rsidR="00AA7DA4" w:rsidRDefault="00AA7DA4" w:rsidP="006E3629">
      <w:pPr>
        <w:tabs>
          <w:tab w:val="left" w:pos="1035"/>
        </w:tabs>
        <w:spacing w:after="0" w:line="360" w:lineRule="auto"/>
        <w:ind w:left="-567" w:firstLine="709"/>
        <w:jc w:val="both"/>
        <w:rPr>
          <w:rFonts w:ascii="Times New Roman" w:hAnsi="Times New Roman"/>
          <w:sz w:val="28"/>
          <w:szCs w:val="28"/>
        </w:rPr>
      </w:pPr>
    </w:p>
    <w:p w:rsidR="00AA7DA4" w:rsidRDefault="00AA7DA4" w:rsidP="006E3629">
      <w:pPr>
        <w:tabs>
          <w:tab w:val="left" w:pos="1035"/>
        </w:tabs>
        <w:spacing w:after="0" w:line="360" w:lineRule="auto"/>
        <w:ind w:left="-567" w:firstLine="709"/>
        <w:jc w:val="both"/>
        <w:rPr>
          <w:rFonts w:ascii="Times New Roman" w:hAnsi="Times New Roman"/>
          <w:sz w:val="28"/>
          <w:szCs w:val="28"/>
        </w:rPr>
      </w:pPr>
    </w:p>
    <w:p w:rsidR="00AA7DA4" w:rsidRDefault="00AA7DA4" w:rsidP="006E3629">
      <w:pPr>
        <w:tabs>
          <w:tab w:val="left" w:pos="1035"/>
        </w:tabs>
        <w:spacing w:after="0" w:line="360" w:lineRule="auto"/>
        <w:ind w:left="-567" w:firstLine="709"/>
        <w:jc w:val="both"/>
        <w:rPr>
          <w:rFonts w:ascii="Times New Roman" w:hAnsi="Times New Roman"/>
          <w:sz w:val="28"/>
          <w:szCs w:val="28"/>
        </w:rPr>
      </w:pPr>
    </w:p>
    <w:p w:rsidR="00AA7DA4" w:rsidRDefault="00AA7DA4" w:rsidP="006E3629">
      <w:pPr>
        <w:tabs>
          <w:tab w:val="left" w:pos="1035"/>
        </w:tabs>
        <w:spacing w:after="0" w:line="360" w:lineRule="auto"/>
        <w:ind w:left="-567" w:firstLine="709"/>
        <w:jc w:val="both"/>
        <w:rPr>
          <w:rFonts w:ascii="Times New Roman" w:hAnsi="Times New Roman"/>
          <w:sz w:val="28"/>
          <w:szCs w:val="28"/>
        </w:rPr>
      </w:pPr>
    </w:p>
    <w:p w:rsidR="00AA7DA4" w:rsidRDefault="00AA7DA4" w:rsidP="006E3629">
      <w:pPr>
        <w:tabs>
          <w:tab w:val="left" w:pos="1035"/>
        </w:tabs>
        <w:spacing w:after="0" w:line="360" w:lineRule="auto"/>
        <w:ind w:left="-567" w:firstLine="709"/>
        <w:jc w:val="both"/>
        <w:rPr>
          <w:rFonts w:ascii="Times New Roman" w:hAnsi="Times New Roman"/>
          <w:sz w:val="28"/>
          <w:szCs w:val="28"/>
        </w:rPr>
      </w:pPr>
    </w:p>
    <w:p w:rsidR="00AA7DA4" w:rsidRDefault="00AA7DA4" w:rsidP="006E3629">
      <w:pPr>
        <w:tabs>
          <w:tab w:val="left" w:pos="1035"/>
        </w:tabs>
        <w:spacing w:after="0" w:line="360" w:lineRule="auto"/>
        <w:ind w:left="-567" w:firstLine="709"/>
        <w:jc w:val="both"/>
        <w:rPr>
          <w:rFonts w:ascii="Times New Roman" w:hAnsi="Times New Roman"/>
          <w:sz w:val="28"/>
          <w:szCs w:val="28"/>
        </w:rPr>
      </w:pPr>
    </w:p>
    <w:p w:rsidR="00AA7DA4" w:rsidRDefault="00AA7DA4" w:rsidP="006E3629">
      <w:pPr>
        <w:tabs>
          <w:tab w:val="left" w:pos="1035"/>
        </w:tabs>
        <w:spacing w:after="0" w:line="360" w:lineRule="auto"/>
        <w:ind w:left="-567" w:firstLine="709"/>
        <w:jc w:val="both"/>
        <w:rPr>
          <w:rFonts w:ascii="Times New Roman" w:hAnsi="Times New Roman"/>
          <w:sz w:val="28"/>
          <w:szCs w:val="28"/>
        </w:rPr>
      </w:pPr>
    </w:p>
    <w:p w:rsidR="00AA7DA4" w:rsidRDefault="00AA7DA4" w:rsidP="006E3629">
      <w:pPr>
        <w:tabs>
          <w:tab w:val="left" w:pos="1035"/>
        </w:tabs>
        <w:spacing w:after="0" w:line="360" w:lineRule="auto"/>
        <w:ind w:left="-567" w:firstLine="709"/>
        <w:jc w:val="both"/>
        <w:rPr>
          <w:rFonts w:ascii="Times New Roman" w:hAnsi="Times New Roman"/>
          <w:sz w:val="28"/>
          <w:szCs w:val="28"/>
        </w:rPr>
      </w:pPr>
    </w:p>
    <w:p w:rsidR="00AA7DA4" w:rsidRDefault="00925E87" w:rsidP="006E3629">
      <w:pPr>
        <w:tabs>
          <w:tab w:val="left" w:pos="1035"/>
        </w:tabs>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Рис. </w:t>
      </w:r>
      <w:r>
        <w:rPr>
          <w:rFonts w:ascii="Times New Roman" w:hAnsi="Times New Roman"/>
          <w:sz w:val="28"/>
          <w:szCs w:val="28"/>
          <w:lang w:val="uk-UA"/>
        </w:rPr>
        <w:t>5</w:t>
      </w:r>
      <w:r w:rsidR="006410D2">
        <w:rPr>
          <w:rFonts w:ascii="Times New Roman" w:hAnsi="Times New Roman"/>
          <w:sz w:val="28"/>
          <w:szCs w:val="28"/>
        </w:rPr>
        <w:t xml:space="preserve">. </w:t>
      </w:r>
      <w:proofErr w:type="spellStart"/>
      <w:r w:rsidR="006410D2">
        <w:rPr>
          <w:rFonts w:ascii="Times New Roman" w:hAnsi="Times New Roman"/>
          <w:sz w:val="28"/>
          <w:szCs w:val="28"/>
        </w:rPr>
        <w:t>Агрегована</w:t>
      </w:r>
      <w:proofErr w:type="spellEnd"/>
      <w:r w:rsidR="006410D2">
        <w:rPr>
          <w:rFonts w:ascii="Times New Roman" w:hAnsi="Times New Roman"/>
          <w:sz w:val="28"/>
          <w:szCs w:val="28"/>
        </w:rPr>
        <w:t xml:space="preserve"> схема</w:t>
      </w:r>
      <w:r w:rsidR="006410D2">
        <w:rPr>
          <w:rFonts w:ascii="Times New Roman" w:hAnsi="Times New Roman"/>
          <w:sz w:val="28"/>
          <w:szCs w:val="28"/>
          <w:lang w:val="uk-UA"/>
        </w:rPr>
        <w:t xml:space="preserve"> </w:t>
      </w:r>
      <w:proofErr w:type="spellStart"/>
      <w:r w:rsidR="00AA7DA4">
        <w:rPr>
          <w:rFonts w:ascii="Times New Roman" w:hAnsi="Times New Roman"/>
          <w:sz w:val="28"/>
          <w:szCs w:val="28"/>
        </w:rPr>
        <w:t>інструментів</w:t>
      </w:r>
      <w:proofErr w:type="spellEnd"/>
      <w:r w:rsidR="00AA7DA4">
        <w:rPr>
          <w:rFonts w:ascii="Times New Roman" w:hAnsi="Times New Roman"/>
          <w:sz w:val="28"/>
          <w:szCs w:val="28"/>
        </w:rPr>
        <w:t xml:space="preserve"> </w:t>
      </w:r>
      <w:proofErr w:type="spellStart"/>
      <w:r w:rsidR="00AA7DA4">
        <w:rPr>
          <w:rFonts w:ascii="Times New Roman" w:hAnsi="Times New Roman"/>
          <w:sz w:val="28"/>
          <w:szCs w:val="28"/>
        </w:rPr>
        <w:t>Програми</w:t>
      </w:r>
      <w:proofErr w:type="spellEnd"/>
      <w:r w:rsidR="00AA7DA4">
        <w:rPr>
          <w:rFonts w:ascii="Times New Roman" w:hAnsi="Times New Roman"/>
          <w:sz w:val="28"/>
          <w:szCs w:val="28"/>
        </w:rPr>
        <w:t xml:space="preserve"> за </w:t>
      </w:r>
      <w:proofErr w:type="spellStart"/>
      <w:r w:rsidR="00AA7DA4">
        <w:rPr>
          <w:rFonts w:ascii="Times New Roman" w:hAnsi="Times New Roman"/>
          <w:sz w:val="28"/>
          <w:szCs w:val="28"/>
        </w:rPr>
        <w:t>етапами</w:t>
      </w:r>
      <w:proofErr w:type="spellEnd"/>
      <w:r w:rsidR="00AA7DA4">
        <w:rPr>
          <w:rFonts w:ascii="Times New Roman" w:hAnsi="Times New Roman"/>
          <w:sz w:val="28"/>
          <w:szCs w:val="28"/>
        </w:rPr>
        <w:t xml:space="preserve"> </w:t>
      </w:r>
      <w:proofErr w:type="spellStart"/>
      <w:r w:rsidR="00AA7DA4">
        <w:rPr>
          <w:rFonts w:ascii="Times New Roman" w:hAnsi="Times New Roman"/>
          <w:sz w:val="28"/>
          <w:szCs w:val="28"/>
        </w:rPr>
        <w:t>життєвого</w:t>
      </w:r>
      <w:proofErr w:type="spellEnd"/>
      <w:r w:rsidR="00AA7DA4">
        <w:rPr>
          <w:rFonts w:ascii="Times New Roman" w:hAnsi="Times New Roman"/>
          <w:sz w:val="28"/>
          <w:szCs w:val="28"/>
        </w:rPr>
        <w:t xml:space="preserve"> циклу </w:t>
      </w:r>
      <w:proofErr w:type="spellStart"/>
      <w:r w:rsidR="00AA7DA4">
        <w:rPr>
          <w:rFonts w:ascii="Times New Roman" w:hAnsi="Times New Roman"/>
          <w:sz w:val="28"/>
          <w:szCs w:val="28"/>
        </w:rPr>
        <w:t>податково-боргових</w:t>
      </w:r>
      <w:proofErr w:type="spellEnd"/>
      <w:r w:rsidR="00AA7DA4">
        <w:rPr>
          <w:rFonts w:ascii="Times New Roman" w:hAnsi="Times New Roman"/>
          <w:sz w:val="28"/>
          <w:szCs w:val="28"/>
        </w:rPr>
        <w:t xml:space="preserve"> </w:t>
      </w:r>
      <w:proofErr w:type="spellStart"/>
      <w:r w:rsidR="00AA7DA4">
        <w:rPr>
          <w:rFonts w:ascii="Times New Roman" w:hAnsi="Times New Roman"/>
          <w:sz w:val="28"/>
          <w:szCs w:val="28"/>
        </w:rPr>
        <w:t>ризикі</w:t>
      </w:r>
      <w:proofErr w:type="gramStart"/>
      <w:r w:rsidR="00AA7DA4">
        <w:rPr>
          <w:rFonts w:ascii="Times New Roman" w:hAnsi="Times New Roman"/>
          <w:sz w:val="28"/>
          <w:szCs w:val="28"/>
        </w:rPr>
        <w:t>в</w:t>
      </w:r>
      <w:proofErr w:type="spellEnd"/>
      <w:proofErr w:type="gramEnd"/>
    </w:p>
    <w:p w:rsidR="00AA7DA4" w:rsidRDefault="00AA7DA4" w:rsidP="006E3629">
      <w:pPr>
        <w:tabs>
          <w:tab w:val="left" w:pos="1035"/>
        </w:tabs>
        <w:spacing w:after="0" w:line="360" w:lineRule="auto"/>
        <w:ind w:left="-567" w:firstLine="709"/>
        <w:jc w:val="both"/>
        <w:rPr>
          <w:rFonts w:ascii="Times New Roman" w:hAnsi="Times New Roman"/>
          <w:sz w:val="28"/>
          <w:szCs w:val="28"/>
        </w:rPr>
      </w:pPr>
      <w:proofErr w:type="spellStart"/>
      <w:r>
        <w:rPr>
          <w:rFonts w:ascii="Times New Roman" w:hAnsi="Times New Roman"/>
          <w:sz w:val="28"/>
          <w:szCs w:val="28"/>
        </w:rPr>
        <w:t>Джерело</w:t>
      </w:r>
      <w:proofErr w:type="spellEnd"/>
      <w:r>
        <w:rPr>
          <w:rFonts w:ascii="Times New Roman" w:hAnsi="Times New Roman"/>
          <w:sz w:val="28"/>
          <w:szCs w:val="28"/>
        </w:rPr>
        <w:t xml:space="preserve">: </w:t>
      </w:r>
      <w:proofErr w:type="spellStart"/>
      <w:r>
        <w:rPr>
          <w:rFonts w:ascii="Times New Roman" w:hAnsi="Times New Roman"/>
          <w:sz w:val="28"/>
          <w:szCs w:val="28"/>
        </w:rPr>
        <w:t>розроблено</w:t>
      </w:r>
      <w:proofErr w:type="spellEnd"/>
      <w:r>
        <w:rPr>
          <w:rFonts w:ascii="Times New Roman" w:hAnsi="Times New Roman"/>
          <w:sz w:val="28"/>
          <w:szCs w:val="28"/>
        </w:rPr>
        <w:t xml:space="preserve"> автором</w:t>
      </w:r>
    </w:p>
    <w:p w:rsidR="00B2175D" w:rsidRPr="002959D8" w:rsidRDefault="00925E87" w:rsidP="002959D8">
      <w:pPr>
        <w:spacing w:after="0" w:line="360" w:lineRule="auto"/>
        <w:ind w:left="-567" w:right="-1" w:firstLine="709"/>
        <w:jc w:val="both"/>
        <w:rPr>
          <w:rFonts w:ascii="Times New Roman" w:hAnsi="Times New Roman"/>
          <w:sz w:val="28"/>
          <w:szCs w:val="28"/>
        </w:rPr>
      </w:pPr>
      <w:r w:rsidRPr="006E3629">
        <w:rPr>
          <w:rFonts w:ascii="Times New Roman" w:hAnsi="Times New Roman"/>
          <w:b/>
          <w:sz w:val="28"/>
          <w:szCs w:val="28"/>
          <w:lang w:val="uk-UA"/>
        </w:rPr>
        <w:t>Висновки:</w:t>
      </w:r>
      <w:r w:rsidR="006E3629" w:rsidRPr="006E3629">
        <w:rPr>
          <w:rFonts w:ascii="Times New Roman" w:hAnsi="Times New Roman"/>
          <w:sz w:val="28"/>
          <w:szCs w:val="28"/>
        </w:rPr>
        <w:t xml:space="preserve"> </w:t>
      </w:r>
      <w:r w:rsidR="006E3629">
        <w:rPr>
          <w:rFonts w:ascii="Times New Roman" w:hAnsi="Times New Roman"/>
          <w:sz w:val="28"/>
          <w:szCs w:val="28"/>
          <w:lang w:val="uk-UA"/>
        </w:rPr>
        <w:t xml:space="preserve">Одним із напрямів </w:t>
      </w:r>
      <w:proofErr w:type="spellStart"/>
      <w:r w:rsidR="006E3629" w:rsidRPr="00B70FA9">
        <w:rPr>
          <w:rFonts w:ascii="Times New Roman" w:hAnsi="Times New Roman"/>
          <w:sz w:val="28"/>
          <w:szCs w:val="28"/>
        </w:rPr>
        <w:t>зміцнення</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фінансової</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безпеки</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держави</w:t>
      </w:r>
      <w:proofErr w:type="spellEnd"/>
      <w:r w:rsidR="006E3629" w:rsidRPr="00B70FA9">
        <w:rPr>
          <w:rFonts w:ascii="Times New Roman" w:hAnsi="Times New Roman"/>
          <w:sz w:val="28"/>
          <w:szCs w:val="28"/>
        </w:rPr>
        <w:t xml:space="preserve"> </w:t>
      </w:r>
      <w:r w:rsidR="006E3629">
        <w:rPr>
          <w:rFonts w:ascii="Times New Roman" w:hAnsi="Times New Roman"/>
          <w:sz w:val="28"/>
          <w:szCs w:val="28"/>
          <w:lang w:val="uk-UA"/>
        </w:rPr>
        <w:t xml:space="preserve">є система заходів із </w:t>
      </w:r>
      <w:proofErr w:type="spellStart"/>
      <w:r w:rsidR="006E3629" w:rsidRPr="00B70FA9">
        <w:rPr>
          <w:rFonts w:ascii="Times New Roman" w:hAnsi="Times New Roman"/>
          <w:sz w:val="28"/>
          <w:szCs w:val="28"/>
        </w:rPr>
        <w:t>підвищення</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ефективності</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управління</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податковим</w:t>
      </w:r>
      <w:proofErr w:type="spellEnd"/>
      <w:r w:rsidR="006E3629" w:rsidRPr="00B70FA9">
        <w:rPr>
          <w:rFonts w:ascii="Times New Roman" w:hAnsi="Times New Roman"/>
          <w:sz w:val="28"/>
          <w:szCs w:val="28"/>
        </w:rPr>
        <w:t xml:space="preserve"> боргом, </w:t>
      </w:r>
      <w:proofErr w:type="spellStart"/>
      <w:r w:rsidR="006E3629" w:rsidRPr="00B70FA9">
        <w:rPr>
          <w:rFonts w:ascii="Times New Roman" w:hAnsi="Times New Roman"/>
          <w:sz w:val="28"/>
          <w:szCs w:val="28"/>
        </w:rPr>
        <w:t>що</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втілені</w:t>
      </w:r>
      <w:proofErr w:type="spellEnd"/>
      <w:r w:rsidR="006E3629" w:rsidRPr="00B70FA9">
        <w:rPr>
          <w:rFonts w:ascii="Times New Roman" w:hAnsi="Times New Roman"/>
          <w:sz w:val="28"/>
          <w:szCs w:val="28"/>
        </w:rPr>
        <w:t xml:space="preserve"> у </w:t>
      </w:r>
      <w:proofErr w:type="spellStart"/>
      <w:r w:rsidR="006E3629" w:rsidRPr="00B70FA9">
        <w:rPr>
          <w:rFonts w:ascii="Times New Roman" w:hAnsi="Times New Roman"/>
          <w:sz w:val="28"/>
          <w:szCs w:val="28"/>
        </w:rPr>
        <w:t>Програмі</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нейтралізації</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податково-боргових</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ризиків</w:t>
      </w:r>
      <w:proofErr w:type="spellEnd"/>
      <w:r w:rsidR="006E3629" w:rsidRPr="00B70FA9">
        <w:rPr>
          <w:rFonts w:ascii="Times New Roman" w:hAnsi="Times New Roman"/>
          <w:sz w:val="28"/>
          <w:szCs w:val="28"/>
        </w:rPr>
        <w:t>.</w:t>
      </w:r>
      <w:r w:rsidR="006E3629" w:rsidRPr="00B70FA9">
        <w:rPr>
          <w:rFonts w:ascii="Times New Roman" w:hAnsi="Times New Roman"/>
          <w:bCs/>
          <w:sz w:val="28"/>
          <w:szCs w:val="28"/>
        </w:rPr>
        <w:t xml:space="preserve"> </w:t>
      </w:r>
      <w:proofErr w:type="spellStart"/>
      <w:r w:rsidR="006E3629">
        <w:rPr>
          <w:rFonts w:ascii="Times New Roman" w:hAnsi="Times New Roman"/>
          <w:bCs/>
          <w:sz w:val="28"/>
          <w:szCs w:val="28"/>
        </w:rPr>
        <w:t>Завдання</w:t>
      </w:r>
      <w:proofErr w:type="spellEnd"/>
      <w:r w:rsidR="006E3629">
        <w:rPr>
          <w:rFonts w:ascii="Times New Roman" w:hAnsi="Times New Roman"/>
          <w:bCs/>
          <w:sz w:val="28"/>
          <w:szCs w:val="28"/>
        </w:rPr>
        <w:t xml:space="preserve"> </w:t>
      </w:r>
      <w:proofErr w:type="spellStart"/>
      <w:r w:rsidR="006E3629">
        <w:rPr>
          <w:rFonts w:ascii="Times New Roman" w:hAnsi="Times New Roman"/>
          <w:bCs/>
          <w:sz w:val="28"/>
          <w:szCs w:val="28"/>
        </w:rPr>
        <w:t>Програми</w:t>
      </w:r>
      <w:proofErr w:type="spellEnd"/>
      <w:r w:rsidR="006E3629">
        <w:rPr>
          <w:rFonts w:ascii="Times New Roman" w:hAnsi="Times New Roman"/>
          <w:bCs/>
          <w:sz w:val="28"/>
          <w:szCs w:val="28"/>
        </w:rPr>
        <w:t xml:space="preserve"> </w:t>
      </w:r>
      <w:proofErr w:type="spellStart"/>
      <w:r w:rsidR="006E3629">
        <w:rPr>
          <w:rFonts w:ascii="Times New Roman" w:hAnsi="Times New Roman"/>
          <w:bCs/>
          <w:sz w:val="28"/>
          <w:szCs w:val="28"/>
        </w:rPr>
        <w:t>полягають</w:t>
      </w:r>
      <w:proofErr w:type="spellEnd"/>
      <w:r w:rsidR="006E3629">
        <w:rPr>
          <w:rFonts w:ascii="Times New Roman" w:hAnsi="Times New Roman"/>
          <w:bCs/>
          <w:sz w:val="28"/>
          <w:szCs w:val="28"/>
        </w:rPr>
        <w:t xml:space="preserve"> у</w:t>
      </w:r>
      <w:r w:rsidR="006E3629">
        <w:rPr>
          <w:rFonts w:ascii="Times New Roman" w:hAnsi="Times New Roman"/>
          <w:sz w:val="28"/>
          <w:szCs w:val="28"/>
        </w:rPr>
        <w:t xml:space="preserve"> </w:t>
      </w:r>
      <w:proofErr w:type="spellStart"/>
      <w:r w:rsidR="006E3629">
        <w:rPr>
          <w:rFonts w:ascii="Times New Roman" w:hAnsi="Times New Roman"/>
          <w:sz w:val="28"/>
          <w:szCs w:val="28"/>
        </w:rPr>
        <w:t>забезпеченні</w:t>
      </w:r>
      <w:proofErr w:type="spellEnd"/>
      <w:r w:rsidR="006E3629" w:rsidRPr="00B70FA9">
        <w:rPr>
          <w:rFonts w:ascii="Times New Roman" w:hAnsi="Times New Roman"/>
          <w:sz w:val="28"/>
          <w:szCs w:val="28"/>
        </w:rPr>
        <w:t xml:space="preserve"> стану </w:t>
      </w:r>
      <w:proofErr w:type="spellStart"/>
      <w:r w:rsidR="006E3629" w:rsidRPr="00B70FA9">
        <w:rPr>
          <w:rFonts w:ascii="Times New Roman" w:hAnsi="Times New Roman"/>
          <w:sz w:val="28"/>
          <w:szCs w:val="28"/>
        </w:rPr>
        <w:t>платіжної</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дисципліни</w:t>
      </w:r>
      <w:proofErr w:type="spellEnd"/>
      <w:r w:rsidR="006E3629" w:rsidRPr="00B70FA9">
        <w:rPr>
          <w:rFonts w:ascii="Times New Roman" w:hAnsi="Times New Roman"/>
          <w:sz w:val="28"/>
          <w:szCs w:val="28"/>
        </w:rPr>
        <w:t xml:space="preserve"> </w:t>
      </w:r>
      <w:r w:rsidR="006E3629">
        <w:rPr>
          <w:rFonts w:ascii="Times New Roman" w:hAnsi="Times New Roman"/>
          <w:sz w:val="28"/>
          <w:szCs w:val="28"/>
          <w:lang w:val="uk-UA"/>
        </w:rPr>
        <w:t>платників податків</w:t>
      </w:r>
      <w:r w:rsidR="006E3629" w:rsidRPr="00B70FA9">
        <w:rPr>
          <w:rFonts w:ascii="Times New Roman" w:hAnsi="Times New Roman"/>
          <w:sz w:val="28"/>
          <w:szCs w:val="28"/>
        </w:rPr>
        <w:t>;</w:t>
      </w:r>
      <w:r w:rsidR="006E3629">
        <w:rPr>
          <w:rFonts w:ascii="Times New Roman" w:hAnsi="Times New Roman"/>
          <w:sz w:val="28"/>
          <w:szCs w:val="28"/>
        </w:rPr>
        <w:t xml:space="preserve"> </w:t>
      </w:r>
      <w:proofErr w:type="spellStart"/>
      <w:r w:rsidR="006E3629">
        <w:rPr>
          <w:rFonts w:ascii="Times New Roman" w:hAnsi="Times New Roman"/>
          <w:sz w:val="28"/>
          <w:szCs w:val="28"/>
        </w:rPr>
        <w:lastRenderedPageBreak/>
        <w:t>досягненні</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зменшення</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кількості</w:t>
      </w:r>
      <w:proofErr w:type="spellEnd"/>
      <w:r w:rsidR="006E3629" w:rsidRPr="00B70FA9">
        <w:rPr>
          <w:rFonts w:ascii="Times New Roman" w:hAnsi="Times New Roman"/>
          <w:sz w:val="28"/>
          <w:szCs w:val="28"/>
        </w:rPr>
        <w:t xml:space="preserve"> та </w:t>
      </w:r>
      <w:proofErr w:type="spellStart"/>
      <w:r w:rsidR="006E3629" w:rsidRPr="00B70FA9">
        <w:rPr>
          <w:rFonts w:ascii="Times New Roman" w:hAnsi="Times New Roman"/>
          <w:sz w:val="28"/>
          <w:szCs w:val="28"/>
        </w:rPr>
        <w:t>обсягів</w:t>
      </w:r>
      <w:proofErr w:type="spellEnd"/>
      <w:r w:rsidR="006E3629" w:rsidRPr="00B70FA9">
        <w:rPr>
          <w:rFonts w:ascii="Times New Roman" w:hAnsi="Times New Roman"/>
          <w:sz w:val="28"/>
          <w:szCs w:val="28"/>
        </w:rPr>
        <w:t xml:space="preserve"> </w:t>
      </w:r>
      <w:proofErr w:type="spellStart"/>
      <w:r w:rsidR="006E3629">
        <w:rPr>
          <w:rFonts w:ascii="Times New Roman" w:hAnsi="Times New Roman"/>
          <w:sz w:val="28"/>
          <w:szCs w:val="28"/>
        </w:rPr>
        <w:t>податкових</w:t>
      </w:r>
      <w:proofErr w:type="spellEnd"/>
      <w:r w:rsidR="006E3629">
        <w:rPr>
          <w:rFonts w:ascii="Times New Roman" w:hAnsi="Times New Roman"/>
          <w:sz w:val="28"/>
          <w:szCs w:val="28"/>
        </w:rPr>
        <w:t xml:space="preserve"> </w:t>
      </w:r>
      <w:proofErr w:type="spellStart"/>
      <w:r w:rsidR="006E3629">
        <w:rPr>
          <w:rFonts w:ascii="Times New Roman" w:hAnsi="Times New Roman"/>
          <w:sz w:val="28"/>
          <w:szCs w:val="28"/>
        </w:rPr>
        <w:t>правопорушень</w:t>
      </w:r>
      <w:proofErr w:type="spellEnd"/>
      <w:r w:rsidR="006E3629" w:rsidRPr="00B70FA9">
        <w:rPr>
          <w:rFonts w:ascii="Times New Roman" w:hAnsi="Times New Roman"/>
          <w:sz w:val="28"/>
          <w:szCs w:val="28"/>
        </w:rPr>
        <w:t>;</w:t>
      </w:r>
      <w:r w:rsidR="006E3629">
        <w:rPr>
          <w:rFonts w:ascii="Times New Roman" w:hAnsi="Times New Roman"/>
          <w:sz w:val="28"/>
          <w:szCs w:val="28"/>
        </w:rPr>
        <w:t xml:space="preserve"> </w:t>
      </w:r>
      <w:proofErr w:type="spellStart"/>
      <w:r w:rsidR="006E3629">
        <w:rPr>
          <w:rFonts w:ascii="Times New Roman" w:hAnsi="Times New Roman"/>
          <w:sz w:val="28"/>
          <w:szCs w:val="28"/>
        </w:rPr>
        <w:t>розробці</w:t>
      </w:r>
      <w:proofErr w:type="spellEnd"/>
      <w:r w:rsidR="006E3629">
        <w:rPr>
          <w:rFonts w:ascii="Times New Roman" w:hAnsi="Times New Roman"/>
          <w:sz w:val="28"/>
          <w:szCs w:val="28"/>
        </w:rPr>
        <w:t xml:space="preserve"> </w:t>
      </w:r>
      <w:proofErr w:type="spellStart"/>
      <w:r w:rsidR="006E3629">
        <w:rPr>
          <w:rFonts w:ascii="Times New Roman" w:hAnsi="Times New Roman"/>
          <w:sz w:val="28"/>
          <w:szCs w:val="28"/>
        </w:rPr>
        <w:t>пропозицій</w:t>
      </w:r>
      <w:proofErr w:type="spellEnd"/>
      <w:r w:rsidR="006E3629">
        <w:rPr>
          <w:rFonts w:ascii="Times New Roman" w:hAnsi="Times New Roman"/>
          <w:sz w:val="28"/>
          <w:szCs w:val="28"/>
        </w:rPr>
        <w:t xml:space="preserve"> </w:t>
      </w:r>
      <w:proofErr w:type="spellStart"/>
      <w:r w:rsidR="006E3629">
        <w:rPr>
          <w:rFonts w:ascii="Times New Roman" w:hAnsi="Times New Roman"/>
          <w:sz w:val="28"/>
          <w:szCs w:val="28"/>
        </w:rPr>
        <w:t>щодо</w:t>
      </w:r>
      <w:proofErr w:type="spellEnd"/>
      <w:r w:rsidR="006E3629">
        <w:rPr>
          <w:rFonts w:ascii="Times New Roman" w:hAnsi="Times New Roman"/>
          <w:sz w:val="28"/>
          <w:szCs w:val="28"/>
        </w:rPr>
        <w:t xml:space="preserve"> </w:t>
      </w:r>
      <w:proofErr w:type="spellStart"/>
      <w:r w:rsidR="006E3629" w:rsidRPr="00B70FA9">
        <w:rPr>
          <w:rFonts w:ascii="Times New Roman" w:hAnsi="Times New Roman"/>
          <w:sz w:val="28"/>
          <w:szCs w:val="28"/>
        </w:rPr>
        <w:t>за</w:t>
      </w:r>
      <w:r w:rsidR="006E3629">
        <w:rPr>
          <w:rFonts w:ascii="Times New Roman" w:hAnsi="Times New Roman"/>
          <w:sz w:val="28"/>
          <w:szCs w:val="28"/>
        </w:rPr>
        <w:t>безпечення</w:t>
      </w:r>
      <w:proofErr w:type="spellEnd"/>
      <w:r w:rsidR="006E3629">
        <w:rPr>
          <w:rFonts w:ascii="Times New Roman" w:hAnsi="Times New Roman"/>
          <w:sz w:val="28"/>
          <w:szCs w:val="28"/>
        </w:rPr>
        <w:t xml:space="preserve"> </w:t>
      </w:r>
      <w:proofErr w:type="spellStart"/>
      <w:r w:rsidR="006E3629">
        <w:rPr>
          <w:rFonts w:ascii="Times New Roman" w:hAnsi="Times New Roman"/>
          <w:sz w:val="28"/>
          <w:szCs w:val="28"/>
        </w:rPr>
        <w:t>відшкодування</w:t>
      </w:r>
      <w:proofErr w:type="spellEnd"/>
      <w:r w:rsidR="006E3629">
        <w:rPr>
          <w:rFonts w:ascii="Times New Roman" w:hAnsi="Times New Roman"/>
          <w:sz w:val="28"/>
          <w:szCs w:val="28"/>
        </w:rPr>
        <w:t xml:space="preserve"> держав</w:t>
      </w:r>
      <w:r w:rsidR="006E3629">
        <w:rPr>
          <w:rFonts w:ascii="Times New Roman" w:hAnsi="Times New Roman"/>
          <w:sz w:val="28"/>
          <w:szCs w:val="28"/>
          <w:lang w:val="uk-UA"/>
        </w:rPr>
        <w:t>них</w:t>
      </w:r>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втрат</w:t>
      </w:r>
      <w:proofErr w:type="spellEnd"/>
      <w:r w:rsidR="006E3629" w:rsidRPr="00B70FA9">
        <w:rPr>
          <w:rFonts w:ascii="Times New Roman" w:hAnsi="Times New Roman"/>
          <w:sz w:val="28"/>
          <w:szCs w:val="28"/>
        </w:rPr>
        <w:t xml:space="preserve"> </w:t>
      </w:r>
      <w:r w:rsidR="006E3629">
        <w:rPr>
          <w:rFonts w:ascii="Times New Roman" w:hAnsi="Times New Roman"/>
          <w:sz w:val="28"/>
          <w:szCs w:val="28"/>
        </w:rPr>
        <w:t xml:space="preserve">та </w:t>
      </w:r>
      <w:proofErr w:type="spellStart"/>
      <w:r w:rsidR="006E3629">
        <w:rPr>
          <w:rFonts w:ascii="Times New Roman" w:hAnsi="Times New Roman"/>
          <w:sz w:val="28"/>
          <w:szCs w:val="28"/>
        </w:rPr>
        <w:t>удосконаленні</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механізму</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застосування</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різних</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видів</w:t>
      </w:r>
      <w:proofErr w:type="spellEnd"/>
      <w:r w:rsidR="006E3629" w:rsidRPr="00B70FA9">
        <w:rPr>
          <w:rFonts w:ascii="Times New Roman" w:hAnsi="Times New Roman"/>
          <w:sz w:val="28"/>
          <w:szCs w:val="28"/>
        </w:rPr>
        <w:t xml:space="preserve"> </w:t>
      </w:r>
      <w:proofErr w:type="spellStart"/>
      <w:proofErr w:type="gramStart"/>
      <w:r w:rsidR="006E3629" w:rsidRPr="00B70FA9">
        <w:rPr>
          <w:rFonts w:ascii="Times New Roman" w:hAnsi="Times New Roman"/>
          <w:sz w:val="28"/>
          <w:szCs w:val="28"/>
        </w:rPr>
        <w:t>в</w:t>
      </w:r>
      <w:proofErr w:type="gramEnd"/>
      <w:r w:rsidR="006E3629" w:rsidRPr="00B70FA9">
        <w:rPr>
          <w:rFonts w:ascii="Times New Roman" w:hAnsi="Times New Roman"/>
          <w:sz w:val="28"/>
          <w:szCs w:val="28"/>
        </w:rPr>
        <w:t>ідповідальності</w:t>
      </w:r>
      <w:proofErr w:type="spellEnd"/>
      <w:r w:rsidR="006E3629" w:rsidRPr="00B70FA9">
        <w:rPr>
          <w:rFonts w:ascii="Times New Roman" w:hAnsi="Times New Roman"/>
          <w:sz w:val="28"/>
          <w:szCs w:val="28"/>
        </w:rPr>
        <w:t>.</w:t>
      </w:r>
      <w:r w:rsidR="006E3629">
        <w:rPr>
          <w:rFonts w:ascii="Times New Roman" w:hAnsi="Times New Roman"/>
          <w:sz w:val="28"/>
          <w:szCs w:val="28"/>
        </w:rPr>
        <w:t xml:space="preserve"> </w:t>
      </w:r>
      <w:proofErr w:type="spellStart"/>
      <w:r w:rsidR="006E3629">
        <w:rPr>
          <w:rFonts w:ascii="Times New Roman" w:hAnsi="Times New Roman"/>
          <w:sz w:val="28"/>
          <w:szCs w:val="28"/>
        </w:rPr>
        <w:t>Розроблен</w:t>
      </w:r>
      <w:proofErr w:type="spellEnd"/>
      <w:r w:rsidR="006E3629">
        <w:rPr>
          <w:rFonts w:ascii="Times New Roman" w:hAnsi="Times New Roman"/>
          <w:sz w:val="28"/>
          <w:szCs w:val="28"/>
          <w:lang w:val="uk-UA"/>
        </w:rPr>
        <w:t>а</w:t>
      </w:r>
      <w:r w:rsidR="006E3629">
        <w:rPr>
          <w:rFonts w:ascii="Times New Roman" w:hAnsi="Times New Roman"/>
          <w:sz w:val="28"/>
          <w:szCs w:val="28"/>
        </w:rPr>
        <w:t xml:space="preserve"> систем</w:t>
      </w:r>
      <w:r w:rsidR="006E3629">
        <w:rPr>
          <w:rFonts w:ascii="Times New Roman" w:hAnsi="Times New Roman"/>
          <w:sz w:val="28"/>
          <w:szCs w:val="28"/>
          <w:lang w:val="uk-UA"/>
        </w:rPr>
        <w:t>а</w:t>
      </w:r>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заходів</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ґрунтується</w:t>
      </w:r>
      <w:proofErr w:type="spellEnd"/>
      <w:r w:rsidR="006E3629" w:rsidRPr="00B70FA9">
        <w:rPr>
          <w:rFonts w:ascii="Times New Roman" w:hAnsi="Times New Roman"/>
          <w:sz w:val="28"/>
          <w:szCs w:val="28"/>
        </w:rPr>
        <w:t xml:space="preserve"> на </w:t>
      </w:r>
      <w:proofErr w:type="spellStart"/>
      <w:r w:rsidR="006E3629" w:rsidRPr="00B70FA9">
        <w:rPr>
          <w:rFonts w:ascii="Times New Roman" w:hAnsi="Times New Roman"/>
          <w:sz w:val="28"/>
          <w:szCs w:val="28"/>
        </w:rPr>
        <w:t>прийнятті</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управлінських</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рішень</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із</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урахуванням</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етапу</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життєвого</w:t>
      </w:r>
      <w:proofErr w:type="spellEnd"/>
      <w:r w:rsidR="006E3629" w:rsidRPr="00B70FA9">
        <w:rPr>
          <w:rFonts w:ascii="Times New Roman" w:hAnsi="Times New Roman"/>
          <w:sz w:val="28"/>
          <w:szCs w:val="28"/>
        </w:rPr>
        <w:t xml:space="preserve"> циклу </w:t>
      </w:r>
      <w:proofErr w:type="spellStart"/>
      <w:r w:rsidR="006E3629" w:rsidRPr="00B70FA9">
        <w:rPr>
          <w:rFonts w:ascii="Times New Roman" w:hAnsi="Times New Roman"/>
          <w:sz w:val="28"/>
          <w:szCs w:val="28"/>
        </w:rPr>
        <w:t>податково-боргових</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ризиків</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що</w:t>
      </w:r>
      <w:proofErr w:type="spellEnd"/>
      <w:r w:rsidR="006E3629" w:rsidRPr="00B70FA9">
        <w:rPr>
          <w:rFonts w:ascii="Times New Roman" w:hAnsi="Times New Roman"/>
          <w:sz w:val="28"/>
          <w:szCs w:val="28"/>
        </w:rPr>
        <w:t xml:space="preserve"> дозволить </w:t>
      </w:r>
      <w:proofErr w:type="spellStart"/>
      <w:r w:rsidR="006E3629" w:rsidRPr="00B70FA9">
        <w:rPr>
          <w:rFonts w:ascii="Times New Roman" w:hAnsi="Times New Roman"/>
          <w:sz w:val="28"/>
          <w:szCs w:val="28"/>
        </w:rPr>
        <w:t>підвищити</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ефективність</w:t>
      </w:r>
      <w:proofErr w:type="spellEnd"/>
      <w:r w:rsidR="006E3629" w:rsidRPr="00B70FA9">
        <w:rPr>
          <w:rFonts w:ascii="Times New Roman" w:hAnsi="Times New Roman"/>
          <w:sz w:val="28"/>
          <w:szCs w:val="28"/>
        </w:rPr>
        <w:t xml:space="preserve"> таких </w:t>
      </w:r>
      <w:proofErr w:type="spellStart"/>
      <w:r w:rsidR="006E3629" w:rsidRPr="00B70FA9">
        <w:rPr>
          <w:rFonts w:ascii="Times New Roman" w:hAnsi="Times New Roman"/>
          <w:sz w:val="28"/>
          <w:szCs w:val="28"/>
        </w:rPr>
        <w:t>заходів</w:t>
      </w:r>
      <w:proofErr w:type="spellEnd"/>
      <w:r w:rsidR="006E3629" w:rsidRPr="00B70FA9">
        <w:rPr>
          <w:rFonts w:ascii="Times New Roman" w:hAnsi="Times New Roman"/>
          <w:sz w:val="28"/>
          <w:szCs w:val="28"/>
        </w:rPr>
        <w:t xml:space="preserve"> як для </w:t>
      </w:r>
      <w:proofErr w:type="spellStart"/>
      <w:r w:rsidR="006E3629" w:rsidRPr="00B70FA9">
        <w:rPr>
          <w:rFonts w:ascii="Times New Roman" w:hAnsi="Times New Roman"/>
          <w:sz w:val="28"/>
          <w:szCs w:val="28"/>
        </w:rPr>
        <w:t>держави</w:t>
      </w:r>
      <w:proofErr w:type="spellEnd"/>
      <w:r w:rsidR="006E3629" w:rsidRPr="00B70FA9">
        <w:rPr>
          <w:rFonts w:ascii="Times New Roman" w:hAnsi="Times New Roman"/>
          <w:sz w:val="28"/>
          <w:szCs w:val="28"/>
        </w:rPr>
        <w:t xml:space="preserve">, так </w:t>
      </w:r>
      <w:proofErr w:type="spellStart"/>
      <w:r w:rsidR="006E3629" w:rsidRPr="00B70FA9">
        <w:rPr>
          <w:rFonts w:ascii="Times New Roman" w:hAnsi="Times New Roman"/>
          <w:sz w:val="28"/>
          <w:szCs w:val="28"/>
        </w:rPr>
        <w:t>і</w:t>
      </w:r>
      <w:proofErr w:type="spellEnd"/>
      <w:r w:rsidR="006E3629" w:rsidRPr="00B70FA9">
        <w:rPr>
          <w:rFonts w:ascii="Times New Roman" w:hAnsi="Times New Roman"/>
          <w:sz w:val="28"/>
          <w:szCs w:val="28"/>
        </w:rPr>
        <w:t xml:space="preserve"> для </w:t>
      </w:r>
      <w:proofErr w:type="spellStart"/>
      <w:r w:rsidR="006E3629" w:rsidRPr="00B70FA9">
        <w:rPr>
          <w:rFonts w:ascii="Times New Roman" w:hAnsi="Times New Roman"/>
          <w:sz w:val="28"/>
          <w:szCs w:val="28"/>
        </w:rPr>
        <w:t>платника</w:t>
      </w:r>
      <w:proofErr w:type="spellEnd"/>
      <w:r w:rsidR="006E3629" w:rsidRPr="00B70FA9">
        <w:rPr>
          <w:rFonts w:ascii="Times New Roman" w:hAnsi="Times New Roman"/>
          <w:sz w:val="28"/>
          <w:szCs w:val="28"/>
        </w:rPr>
        <w:t xml:space="preserve"> </w:t>
      </w:r>
      <w:proofErr w:type="spellStart"/>
      <w:r w:rsidR="006E3629" w:rsidRPr="00B70FA9">
        <w:rPr>
          <w:rFonts w:ascii="Times New Roman" w:hAnsi="Times New Roman"/>
          <w:sz w:val="28"/>
          <w:szCs w:val="28"/>
        </w:rPr>
        <w:t>податків</w:t>
      </w:r>
      <w:proofErr w:type="spellEnd"/>
      <w:r w:rsidR="006E3629" w:rsidRPr="00B70FA9">
        <w:rPr>
          <w:rFonts w:ascii="Times New Roman" w:hAnsi="Times New Roman"/>
          <w:sz w:val="28"/>
          <w:szCs w:val="28"/>
        </w:rPr>
        <w:t>.</w:t>
      </w:r>
    </w:p>
    <w:p w:rsidR="004D5DB6" w:rsidRPr="006E3629" w:rsidRDefault="00FD306A" w:rsidP="00CD7B82">
      <w:pPr>
        <w:spacing w:after="0" w:line="360" w:lineRule="auto"/>
        <w:ind w:left="-567" w:firstLine="709"/>
        <w:jc w:val="both"/>
        <w:rPr>
          <w:rFonts w:ascii="Times New Roman" w:hAnsi="Times New Roman"/>
          <w:b/>
          <w:sz w:val="28"/>
          <w:szCs w:val="28"/>
          <w:lang w:val="uk-UA"/>
        </w:rPr>
      </w:pPr>
      <w:r w:rsidRPr="006E3629">
        <w:rPr>
          <w:rFonts w:ascii="Times New Roman" w:hAnsi="Times New Roman"/>
          <w:b/>
          <w:sz w:val="28"/>
          <w:szCs w:val="28"/>
          <w:lang w:val="uk-UA"/>
        </w:rPr>
        <w:t>Література:</w:t>
      </w:r>
    </w:p>
    <w:p w:rsidR="00324AE0" w:rsidRPr="003C59A0" w:rsidRDefault="00324AE0" w:rsidP="00CD7B82">
      <w:pPr>
        <w:pStyle w:val="NormalWeb"/>
        <w:numPr>
          <w:ilvl w:val="0"/>
          <w:numId w:val="8"/>
        </w:numPr>
        <w:tabs>
          <w:tab w:val="left" w:pos="993"/>
        </w:tabs>
        <w:spacing w:before="0" w:beforeAutospacing="0" w:after="0" w:afterAutospacing="0" w:line="360" w:lineRule="auto"/>
        <w:ind w:left="-567" w:firstLine="709"/>
        <w:jc w:val="both"/>
        <w:rPr>
          <w:color w:val="000000" w:themeColor="text1"/>
          <w:sz w:val="28"/>
          <w:szCs w:val="28"/>
        </w:rPr>
      </w:pPr>
      <w:bookmarkStart w:id="0" w:name="_Ref449059581"/>
      <w:proofErr w:type="spellStart"/>
      <w:r w:rsidRPr="00B9279A">
        <w:rPr>
          <w:color w:val="000000" w:themeColor="text1"/>
          <w:sz w:val="28"/>
          <w:szCs w:val="28"/>
        </w:rPr>
        <w:t>Висновки</w:t>
      </w:r>
      <w:proofErr w:type="spellEnd"/>
      <w:r w:rsidRPr="00B9279A">
        <w:rPr>
          <w:color w:val="000000" w:themeColor="text1"/>
          <w:sz w:val="28"/>
          <w:szCs w:val="28"/>
        </w:rPr>
        <w:t xml:space="preserve"> </w:t>
      </w:r>
      <w:proofErr w:type="spellStart"/>
      <w:r w:rsidRPr="00B9279A">
        <w:rPr>
          <w:color w:val="000000" w:themeColor="text1"/>
          <w:sz w:val="28"/>
          <w:szCs w:val="28"/>
        </w:rPr>
        <w:t>щодо</w:t>
      </w:r>
      <w:proofErr w:type="spellEnd"/>
      <w:r w:rsidRPr="00B9279A">
        <w:rPr>
          <w:color w:val="000000" w:themeColor="text1"/>
          <w:sz w:val="28"/>
          <w:szCs w:val="28"/>
        </w:rPr>
        <w:t xml:space="preserve"> </w:t>
      </w:r>
      <w:proofErr w:type="spellStart"/>
      <w:r w:rsidRPr="00B9279A">
        <w:rPr>
          <w:color w:val="000000" w:themeColor="text1"/>
          <w:sz w:val="28"/>
          <w:szCs w:val="28"/>
        </w:rPr>
        <w:t>Виконання</w:t>
      </w:r>
      <w:proofErr w:type="spellEnd"/>
      <w:r w:rsidRPr="00B9279A">
        <w:rPr>
          <w:color w:val="000000" w:themeColor="text1"/>
          <w:sz w:val="28"/>
          <w:szCs w:val="28"/>
        </w:rPr>
        <w:t xml:space="preserve"> </w:t>
      </w:r>
      <w:proofErr w:type="gramStart"/>
      <w:r w:rsidRPr="00B9279A">
        <w:rPr>
          <w:color w:val="000000" w:themeColor="text1"/>
          <w:sz w:val="28"/>
          <w:szCs w:val="28"/>
        </w:rPr>
        <w:t>державн</w:t>
      </w:r>
      <w:r>
        <w:rPr>
          <w:color w:val="000000" w:themeColor="text1"/>
          <w:sz w:val="28"/>
          <w:szCs w:val="28"/>
        </w:rPr>
        <w:t>ого</w:t>
      </w:r>
      <w:proofErr w:type="gramEnd"/>
      <w:r>
        <w:rPr>
          <w:color w:val="000000" w:themeColor="text1"/>
          <w:sz w:val="28"/>
          <w:szCs w:val="28"/>
        </w:rPr>
        <w:t xml:space="preserve"> бюджету </w:t>
      </w:r>
      <w:proofErr w:type="spellStart"/>
      <w:r>
        <w:rPr>
          <w:color w:val="000000" w:themeColor="text1"/>
          <w:sz w:val="28"/>
          <w:szCs w:val="28"/>
        </w:rPr>
        <w:t>України</w:t>
      </w:r>
      <w:proofErr w:type="spellEnd"/>
      <w:r>
        <w:rPr>
          <w:color w:val="000000" w:themeColor="text1"/>
          <w:sz w:val="28"/>
          <w:szCs w:val="28"/>
        </w:rPr>
        <w:t xml:space="preserve"> за 2005-201</w:t>
      </w:r>
      <w:r>
        <w:rPr>
          <w:color w:val="000000" w:themeColor="text1"/>
          <w:sz w:val="28"/>
          <w:szCs w:val="28"/>
          <w:lang w:val="uk-UA"/>
        </w:rPr>
        <w:t>5</w:t>
      </w:r>
      <w:r w:rsidRPr="00B9279A">
        <w:rPr>
          <w:color w:val="000000" w:themeColor="text1"/>
          <w:sz w:val="28"/>
          <w:szCs w:val="28"/>
        </w:rPr>
        <w:t xml:space="preserve"> </w:t>
      </w:r>
      <w:proofErr w:type="spellStart"/>
      <w:r w:rsidRPr="00B9279A">
        <w:rPr>
          <w:color w:val="000000" w:themeColor="text1"/>
          <w:sz w:val="28"/>
          <w:szCs w:val="28"/>
        </w:rPr>
        <w:t>рр</w:t>
      </w:r>
      <w:proofErr w:type="spellEnd"/>
      <w:r w:rsidRPr="00B9279A">
        <w:rPr>
          <w:color w:val="000000" w:themeColor="text1"/>
          <w:sz w:val="28"/>
          <w:szCs w:val="28"/>
        </w:rPr>
        <w:t xml:space="preserve">. // </w:t>
      </w:r>
      <w:proofErr w:type="spellStart"/>
      <w:r w:rsidRPr="00B9279A">
        <w:rPr>
          <w:color w:val="000000" w:themeColor="text1"/>
          <w:sz w:val="28"/>
          <w:szCs w:val="28"/>
        </w:rPr>
        <w:t>Офіційний</w:t>
      </w:r>
      <w:proofErr w:type="spellEnd"/>
      <w:r w:rsidRPr="00B9279A">
        <w:rPr>
          <w:color w:val="000000" w:themeColor="text1"/>
          <w:sz w:val="28"/>
          <w:szCs w:val="28"/>
        </w:rPr>
        <w:t xml:space="preserve"> сайт </w:t>
      </w:r>
      <w:proofErr w:type="spellStart"/>
      <w:r w:rsidRPr="00B9279A">
        <w:rPr>
          <w:color w:val="000000" w:themeColor="text1"/>
          <w:sz w:val="28"/>
          <w:szCs w:val="28"/>
        </w:rPr>
        <w:t>Рахункової</w:t>
      </w:r>
      <w:proofErr w:type="spellEnd"/>
      <w:r w:rsidRPr="00B9279A">
        <w:rPr>
          <w:color w:val="000000" w:themeColor="text1"/>
          <w:sz w:val="28"/>
          <w:szCs w:val="28"/>
        </w:rPr>
        <w:t xml:space="preserve"> </w:t>
      </w:r>
      <w:proofErr w:type="spellStart"/>
      <w:r w:rsidRPr="00B9279A">
        <w:rPr>
          <w:color w:val="000000" w:themeColor="text1"/>
          <w:sz w:val="28"/>
          <w:szCs w:val="28"/>
        </w:rPr>
        <w:t>палати</w:t>
      </w:r>
      <w:proofErr w:type="spellEnd"/>
      <w:r w:rsidRPr="00B9279A">
        <w:rPr>
          <w:color w:val="000000" w:themeColor="text1"/>
          <w:sz w:val="28"/>
          <w:szCs w:val="28"/>
        </w:rPr>
        <w:t xml:space="preserve"> </w:t>
      </w:r>
      <w:proofErr w:type="spellStart"/>
      <w:r w:rsidRPr="00B9279A">
        <w:rPr>
          <w:color w:val="000000" w:themeColor="text1"/>
          <w:sz w:val="28"/>
          <w:szCs w:val="28"/>
        </w:rPr>
        <w:t>України</w:t>
      </w:r>
      <w:proofErr w:type="spellEnd"/>
      <w:r w:rsidRPr="00B9279A">
        <w:rPr>
          <w:color w:val="000000" w:themeColor="text1"/>
          <w:sz w:val="28"/>
          <w:szCs w:val="28"/>
        </w:rPr>
        <w:t>. – [</w:t>
      </w:r>
      <w:proofErr w:type="spellStart"/>
      <w:r w:rsidRPr="00B9279A">
        <w:rPr>
          <w:color w:val="000000" w:themeColor="text1"/>
          <w:sz w:val="28"/>
          <w:szCs w:val="28"/>
        </w:rPr>
        <w:t>Електронний</w:t>
      </w:r>
      <w:proofErr w:type="spellEnd"/>
      <w:r w:rsidRPr="00B9279A">
        <w:rPr>
          <w:color w:val="000000" w:themeColor="text1"/>
          <w:sz w:val="28"/>
          <w:szCs w:val="28"/>
        </w:rPr>
        <w:t xml:space="preserve"> ресурс]. – Режим доступу: http://www.ac-rada.gov.ua/control/main/uk/publish/category/ 16739020.</w:t>
      </w:r>
      <w:bookmarkEnd w:id="0"/>
    </w:p>
    <w:p w:rsidR="00324AE0" w:rsidRPr="00B9279A" w:rsidRDefault="00324AE0" w:rsidP="00CD7B82">
      <w:pPr>
        <w:widowControl w:val="0"/>
        <w:numPr>
          <w:ilvl w:val="0"/>
          <w:numId w:val="8"/>
        </w:numPr>
        <w:suppressLineNumbers/>
        <w:tabs>
          <w:tab w:val="num" w:pos="426"/>
          <w:tab w:val="left" w:pos="1276"/>
        </w:tabs>
        <w:suppressAutoHyphens/>
        <w:spacing w:after="0" w:line="360" w:lineRule="auto"/>
        <w:ind w:left="-567" w:firstLine="709"/>
        <w:jc w:val="both"/>
        <w:rPr>
          <w:rFonts w:ascii="Times New Roman" w:hAnsi="Times New Roman"/>
          <w:sz w:val="28"/>
          <w:szCs w:val="28"/>
        </w:rPr>
      </w:pPr>
      <w:bookmarkStart w:id="1" w:name="_Ref449059545"/>
      <w:proofErr w:type="spellStart"/>
      <w:r w:rsidRPr="00B9279A">
        <w:rPr>
          <w:rFonts w:ascii="Times New Roman" w:hAnsi="Times New Roman"/>
          <w:sz w:val="28"/>
          <w:szCs w:val="28"/>
        </w:rPr>
        <w:t>Іщенко</w:t>
      </w:r>
      <w:proofErr w:type="spellEnd"/>
      <w:r w:rsidRPr="00B9279A">
        <w:rPr>
          <w:rFonts w:ascii="Times New Roman" w:hAnsi="Times New Roman"/>
          <w:sz w:val="28"/>
          <w:szCs w:val="28"/>
        </w:rPr>
        <w:t xml:space="preserve"> В.В. </w:t>
      </w:r>
      <w:proofErr w:type="spellStart"/>
      <w:r w:rsidRPr="00B9279A">
        <w:rPr>
          <w:rFonts w:ascii="Times New Roman" w:hAnsi="Times New Roman"/>
          <w:sz w:val="28"/>
          <w:szCs w:val="28"/>
        </w:rPr>
        <w:t>Податкова</w:t>
      </w:r>
      <w:proofErr w:type="spellEnd"/>
      <w:r w:rsidRPr="00B9279A">
        <w:rPr>
          <w:rFonts w:ascii="Times New Roman" w:hAnsi="Times New Roman"/>
          <w:sz w:val="28"/>
          <w:szCs w:val="28"/>
        </w:rPr>
        <w:t xml:space="preserve"> </w:t>
      </w:r>
      <w:proofErr w:type="spellStart"/>
      <w:r w:rsidRPr="00B9279A">
        <w:rPr>
          <w:rFonts w:ascii="Times New Roman" w:hAnsi="Times New Roman"/>
          <w:sz w:val="28"/>
          <w:szCs w:val="28"/>
        </w:rPr>
        <w:t>складова</w:t>
      </w:r>
      <w:proofErr w:type="spellEnd"/>
      <w:r w:rsidRPr="00B9279A">
        <w:rPr>
          <w:rFonts w:ascii="Times New Roman" w:hAnsi="Times New Roman"/>
          <w:sz w:val="28"/>
          <w:szCs w:val="28"/>
        </w:rPr>
        <w:t xml:space="preserve"> </w:t>
      </w:r>
      <w:proofErr w:type="spellStart"/>
      <w:r w:rsidRPr="00B9279A">
        <w:rPr>
          <w:rFonts w:ascii="Times New Roman" w:hAnsi="Times New Roman"/>
          <w:sz w:val="28"/>
          <w:szCs w:val="28"/>
        </w:rPr>
        <w:t>фінансової</w:t>
      </w:r>
      <w:proofErr w:type="spellEnd"/>
      <w:r w:rsidRPr="00B9279A">
        <w:rPr>
          <w:rFonts w:ascii="Times New Roman" w:hAnsi="Times New Roman"/>
          <w:sz w:val="28"/>
          <w:szCs w:val="28"/>
        </w:rPr>
        <w:t xml:space="preserve"> </w:t>
      </w:r>
      <w:proofErr w:type="spellStart"/>
      <w:r w:rsidRPr="00B9279A">
        <w:rPr>
          <w:rFonts w:ascii="Times New Roman" w:hAnsi="Times New Roman"/>
          <w:sz w:val="28"/>
          <w:szCs w:val="28"/>
        </w:rPr>
        <w:t>безпеки</w:t>
      </w:r>
      <w:proofErr w:type="spellEnd"/>
      <w:r w:rsidRPr="00B9279A">
        <w:rPr>
          <w:rFonts w:ascii="Times New Roman" w:hAnsi="Times New Roman"/>
          <w:sz w:val="28"/>
          <w:szCs w:val="28"/>
        </w:rPr>
        <w:t xml:space="preserve"> </w:t>
      </w:r>
      <w:proofErr w:type="spellStart"/>
      <w:r w:rsidRPr="00B9279A">
        <w:rPr>
          <w:rFonts w:ascii="Times New Roman" w:hAnsi="Times New Roman"/>
          <w:sz w:val="28"/>
          <w:szCs w:val="28"/>
        </w:rPr>
        <w:t>держави</w:t>
      </w:r>
      <w:proofErr w:type="spellEnd"/>
      <w:r w:rsidRPr="00B9279A">
        <w:rPr>
          <w:rFonts w:ascii="Times New Roman" w:hAnsi="Times New Roman"/>
          <w:sz w:val="28"/>
          <w:szCs w:val="28"/>
        </w:rPr>
        <w:t xml:space="preserve"> // </w:t>
      </w:r>
      <w:proofErr w:type="spellStart"/>
      <w:proofErr w:type="gramStart"/>
      <w:r w:rsidRPr="00B9279A">
        <w:rPr>
          <w:rFonts w:ascii="Times New Roman" w:hAnsi="Times New Roman"/>
          <w:sz w:val="28"/>
          <w:szCs w:val="28"/>
        </w:rPr>
        <w:t>В</w:t>
      </w:r>
      <w:proofErr w:type="gramEnd"/>
      <w:r w:rsidRPr="00B9279A">
        <w:rPr>
          <w:rFonts w:ascii="Times New Roman" w:hAnsi="Times New Roman"/>
          <w:sz w:val="28"/>
          <w:szCs w:val="28"/>
        </w:rPr>
        <w:t>існик</w:t>
      </w:r>
      <w:proofErr w:type="spellEnd"/>
      <w:r w:rsidRPr="00B9279A">
        <w:rPr>
          <w:rFonts w:ascii="Times New Roman" w:hAnsi="Times New Roman"/>
          <w:sz w:val="28"/>
          <w:szCs w:val="28"/>
        </w:rPr>
        <w:t xml:space="preserve"> </w:t>
      </w:r>
      <w:proofErr w:type="spellStart"/>
      <w:r w:rsidRPr="00B9279A">
        <w:rPr>
          <w:rFonts w:ascii="Times New Roman" w:hAnsi="Times New Roman"/>
          <w:sz w:val="28"/>
          <w:szCs w:val="28"/>
        </w:rPr>
        <w:t>економіки</w:t>
      </w:r>
      <w:proofErr w:type="spellEnd"/>
      <w:r w:rsidRPr="00B9279A">
        <w:rPr>
          <w:rFonts w:ascii="Times New Roman" w:hAnsi="Times New Roman"/>
          <w:sz w:val="28"/>
          <w:szCs w:val="28"/>
        </w:rPr>
        <w:t xml:space="preserve"> транспорту </w:t>
      </w:r>
      <w:proofErr w:type="spellStart"/>
      <w:r w:rsidRPr="00B9279A">
        <w:rPr>
          <w:rFonts w:ascii="Times New Roman" w:hAnsi="Times New Roman"/>
          <w:sz w:val="28"/>
          <w:szCs w:val="28"/>
        </w:rPr>
        <w:t>і</w:t>
      </w:r>
      <w:proofErr w:type="spellEnd"/>
      <w:r w:rsidRPr="00B9279A">
        <w:rPr>
          <w:rFonts w:ascii="Times New Roman" w:hAnsi="Times New Roman"/>
          <w:sz w:val="28"/>
          <w:szCs w:val="28"/>
        </w:rPr>
        <w:t xml:space="preserve"> </w:t>
      </w:r>
      <w:proofErr w:type="spellStart"/>
      <w:r w:rsidRPr="00B9279A">
        <w:rPr>
          <w:rFonts w:ascii="Times New Roman" w:hAnsi="Times New Roman"/>
          <w:sz w:val="28"/>
          <w:szCs w:val="28"/>
        </w:rPr>
        <w:t>промисловості</w:t>
      </w:r>
      <w:proofErr w:type="spellEnd"/>
      <w:r w:rsidRPr="00B9279A">
        <w:rPr>
          <w:rFonts w:ascii="Times New Roman" w:hAnsi="Times New Roman"/>
          <w:sz w:val="28"/>
          <w:szCs w:val="28"/>
        </w:rPr>
        <w:t>. – 2012. - № 37. – С. 35-40</w:t>
      </w:r>
      <w:bookmarkEnd w:id="1"/>
    </w:p>
    <w:p w:rsidR="00324AE0" w:rsidRPr="00B9279A" w:rsidRDefault="00324AE0" w:rsidP="006E3629">
      <w:pPr>
        <w:widowControl w:val="0"/>
        <w:numPr>
          <w:ilvl w:val="0"/>
          <w:numId w:val="8"/>
        </w:numPr>
        <w:suppressLineNumbers/>
        <w:tabs>
          <w:tab w:val="num" w:pos="426"/>
          <w:tab w:val="left" w:pos="1276"/>
        </w:tabs>
        <w:suppressAutoHyphens/>
        <w:spacing w:after="0" w:line="360" w:lineRule="auto"/>
        <w:ind w:left="-567" w:firstLine="709"/>
        <w:jc w:val="both"/>
        <w:rPr>
          <w:rFonts w:ascii="Times New Roman" w:hAnsi="Times New Roman"/>
          <w:color w:val="000000" w:themeColor="text1"/>
          <w:sz w:val="28"/>
          <w:szCs w:val="28"/>
        </w:rPr>
      </w:pPr>
      <w:bookmarkStart w:id="2" w:name="_Ref449059568"/>
      <w:r w:rsidRPr="00B9279A">
        <w:rPr>
          <w:rFonts w:ascii="Times New Roman" w:hAnsi="Times New Roman"/>
          <w:color w:val="000000"/>
          <w:sz w:val="28"/>
          <w:szCs w:val="28"/>
        </w:rPr>
        <w:t xml:space="preserve">Михальчук Н.М. </w:t>
      </w:r>
      <w:proofErr w:type="spellStart"/>
      <w:r w:rsidRPr="00B9279A">
        <w:rPr>
          <w:rFonts w:ascii="Times New Roman" w:hAnsi="Times New Roman"/>
          <w:color w:val="000000"/>
          <w:sz w:val="28"/>
          <w:szCs w:val="28"/>
        </w:rPr>
        <w:t>Поняття</w:t>
      </w:r>
      <w:proofErr w:type="spellEnd"/>
      <w:r w:rsidRPr="00B9279A">
        <w:rPr>
          <w:rFonts w:ascii="Times New Roman" w:hAnsi="Times New Roman"/>
          <w:color w:val="000000"/>
          <w:sz w:val="28"/>
          <w:szCs w:val="28"/>
        </w:rPr>
        <w:t xml:space="preserve"> </w:t>
      </w:r>
      <w:proofErr w:type="spellStart"/>
      <w:r w:rsidRPr="00B9279A">
        <w:rPr>
          <w:rFonts w:ascii="Times New Roman" w:hAnsi="Times New Roman"/>
          <w:color w:val="000000"/>
          <w:sz w:val="28"/>
          <w:szCs w:val="28"/>
        </w:rPr>
        <w:t>податкового</w:t>
      </w:r>
      <w:proofErr w:type="spellEnd"/>
      <w:r w:rsidRPr="00B9279A">
        <w:rPr>
          <w:rFonts w:ascii="Times New Roman" w:hAnsi="Times New Roman"/>
          <w:color w:val="000000"/>
          <w:sz w:val="28"/>
          <w:szCs w:val="28"/>
        </w:rPr>
        <w:t xml:space="preserve"> боргу </w:t>
      </w:r>
      <w:proofErr w:type="gramStart"/>
      <w:r w:rsidRPr="00B9279A">
        <w:rPr>
          <w:rFonts w:ascii="Times New Roman" w:hAnsi="Times New Roman"/>
          <w:color w:val="000000"/>
          <w:sz w:val="28"/>
          <w:szCs w:val="28"/>
        </w:rPr>
        <w:t>в</w:t>
      </w:r>
      <w:proofErr w:type="gramEnd"/>
      <w:r w:rsidRPr="00B9279A">
        <w:rPr>
          <w:rFonts w:ascii="Times New Roman" w:hAnsi="Times New Roman"/>
          <w:color w:val="000000"/>
          <w:sz w:val="28"/>
          <w:szCs w:val="28"/>
        </w:rPr>
        <w:t xml:space="preserve"> </w:t>
      </w:r>
      <w:proofErr w:type="spellStart"/>
      <w:proofErr w:type="gramStart"/>
      <w:r w:rsidRPr="00B9279A">
        <w:rPr>
          <w:rFonts w:ascii="Times New Roman" w:hAnsi="Times New Roman"/>
          <w:color w:val="000000"/>
          <w:sz w:val="28"/>
          <w:szCs w:val="28"/>
        </w:rPr>
        <w:t>систем</w:t>
      </w:r>
      <w:proofErr w:type="gramEnd"/>
      <w:r w:rsidRPr="00B9279A">
        <w:rPr>
          <w:rFonts w:ascii="Times New Roman" w:hAnsi="Times New Roman"/>
          <w:color w:val="000000"/>
          <w:sz w:val="28"/>
          <w:szCs w:val="28"/>
        </w:rPr>
        <w:t>і</w:t>
      </w:r>
      <w:proofErr w:type="spellEnd"/>
      <w:r w:rsidRPr="00B9279A">
        <w:rPr>
          <w:rFonts w:ascii="Times New Roman" w:hAnsi="Times New Roman"/>
          <w:color w:val="000000"/>
          <w:sz w:val="28"/>
          <w:szCs w:val="28"/>
        </w:rPr>
        <w:t xml:space="preserve"> </w:t>
      </w:r>
      <w:proofErr w:type="spellStart"/>
      <w:r w:rsidRPr="00B9279A">
        <w:rPr>
          <w:rFonts w:ascii="Times New Roman" w:hAnsi="Times New Roman"/>
          <w:color w:val="000000"/>
          <w:sz w:val="28"/>
          <w:szCs w:val="28"/>
        </w:rPr>
        <w:t>забезпечення</w:t>
      </w:r>
      <w:proofErr w:type="spellEnd"/>
      <w:r w:rsidRPr="00B9279A">
        <w:rPr>
          <w:rFonts w:ascii="Times New Roman" w:hAnsi="Times New Roman"/>
          <w:color w:val="000000"/>
          <w:sz w:val="28"/>
          <w:szCs w:val="28"/>
        </w:rPr>
        <w:t xml:space="preserve"> </w:t>
      </w:r>
      <w:proofErr w:type="spellStart"/>
      <w:r w:rsidRPr="00B9279A">
        <w:rPr>
          <w:rFonts w:ascii="Times New Roman" w:hAnsi="Times New Roman"/>
          <w:color w:val="000000"/>
          <w:sz w:val="28"/>
          <w:szCs w:val="28"/>
        </w:rPr>
        <w:t>фінансової</w:t>
      </w:r>
      <w:proofErr w:type="spellEnd"/>
      <w:r w:rsidRPr="00B9279A">
        <w:rPr>
          <w:rFonts w:ascii="Times New Roman" w:hAnsi="Times New Roman"/>
          <w:color w:val="000000"/>
          <w:sz w:val="28"/>
          <w:szCs w:val="28"/>
        </w:rPr>
        <w:t xml:space="preserve"> </w:t>
      </w:r>
      <w:proofErr w:type="spellStart"/>
      <w:r w:rsidRPr="00B9279A">
        <w:rPr>
          <w:rFonts w:ascii="Times New Roman" w:hAnsi="Times New Roman"/>
          <w:color w:val="000000"/>
          <w:sz w:val="28"/>
          <w:szCs w:val="28"/>
        </w:rPr>
        <w:t>безпеки</w:t>
      </w:r>
      <w:proofErr w:type="spellEnd"/>
      <w:r w:rsidRPr="00B9279A">
        <w:rPr>
          <w:rFonts w:ascii="Times New Roman" w:hAnsi="Times New Roman"/>
          <w:color w:val="000000"/>
          <w:sz w:val="28"/>
          <w:szCs w:val="28"/>
        </w:rPr>
        <w:t xml:space="preserve"> </w:t>
      </w:r>
      <w:proofErr w:type="spellStart"/>
      <w:r w:rsidRPr="00B9279A">
        <w:rPr>
          <w:rFonts w:ascii="Times New Roman" w:hAnsi="Times New Roman"/>
          <w:color w:val="000000"/>
          <w:sz w:val="28"/>
          <w:szCs w:val="28"/>
        </w:rPr>
        <w:t>держави</w:t>
      </w:r>
      <w:proofErr w:type="spellEnd"/>
      <w:r w:rsidRPr="00B9279A">
        <w:rPr>
          <w:rFonts w:ascii="Times New Roman" w:hAnsi="Times New Roman"/>
          <w:color w:val="000000"/>
          <w:sz w:val="28"/>
          <w:szCs w:val="28"/>
        </w:rPr>
        <w:t xml:space="preserve"> / Михальчук Н.М. - Наука молода. </w:t>
      </w:r>
      <w:proofErr w:type="spellStart"/>
      <w:r w:rsidRPr="00B9279A">
        <w:rPr>
          <w:rFonts w:ascii="Times New Roman" w:hAnsi="Times New Roman"/>
          <w:color w:val="000000"/>
          <w:sz w:val="28"/>
          <w:szCs w:val="28"/>
        </w:rPr>
        <w:t>Збірник</w:t>
      </w:r>
      <w:proofErr w:type="spellEnd"/>
      <w:r w:rsidRPr="00B9279A">
        <w:rPr>
          <w:rFonts w:ascii="Times New Roman" w:hAnsi="Times New Roman"/>
          <w:color w:val="000000"/>
          <w:sz w:val="28"/>
          <w:szCs w:val="28"/>
        </w:rPr>
        <w:t xml:space="preserve"> </w:t>
      </w:r>
      <w:proofErr w:type="spellStart"/>
      <w:r w:rsidRPr="00B9279A">
        <w:rPr>
          <w:rFonts w:ascii="Times New Roman" w:hAnsi="Times New Roman"/>
          <w:color w:val="000000"/>
          <w:sz w:val="28"/>
          <w:szCs w:val="28"/>
        </w:rPr>
        <w:t>наукових</w:t>
      </w:r>
      <w:proofErr w:type="spellEnd"/>
      <w:r w:rsidRPr="00B9279A">
        <w:rPr>
          <w:rFonts w:ascii="Times New Roman" w:hAnsi="Times New Roman"/>
          <w:color w:val="000000"/>
          <w:sz w:val="28"/>
          <w:szCs w:val="28"/>
        </w:rPr>
        <w:t xml:space="preserve"> </w:t>
      </w:r>
      <w:proofErr w:type="spellStart"/>
      <w:r w:rsidRPr="00B9279A">
        <w:rPr>
          <w:rFonts w:ascii="Times New Roman" w:hAnsi="Times New Roman"/>
          <w:color w:val="000000"/>
          <w:sz w:val="28"/>
          <w:szCs w:val="28"/>
        </w:rPr>
        <w:t>праць</w:t>
      </w:r>
      <w:proofErr w:type="spellEnd"/>
      <w:r w:rsidRPr="00B9279A">
        <w:rPr>
          <w:rFonts w:ascii="Times New Roman" w:hAnsi="Times New Roman"/>
          <w:color w:val="000000"/>
          <w:sz w:val="28"/>
          <w:szCs w:val="28"/>
        </w:rPr>
        <w:t xml:space="preserve"> </w:t>
      </w:r>
      <w:proofErr w:type="spellStart"/>
      <w:r w:rsidRPr="00B9279A">
        <w:rPr>
          <w:rFonts w:ascii="Times New Roman" w:hAnsi="Times New Roman"/>
          <w:color w:val="000000"/>
          <w:sz w:val="28"/>
          <w:szCs w:val="28"/>
        </w:rPr>
        <w:t>молодих</w:t>
      </w:r>
      <w:proofErr w:type="spellEnd"/>
      <w:r w:rsidRPr="00B9279A">
        <w:rPr>
          <w:rFonts w:ascii="Times New Roman" w:hAnsi="Times New Roman"/>
          <w:color w:val="000000"/>
          <w:sz w:val="28"/>
          <w:szCs w:val="28"/>
        </w:rPr>
        <w:t xml:space="preserve"> </w:t>
      </w:r>
      <w:proofErr w:type="spellStart"/>
      <w:r w:rsidRPr="00B9279A">
        <w:rPr>
          <w:rFonts w:ascii="Times New Roman" w:hAnsi="Times New Roman"/>
          <w:color w:val="000000"/>
          <w:sz w:val="28"/>
          <w:szCs w:val="28"/>
        </w:rPr>
        <w:t>вчених</w:t>
      </w:r>
      <w:proofErr w:type="spellEnd"/>
      <w:r w:rsidRPr="00B9279A">
        <w:rPr>
          <w:rFonts w:ascii="Times New Roman" w:hAnsi="Times New Roman"/>
          <w:color w:val="000000"/>
          <w:sz w:val="28"/>
          <w:szCs w:val="28"/>
        </w:rPr>
        <w:t xml:space="preserve"> </w:t>
      </w:r>
      <w:proofErr w:type="spellStart"/>
      <w:r w:rsidRPr="00B9279A">
        <w:rPr>
          <w:rFonts w:ascii="Times New Roman" w:hAnsi="Times New Roman"/>
          <w:color w:val="000000"/>
          <w:sz w:val="28"/>
          <w:szCs w:val="28"/>
        </w:rPr>
        <w:t>Тернопільського</w:t>
      </w:r>
      <w:proofErr w:type="spellEnd"/>
      <w:r w:rsidRPr="00B9279A">
        <w:rPr>
          <w:rFonts w:ascii="Times New Roman" w:hAnsi="Times New Roman"/>
          <w:color w:val="000000"/>
          <w:sz w:val="28"/>
          <w:szCs w:val="28"/>
        </w:rPr>
        <w:t xml:space="preserve"> </w:t>
      </w:r>
      <w:proofErr w:type="spellStart"/>
      <w:r w:rsidRPr="00B9279A">
        <w:rPr>
          <w:rFonts w:ascii="Times New Roman" w:hAnsi="Times New Roman"/>
          <w:color w:val="000000"/>
          <w:sz w:val="28"/>
          <w:szCs w:val="28"/>
        </w:rPr>
        <w:t>національного</w:t>
      </w:r>
      <w:proofErr w:type="spellEnd"/>
      <w:r w:rsidRPr="00B9279A">
        <w:rPr>
          <w:rFonts w:ascii="Times New Roman" w:hAnsi="Times New Roman"/>
          <w:color w:val="000000"/>
          <w:sz w:val="28"/>
          <w:szCs w:val="28"/>
        </w:rPr>
        <w:t xml:space="preserve"> </w:t>
      </w:r>
      <w:proofErr w:type="spellStart"/>
      <w:r w:rsidRPr="00B9279A">
        <w:rPr>
          <w:rFonts w:ascii="Times New Roman" w:hAnsi="Times New Roman"/>
          <w:color w:val="000000"/>
          <w:sz w:val="28"/>
          <w:szCs w:val="28"/>
        </w:rPr>
        <w:t>економічного</w:t>
      </w:r>
      <w:proofErr w:type="spellEnd"/>
      <w:r w:rsidRPr="00B9279A">
        <w:rPr>
          <w:rFonts w:ascii="Times New Roman" w:hAnsi="Times New Roman"/>
          <w:color w:val="000000"/>
          <w:sz w:val="28"/>
          <w:szCs w:val="28"/>
        </w:rPr>
        <w:t xml:space="preserve"> </w:t>
      </w:r>
      <w:proofErr w:type="spellStart"/>
      <w:r w:rsidRPr="00B9279A">
        <w:rPr>
          <w:rFonts w:ascii="Times New Roman" w:hAnsi="Times New Roman"/>
          <w:color w:val="000000" w:themeColor="text1"/>
          <w:sz w:val="28"/>
          <w:szCs w:val="28"/>
        </w:rPr>
        <w:t>університету</w:t>
      </w:r>
      <w:proofErr w:type="spellEnd"/>
      <w:r w:rsidRPr="00B9279A">
        <w:rPr>
          <w:rFonts w:ascii="Times New Roman" w:hAnsi="Times New Roman"/>
          <w:color w:val="000000" w:themeColor="text1"/>
          <w:sz w:val="28"/>
          <w:szCs w:val="28"/>
        </w:rPr>
        <w:t xml:space="preserve">. – </w:t>
      </w:r>
      <w:proofErr w:type="spellStart"/>
      <w:r w:rsidRPr="00B9279A">
        <w:rPr>
          <w:rFonts w:ascii="Times New Roman" w:hAnsi="Times New Roman"/>
          <w:color w:val="000000" w:themeColor="text1"/>
          <w:sz w:val="28"/>
          <w:szCs w:val="28"/>
        </w:rPr>
        <w:t>Тернопіль</w:t>
      </w:r>
      <w:proofErr w:type="spellEnd"/>
      <w:r w:rsidRPr="00B9279A">
        <w:rPr>
          <w:rFonts w:ascii="Times New Roman" w:hAnsi="Times New Roman"/>
          <w:color w:val="000000" w:themeColor="text1"/>
          <w:sz w:val="28"/>
          <w:szCs w:val="28"/>
        </w:rPr>
        <w:t xml:space="preserve">: </w:t>
      </w:r>
      <w:proofErr w:type="spellStart"/>
      <w:r w:rsidRPr="00B9279A">
        <w:rPr>
          <w:rFonts w:ascii="Times New Roman" w:hAnsi="Times New Roman"/>
          <w:color w:val="000000" w:themeColor="text1"/>
          <w:sz w:val="28"/>
          <w:szCs w:val="28"/>
        </w:rPr>
        <w:t>Видавництво</w:t>
      </w:r>
      <w:proofErr w:type="spellEnd"/>
      <w:r w:rsidRPr="00B9279A">
        <w:rPr>
          <w:rFonts w:ascii="Times New Roman" w:hAnsi="Times New Roman"/>
          <w:color w:val="000000" w:themeColor="text1"/>
          <w:sz w:val="28"/>
          <w:szCs w:val="28"/>
        </w:rPr>
        <w:t xml:space="preserve"> </w:t>
      </w:r>
      <w:proofErr w:type="spellStart"/>
      <w:r w:rsidRPr="00B9279A">
        <w:rPr>
          <w:rFonts w:ascii="Times New Roman" w:hAnsi="Times New Roman"/>
          <w:color w:val="000000" w:themeColor="text1"/>
          <w:sz w:val="28"/>
          <w:szCs w:val="28"/>
        </w:rPr>
        <w:t>Тернопільського</w:t>
      </w:r>
      <w:proofErr w:type="spellEnd"/>
      <w:r w:rsidRPr="00B9279A">
        <w:rPr>
          <w:rFonts w:ascii="Times New Roman" w:hAnsi="Times New Roman"/>
          <w:color w:val="000000" w:themeColor="text1"/>
          <w:sz w:val="28"/>
          <w:szCs w:val="28"/>
        </w:rPr>
        <w:t xml:space="preserve"> </w:t>
      </w:r>
      <w:proofErr w:type="spellStart"/>
      <w:r w:rsidRPr="00B9279A">
        <w:rPr>
          <w:rFonts w:ascii="Times New Roman" w:hAnsi="Times New Roman"/>
          <w:color w:val="000000" w:themeColor="text1"/>
          <w:sz w:val="28"/>
          <w:szCs w:val="28"/>
        </w:rPr>
        <w:t>національного</w:t>
      </w:r>
      <w:proofErr w:type="spellEnd"/>
      <w:r w:rsidRPr="00B9279A">
        <w:rPr>
          <w:rFonts w:ascii="Times New Roman" w:hAnsi="Times New Roman"/>
          <w:color w:val="000000" w:themeColor="text1"/>
          <w:sz w:val="28"/>
          <w:szCs w:val="28"/>
        </w:rPr>
        <w:t xml:space="preserve"> </w:t>
      </w:r>
      <w:proofErr w:type="spellStart"/>
      <w:r w:rsidRPr="00B9279A">
        <w:rPr>
          <w:rFonts w:ascii="Times New Roman" w:hAnsi="Times New Roman"/>
          <w:color w:val="000000" w:themeColor="text1"/>
          <w:sz w:val="28"/>
          <w:szCs w:val="28"/>
        </w:rPr>
        <w:t>економічного</w:t>
      </w:r>
      <w:proofErr w:type="spellEnd"/>
      <w:r w:rsidRPr="00B9279A">
        <w:rPr>
          <w:rFonts w:ascii="Times New Roman" w:hAnsi="Times New Roman"/>
          <w:color w:val="000000" w:themeColor="text1"/>
          <w:sz w:val="28"/>
          <w:szCs w:val="28"/>
        </w:rPr>
        <w:t xml:space="preserve"> </w:t>
      </w:r>
      <w:proofErr w:type="spellStart"/>
      <w:r w:rsidRPr="00B9279A">
        <w:rPr>
          <w:rFonts w:ascii="Times New Roman" w:hAnsi="Times New Roman"/>
          <w:color w:val="000000" w:themeColor="text1"/>
          <w:sz w:val="28"/>
          <w:szCs w:val="28"/>
        </w:rPr>
        <w:t>університету</w:t>
      </w:r>
      <w:proofErr w:type="spellEnd"/>
      <w:r w:rsidRPr="00B9279A">
        <w:rPr>
          <w:rFonts w:ascii="Times New Roman" w:hAnsi="Times New Roman"/>
          <w:color w:val="000000" w:themeColor="text1"/>
          <w:sz w:val="28"/>
          <w:szCs w:val="28"/>
        </w:rPr>
        <w:t xml:space="preserve">, 2012. – </w:t>
      </w:r>
      <w:proofErr w:type="spellStart"/>
      <w:r w:rsidRPr="00B9279A">
        <w:rPr>
          <w:rFonts w:ascii="Times New Roman" w:hAnsi="Times New Roman"/>
          <w:color w:val="000000" w:themeColor="text1"/>
          <w:sz w:val="28"/>
          <w:szCs w:val="28"/>
        </w:rPr>
        <w:t>Випуск</w:t>
      </w:r>
      <w:proofErr w:type="spellEnd"/>
      <w:r w:rsidRPr="00B9279A">
        <w:rPr>
          <w:rFonts w:ascii="Times New Roman" w:hAnsi="Times New Roman"/>
          <w:color w:val="000000" w:themeColor="text1"/>
          <w:sz w:val="28"/>
          <w:szCs w:val="28"/>
        </w:rPr>
        <w:t xml:space="preserve"> 18. – 199 с. – С.93.</w:t>
      </w:r>
      <w:bookmarkEnd w:id="2"/>
    </w:p>
    <w:p w:rsidR="00324AE0" w:rsidRPr="003B1771" w:rsidRDefault="00324AE0" w:rsidP="003B1771">
      <w:pPr>
        <w:pStyle w:val="NormalWeb"/>
        <w:numPr>
          <w:ilvl w:val="0"/>
          <w:numId w:val="8"/>
        </w:numPr>
        <w:tabs>
          <w:tab w:val="left" w:pos="993"/>
        </w:tabs>
        <w:spacing w:before="0" w:beforeAutospacing="0" w:after="0" w:afterAutospacing="0" w:line="360" w:lineRule="auto"/>
        <w:ind w:left="-567" w:firstLine="709"/>
        <w:jc w:val="both"/>
        <w:rPr>
          <w:color w:val="000000" w:themeColor="text1"/>
          <w:sz w:val="28"/>
          <w:szCs w:val="28"/>
        </w:rPr>
      </w:pPr>
      <w:r>
        <w:rPr>
          <w:bCs/>
          <w:color w:val="000000" w:themeColor="text1"/>
          <w:sz w:val="28"/>
          <w:szCs w:val="28"/>
          <w:lang w:val="uk-UA"/>
        </w:rPr>
        <w:t xml:space="preserve"> </w:t>
      </w:r>
      <w:bookmarkStart w:id="3" w:name="_Ref449059588"/>
      <w:r w:rsidRPr="00CD7B82">
        <w:rPr>
          <w:bCs/>
          <w:color w:val="000000" w:themeColor="text1"/>
          <w:sz w:val="28"/>
          <w:szCs w:val="28"/>
          <w:lang w:val="uk-UA"/>
        </w:rPr>
        <w:t xml:space="preserve">Офіційний сайт Державної фіскальної служби [Електронний ресурс]. – Режим доступу: </w:t>
      </w:r>
      <w:bookmarkStart w:id="4" w:name="_Ref428488594"/>
      <w:proofErr w:type="spellStart"/>
      <w:r w:rsidRPr="00CD7B82">
        <w:rPr>
          <w:sz w:val="28"/>
          <w:szCs w:val="28"/>
          <w:shd w:val="clear" w:color="auto" w:fill="FFFFFF"/>
        </w:rPr>
        <w:t>sfs.gov.ua</w:t>
      </w:r>
      <w:bookmarkEnd w:id="3"/>
      <w:bookmarkEnd w:id="4"/>
      <w:proofErr w:type="spellEnd"/>
      <w:r w:rsidRPr="00CD7B82">
        <w:rPr>
          <w:sz w:val="28"/>
          <w:szCs w:val="28"/>
          <w:shd w:val="clear" w:color="auto" w:fill="FFFFFF"/>
          <w:lang w:val="uk-UA"/>
        </w:rPr>
        <w:t xml:space="preserve"> </w:t>
      </w:r>
    </w:p>
    <w:p w:rsidR="00324AE0" w:rsidRPr="00232DC4" w:rsidRDefault="00324AE0" w:rsidP="00CD7B82">
      <w:pPr>
        <w:pStyle w:val="ListParagraph"/>
        <w:numPr>
          <w:ilvl w:val="0"/>
          <w:numId w:val="8"/>
        </w:numPr>
        <w:spacing w:after="0" w:line="360" w:lineRule="auto"/>
        <w:ind w:left="-567" w:firstLine="709"/>
        <w:jc w:val="both"/>
        <w:rPr>
          <w:rFonts w:ascii="Times New Roman" w:hAnsi="Times New Roman"/>
          <w:sz w:val="28"/>
          <w:szCs w:val="28"/>
        </w:rPr>
      </w:pPr>
      <w:bookmarkStart w:id="5" w:name="_Ref424653837"/>
      <w:proofErr w:type="spellStart"/>
      <w:r w:rsidRPr="00232DC4">
        <w:rPr>
          <w:rFonts w:ascii="Times New Roman" w:hAnsi="Times New Roman"/>
          <w:iCs/>
          <w:sz w:val="28"/>
          <w:szCs w:val="28"/>
        </w:rPr>
        <w:t>Офіційний</w:t>
      </w:r>
      <w:proofErr w:type="spellEnd"/>
      <w:r w:rsidRPr="00232DC4">
        <w:rPr>
          <w:rFonts w:ascii="Times New Roman" w:hAnsi="Times New Roman"/>
          <w:iCs/>
          <w:sz w:val="28"/>
          <w:szCs w:val="28"/>
        </w:rPr>
        <w:t xml:space="preserve"> сайт </w:t>
      </w:r>
      <w:proofErr w:type="spellStart"/>
      <w:r w:rsidRPr="00232DC4">
        <w:rPr>
          <w:rFonts w:ascii="Times New Roman" w:hAnsi="Times New Roman"/>
          <w:iCs/>
          <w:sz w:val="28"/>
          <w:szCs w:val="28"/>
        </w:rPr>
        <w:t>Міністерства</w:t>
      </w:r>
      <w:proofErr w:type="spellEnd"/>
      <w:r w:rsidRPr="00232DC4">
        <w:rPr>
          <w:rFonts w:ascii="Times New Roman" w:hAnsi="Times New Roman"/>
          <w:iCs/>
          <w:sz w:val="28"/>
          <w:szCs w:val="28"/>
        </w:rPr>
        <w:t xml:space="preserve"> </w:t>
      </w:r>
      <w:proofErr w:type="spellStart"/>
      <w:r w:rsidRPr="00232DC4">
        <w:rPr>
          <w:rFonts w:ascii="Times New Roman" w:hAnsi="Times New Roman"/>
          <w:iCs/>
          <w:sz w:val="28"/>
          <w:szCs w:val="28"/>
        </w:rPr>
        <w:t>фінансів</w:t>
      </w:r>
      <w:proofErr w:type="spellEnd"/>
      <w:r w:rsidRPr="00232DC4">
        <w:rPr>
          <w:rFonts w:ascii="Times New Roman" w:hAnsi="Times New Roman"/>
          <w:iCs/>
          <w:sz w:val="28"/>
          <w:szCs w:val="28"/>
        </w:rPr>
        <w:t xml:space="preserve"> </w:t>
      </w:r>
      <w:proofErr w:type="spellStart"/>
      <w:r w:rsidRPr="00232DC4">
        <w:rPr>
          <w:rFonts w:ascii="Times New Roman" w:hAnsi="Times New Roman"/>
          <w:iCs/>
          <w:sz w:val="28"/>
          <w:szCs w:val="28"/>
        </w:rPr>
        <w:t>України</w:t>
      </w:r>
      <w:proofErr w:type="spellEnd"/>
      <w:r w:rsidRPr="00232DC4">
        <w:rPr>
          <w:rFonts w:ascii="Times New Roman" w:hAnsi="Times New Roman"/>
          <w:iCs/>
          <w:sz w:val="28"/>
          <w:szCs w:val="28"/>
        </w:rPr>
        <w:t>. - [</w:t>
      </w:r>
      <w:proofErr w:type="spellStart"/>
      <w:r w:rsidRPr="00232DC4">
        <w:rPr>
          <w:rFonts w:ascii="Times New Roman" w:hAnsi="Times New Roman"/>
          <w:iCs/>
          <w:sz w:val="28"/>
          <w:szCs w:val="28"/>
        </w:rPr>
        <w:t>Електронний</w:t>
      </w:r>
      <w:proofErr w:type="spellEnd"/>
      <w:r w:rsidRPr="00232DC4">
        <w:rPr>
          <w:rFonts w:ascii="Times New Roman" w:hAnsi="Times New Roman"/>
          <w:iCs/>
          <w:sz w:val="28"/>
          <w:szCs w:val="28"/>
        </w:rPr>
        <w:t xml:space="preserve"> ресурс]. – Режим доступу: </w:t>
      </w:r>
      <w:r w:rsidRPr="00CD7B82">
        <w:rPr>
          <w:rFonts w:ascii="Times New Roman" w:hAnsi="Times New Roman"/>
          <w:iCs/>
          <w:sz w:val="28"/>
          <w:szCs w:val="28"/>
        </w:rPr>
        <w:t>http://www.minfin.gov.ua/control/publish/article/main?art_id=368091&amp;cat_id=368090</w:t>
      </w:r>
      <w:bookmarkEnd w:id="5"/>
    </w:p>
    <w:p w:rsidR="003B1771" w:rsidRPr="003B1771" w:rsidRDefault="003B1771" w:rsidP="003B1771">
      <w:pPr>
        <w:pStyle w:val="NormalWeb"/>
        <w:numPr>
          <w:ilvl w:val="0"/>
          <w:numId w:val="8"/>
        </w:numPr>
        <w:tabs>
          <w:tab w:val="left" w:pos="993"/>
        </w:tabs>
        <w:spacing w:before="0" w:beforeAutospacing="0" w:after="0" w:afterAutospacing="0" w:line="360" w:lineRule="auto"/>
        <w:ind w:left="-567" w:firstLine="709"/>
        <w:jc w:val="both"/>
        <w:rPr>
          <w:color w:val="000000" w:themeColor="text1"/>
          <w:sz w:val="28"/>
          <w:szCs w:val="28"/>
          <w:lang w:val="uk-UA"/>
        </w:rPr>
      </w:pPr>
      <w:r w:rsidRPr="003B1771">
        <w:rPr>
          <w:bCs/>
          <w:color w:val="000000" w:themeColor="text1"/>
          <w:sz w:val="28"/>
          <w:szCs w:val="28"/>
          <w:lang w:val="uk-UA"/>
        </w:rPr>
        <w:t xml:space="preserve"> </w:t>
      </w:r>
      <w:bookmarkStart w:id="6" w:name="_Ref428484710"/>
      <w:proofErr w:type="spellStart"/>
      <w:r w:rsidRPr="003B1771">
        <w:rPr>
          <w:rStyle w:val="Strong"/>
          <w:b w:val="0"/>
          <w:color w:val="000000"/>
          <w:sz w:val="28"/>
          <w:szCs w:val="28"/>
          <w:shd w:val="clear" w:color="auto" w:fill="FFFFFF"/>
          <w:lang w:val="uk-UA" w:eastAsia="uk-UA"/>
        </w:rPr>
        <w:t>Шемаєва</w:t>
      </w:r>
      <w:proofErr w:type="spellEnd"/>
      <w:r w:rsidRPr="003B1771">
        <w:rPr>
          <w:rStyle w:val="Strong"/>
          <w:b w:val="0"/>
          <w:color w:val="000000"/>
          <w:sz w:val="28"/>
          <w:szCs w:val="28"/>
          <w:shd w:val="clear" w:color="auto" w:fill="FFFFFF"/>
          <w:lang w:val="uk-UA" w:eastAsia="uk-UA"/>
        </w:rPr>
        <w:t xml:space="preserve"> Л. Г. </w:t>
      </w:r>
      <w:r w:rsidRPr="003B1771">
        <w:rPr>
          <w:sz w:val="28"/>
          <w:szCs w:val="28"/>
          <w:lang w:val="uk-UA"/>
        </w:rPr>
        <w:t>Оцінка рівня фінансової безпеки сектору державних фінансів України [Електронний ресурс]. – Режим доступу: file:///F:/downloads/Fu_2012_1_10.pdf</w:t>
      </w:r>
      <w:bookmarkEnd w:id="6"/>
      <w:r w:rsidRPr="003B1771">
        <w:rPr>
          <w:sz w:val="28"/>
          <w:szCs w:val="28"/>
          <w:lang w:val="uk-UA"/>
        </w:rPr>
        <w:t xml:space="preserve"> </w:t>
      </w:r>
    </w:p>
    <w:p w:rsidR="003B1771" w:rsidRPr="003B1771" w:rsidRDefault="003B1771" w:rsidP="003B1771">
      <w:pPr>
        <w:pStyle w:val="NormalWeb"/>
        <w:tabs>
          <w:tab w:val="left" w:pos="993"/>
        </w:tabs>
        <w:spacing w:before="0" w:beforeAutospacing="0" w:after="0" w:afterAutospacing="0" w:line="360" w:lineRule="auto"/>
        <w:ind w:left="142"/>
        <w:jc w:val="both"/>
        <w:rPr>
          <w:color w:val="000000" w:themeColor="text1"/>
          <w:sz w:val="28"/>
          <w:szCs w:val="28"/>
          <w:lang w:val="uk-UA"/>
        </w:rPr>
      </w:pPr>
    </w:p>
    <w:p w:rsidR="00DA7719" w:rsidRPr="00DA7719" w:rsidRDefault="00DA7719" w:rsidP="00E04A1D">
      <w:pPr>
        <w:pStyle w:val="ListParagraph"/>
        <w:widowControl w:val="0"/>
        <w:suppressLineNumbers/>
        <w:tabs>
          <w:tab w:val="num" w:pos="426"/>
          <w:tab w:val="left" w:pos="993"/>
          <w:tab w:val="left" w:pos="1276"/>
        </w:tabs>
        <w:suppressAutoHyphens/>
        <w:spacing w:after="0" w:line="240" w:lineRule="auto"/>
        <w:ind w:left="-567" w:firstLine="709"/>
        <w:jc w:val="both"/>
        <w:rPr>
          <w:rFonts w:ascii="Times New Roman" w:hAnsi="Times New Roman"/>
          <w:b/>
          <w:i/>
          <w:color w:val="000000" w:themeColor="text1"/>
          <w:sz w:val="28"/>
          <w:szCs w:val="28"/>
          <w:lang w:val="uk-UA"/>
        </w:rPr>
      </w:pPr>
      <w:r w:rsidRPr="00DA7719">
        <w:rPr>
          <w:rFonts w:ascii="Times New Roman" w:hAnsi="Times New Roman"/>
          <w:b/>
          <w:i/>
          <w:color w:val="000000" w:themeColor="text1"/>
          <w:sz w:val="28"/>
          <w:szCs w:val="28"/>
          <w:lang w:val="uk-UA"/>
        </w:rPr>
        <w:t xml:space="preserve">Михальчук Н. М. </w:t>
      </w:r>
      <w:proofErr w:type="spellStart"/>
      <w:r w:rsidRPr="00DA7719">
        <w:rPr>
          <w:rFonts w:ascii="Times New Roman" w:hAnsi="Times New Roman"/>
          <w:b/>
          <w:i/>
          <w:color w:val="000000" w:themeColor="text1"/>
          <w:sz w:val="28"/>
          <w:szCs w:val="28"/>
          <w:lang w:val="uk-UA"/>
        </w:rPr>
        <w:t>Программа</w:t>
      </w:r>
      <w:proofErr w:type="spellEnd"/>
      <w:r w:rsidRPr="00DA7719">
        <w:rPr>
          <w:rFonts w:ascii="Times New Roman" w:hAnsi="Times New Roman"/>
          <w:b/>
          <w:i/>
          <w:color w:val="000000" w:themeColor="text1"/>
          <w:sz w:val="28"/>
          <w:szCs w:val="28"/>
          <w:lang w:val="uk-UA"/>
        </w:rPr>
        <w:t xml:space="preserve"> </w:t>
      </w:r>
      <w:proofErr w:type="spellStart"/>
      <w:r w:rsidRPr="00DA7719">
        <w:rPr>
          <w:rFonts w:ascii="Times New Roman" w:hAnsi="Times New Roman"/>
          <w:b/>
          <w:i/>
          <w:color w:val="000000" w:themeColor="text1"/>
          <w:sz w:val="28"/>
          <w:szCs w:val="28"/>
          <w:lang w:val="uk-UA"/>
        </w:rPr>
        <w:t>нейтрализации</w:t>
      </w:r>
      <w:proofErr w:type="spellEnd"/>
      <w:r w:rsidRPr="00DA7719">
        <w:rPr>
          <w:rFonts w:ascii="Times New Roman" w:hAnsi="Times New Roman"/>
          <w:b/>
          <w:i/>
          <w:color w:val="000000" w:themeColor="text1"/>
          <w:sz w:val="28"/>
          <w:szCs w:val="28"/>
          <w:lang w:val="uk-UA"/>
        </w:rPr>
        <w:t xml:space="preserve"> </w:t>
      </w:r>
      <w:proofErr w:type="spellStart"/>
      <w:r w:rsidRPr="00DA7719">
        <w:rPr>
          <w:rFonts w:ascii="Times New Roman" w:hAnsi="Times New Roman"/>
          <w:b/>
          <w:i/>
          <w:color w:val="000000" w:themeColor="text1"/>
          <w:sz w:val="28"/>
          <w:szCs w:val="28"/>
          <w:lang w:val="uk-UA"/>
        </w:rPr>
        <w:t>налогово-долговых</w:t>
      </w:r>
      <w:proofErr w:type="spellEnd"/>
      <w:r w:rsidRPr="00DA7719">
        <w:rPr>
          <w:rFonts w:ascii="Times New Roman" w:hAnsi="Times New Roman"/>
          <w:b/>
          <w:i/>
          <w:color w:val="000000" w:themeColor="text1"/>
          <w:sz w:val="28"/>
          <w:szCs w:val="28"/>
          <w:lang w:val="uk-UA"/>
        </w:rPr>
        <w:t xml:space="preserve"> </w:t>
      </w:r>
      <w:proofErr w:type="spellStart"/>
      <w:r w:rsidRPr="00DA7719">
        <w:rPr>
          <w:rFonts w:ascii="Times New Roman" w:hAnsi="Times New Roman"/>
          <w:b/>
          <w:i/>
          <w:color w:val="000000" w:themeColor="text1"/>
          <w:sz w:val="28"/>
          <w:szCs w:val="28"/>
          <w:lang w:val="uk-UA"/>
        </w:rPr>
        <w:t>рисков</w:t>
      </w:r>
      <w:proofErr w:type="spellEnd"/>
      <w:r w:rsidRPr="00DA7719">
        <w:rPr>
          <w:rFonts w:ascii="Times New Roman" w:hAnsi="Times New Roman"/>
          <w:b/>
          <w:i/>
          <w:color w:val="000000" w:themeColor="text1"/>
          <w:sz w:val="28"/>
          <w:szCs w:val="28"/>
          <w:lang w:val="uk-UA"/>
        </w:rPr>
        <w:t xml:space="preserve"> </w:t>
      </w:r>
      <w:proofErr w:type="spellStart"/>
      <w:r w:rsidRPr="00DA7719">
        <w:rPr>
          <w:rFonts w:ascii="Times New Roman" w:hAnsi="Times New Roman"/>
          <w:b/>
          <w:i/>
          <w:color w:val="000000" w:themeColor="text1"/>
          <w:sz w:val="28"/>
          <w:szCs w:val="28"/>
          <w:lang w:val="uk-UA"/>
        </w:rPr>
        <w:t>финансовой</w:t>
      </w:r>
      <w:proofErr w:type="spellEnd"/>
      <w:r w:rsidRPr="00DA7719">
        <w:rPr>
          <w:rFonts w:ascii="Times New Roman" w:hAnsi="Times New Roman"/>
          <w:b/>
          <w:i/>
          <w:color w:val="000000" w:themeColor="text1"/>
          <w:sz w:val="28"/>
          <w:szCs w:val="28"/>
          <w:lang w:val="uk-UA"/>
        </w:rPr>
        <w:t xml:space="preserve"> </w:t>
      </w:r>
      <w:proofErr w:type="spellStart"/>
      <w:r w:rsidRPr="00DA7719">
        <w:rPr>
          <w:rFonts w:ascii="Times New Roman" w:hAnsi="Times New Roman"/>
          <w:b/>
          <w:i/>
          <w:color w:val="000000" w:themeColor="text1"/>
          <w:sz w:val="28"/>
          <w:szCs w:val="28"/>
          <w:lang w:val="uk-UA"/>
        </w:rPr>
        <w:t>безопасности</w:t>
      </w:r>
      <w:proofErr w:type="spellEnd"/>
      <w:r w:rsidRPr="00DA7719">
        <w:rPr>
          <w:rFonts w:ascii="Times New Roman" w:hAnsi="Times New Roman"/>
          <w:b/>
          <w:i/>
          <w:color w:val="000000" w:themeColor="text1"/>
          <w:sz w:val="28"/>
          <w:szCs w:val="28"/>
          <w:lang w:val="uk-UA"/>
        </w:rPr>
        <w:t xml:space="preserve"> </w:t>
      </w:r>
      <w:proofErr w:type="spellStart"/>
      <w:r w:rsidRPr="00DA7719">
        <w:rPr>
          <w:rFonts w:ascii="Times New Roman" w:hAnsi="Times New Roman"/>
          <w:b/>
          <w:i/>
          <w:color w:val="000000" w:themeColor="text1"/>
          <w:sz w:val="28"/>
          <w:szCs w:val="28"/>
          <w:lang w:val="uk-UA"/>
        </w:rPr>
        <w:t>государства</w:t>
      </w:r>
      <w:proofErr w:type="spellEnd"/>
      <w:r w:rsidRPr="00DA7719">
        <w:rPr>
          <w:rFonts w:ascii="Times New Roman" w:hAnsi="Times New Roman"/>
          <w:b/>
          <w:i/>
          <w:color w:val="000000" w:themeColor="text1"/>
          <w:sz w:val="28"/>
          <w:szCs w:val="28"/>
          <w:lang w:val="uk-UA"/>
        </w:rPr>
        <w:t>.</w:t>
      </w:r>
    </w:p>
    <w:p w:rsidR="00DA7719" w:rsidRPr="00DA7719" w:rsidRDefault="00DA7719" w:rsidP="00E04A1D">
      <w:pPr>
        <w:pStyle w:val="ListParagraph"/>
        <w:widowControl w:val="0"/>
        <w:suppressLineNumbers/>
        <w:tabs>
          <w:tab w:val="num" w:pos="426"/>
          <w:tab w:val="left" w:pos="993"/>
          <w:tab w:val="left" w:pos="1276"/>
        </w:tabs>
        <w:suppressAutoHyphens/>
        <w:spacing w:after="0" w:line="240" w:lineRule="auto"/>
        <w:ind w:left="-567" w:firstLine="709"/>
        <w:jc w:val="both"/>
        <w:rPr>
          <w:rFonts w:ascii="Times New Roman" w:hAnsi="Times New Roman"/>
          <w:i/>
          <w:color w:val="000000" w:themeColor="text1"/>
          <w:sz w:val="28"/>
          <w:szCs w:val="28"/>
          <w:lang w:val="uk-UA"/>
        </w:rPr>
      </w:pPr>
      <w:proofErr w:type="spellStart"/>
      <w:r w:rsidRPr="00DA7719">
        <w:rPr>
          <w:rFonts w:ascii="Times New Roman" w:hAnsi="Times New Roman"/>
          <w:b/>
          <w:i/>
          <w:color w:val="000000" w:themeColor="text1"/>
          <w:sz w:val="28"/>
          <w:szCs w:val="28"/>
          <w:lang w:val="uk-UA"/>
        </w:rPr>
        <w:t>Аннотация</w:t>
      </w:r>
      <w:proofErr w:type="spellEnd"/>
      <w:r w:rsidRPr="00DA7719">
        <w:rPr>
          <w:rFonts w:ascii="Times New Roman" w:hAnsi="Times New Roman"/>
          <w:b/>
          <w:i/>
          <w:color w:val="000000" w:themeColor="text1"/>
          <w:sz w:val="28"/>
          <w:szCs w:val="28"/>
          <w:lang w:val="uk-UA"/>
        </w:rPr>
        <w:t>.</w:t>
      </w:r>
      <w:r>
        <w:rPr>
          <w:rFonts w:ascii="Times New Roman" w:hAnsi="Times New Roman"/>
          <w:i/>
          <w:color w:val="000000" w:themeColor="text1"/>
          <w:sz w:val="28"/>
          <w:szCs w:val="28"/>
          <w:lang w:val="uk-UA"/>
        </w:rPr>
        <w:t xml:space="preserve"> В </w:t>
      </w:r>
      <w:proofErr w:type="spellStart"/>
      <w:r>
        <w:rPr>
          <w:rFonts w:ascii="Times New Roman" w:hAnsi="Times New Roman"/>
          <w:i/>
          <w:color w:val="000000" w:themeColor="text1"/>
          <w:sz w:val="28"/>
          <w:szCs w:val="28"/>
          <w:lang w:val="uk-UA"/>
        </w:rPr>
        <w:t>статье</w:t>
      </w:r>
      <w:proofErr w:type="spellEnd"/>
      <w:r>
        <w:rPr>
          <w:rFonts w:ascii="Times New Roman" w:hAnsi="Times New Roman"/>
          <w:i/>
          <w:color w:val="000000" w:themeColor="text1"/>
          <w:sz w:val="28"/>
          <w:szCs w:val="28"/>
          <w:lang w:val="uk-UA"/>
        </w:rPr>
        <w:t xml:space="preserve"> </w:t>
      </w:r>
      <w:proofErr w:type="spellStart"/>
      <w:r>
        <w:rPr>
          <w:rFonts w:ascii="Times New Roman" w:hAnsi="Times New Roman"/>
          <w:i/>
          <w:color w:val="000000" w:themeColor="text1"/>
          <w:sz w:val="28"/>
          <w:szCs w:val="28"/>
          <w:lang w:val="uk-UA"/>
        </w:rPr>
        <w:t>применен</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подход</w:t>
      </w:r>
      <w:proofErr w:type="spellEnd"/>
      <w:r w:rsidRPr="00DA7719">
        <w:rPr>
          <w:rFonts w:ascii="Times New Roman" w:hAnsi="Times New Roman"/>
          <w:i/>
          <w:color w:val="000000" w:themeColor="text1"/>
          <w:sz w:val="28"/>
          <w:szCs w:val="28"/>
          <w:lang w:val="uk-UA"/>
        </w:rPr>
        <w:t xml:space="preserve"> к </w:t>
      </w:r>
      <w:proofErr w:type="spellStart"/>
      <w:r w:rsidRPr="00DA7719">
        <w:rPr>
          <w:rFonts w:ascii="Times New Roman" w:hAnsi="Times New Roman"/>
          <w:i/>
          <w:color w:val="000000" w:themeColor="text1"/>
          <w:sz w:val="28"/>
          <w:szCs w:val="28"/>
          <w:lang w:val="uk-UA"/>
        </w:rPr>
        <w:t>определению</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сущности</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налогового</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долга</w:t>
      </w:r>
      <w:proofErr w:type="spellEnd"/>
      <w:r>
        <w:rPr>
          <w:rFonts w:ascii="Times New Roman" w:hAnsi="Times New Roman"/>
          <w:i/>
          <w:color w:val="000000" w:themeColor="text1"/>
          <w:sz w:val="28"/>
          <w:szCs w:val="28"/>
          <w:lang w:val="uk-UA"/>
        </w:rPr>
        <w:t xml:space="preserve">, </w:t>
      </w:r>
      <w:proofErr w:type="spellStart"/>
      <w:r>
        <w:rPr>
          <w:rFonts w:ascii="Times New Roman" w:hAnsi="Times New Roman"/>
          <w:i/>
          <w:color w:val="000000" w:themeColor="text1"/>
          <w:sz w:val="28"/>
          <w:szCs w:val="28"/>
          <w:lang w:val="uk-UA"/>
        </w:rPr>
        <w:t>котор</w:t>
      </w:r>
      <w:r>
        <w:rPr>
          <w:rFonts w:ascii="Times New Roman" w:hAnsi="Times New Roman"/>
          <w:i/>
          <w:color w:val="000000" w:themeColor="text1"/>
          <w:sz w:val="28"/>
          <w:szCs w:val="28"/>
        </w:rPr>
        <w:t>ый</w:t>
      </w:r>
      <w:proofErr w:type="spellEnd"/>
      <w:r>
        <w:rPr>
          <w:rFonts w:ascii="Times New Roman" w:hAnsi="Times New Roman"/>
          <w:i/>
          <w:color w:val="000000" w:themeColor="text1"/>
          <w:sz w:val="28"/>
          <w:szCs w:val="28"/>
        </w:rPr>
        <w:t xml:space="preserve"> базируется на теории безопасности</w:t>
      </w:r>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Проведен</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анализ</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динамики</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показателей</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характеризующих</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развитие</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явления</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темпов</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изменения</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номинального</w:t>
      </w:r>
      <w:proofErr w:type="spellEnd"/>
      <w:r w:rsidRPr="00DA7719">
        <w:rPr>
          <w:rFonts w:ascii="Times New Roman" w:hAnsi="Times New Roman"/>
          <w:i/>
          <w:color w:val="000000" w:themeColor="text1"/>
          <w:sz w:val="28"/>
          <w:szCs w:val="28"/>
          <w:lang w:val="uk-UA"/>
        </w:rPr>
        <w:t xml:space="preserve"> и реального </w:t>
      </w:r>
      <w:proofErr w:type="spellStart"/>
      <w:r w:rsidRPr="00DA7719">
        <w:rPr>
          <w:rFonts w:ascii="Times New Roman" w:hAnsi="Times New Roman"/>
          <w:i/>
          <w:color w:val="000000" w:themeColor="text1"/>
          <w:sz w:val="28"/>
          <w:szCs w:val="28"/>
          <w:lang w:val="uk-UA"/>
        </w:rPr>
        <w:t>налогового</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долга</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динамику</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налогового</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долга</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временно</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lastRenderedPageBreak/>
        <w:t>оккупир</w:t>
      </w:r>
      <w:r>
        <w:rPr>
          <w:rFonts w:ascii="Times New Roman" w:hAnsi="Times New Roman"/>
          <w:i/>
          <w:color w:val="000000" w:themeColor="text1"/>
          <w:sz w:val="28"/>
          <w:szCs w:val="28"/>
          <w:lang w:val="uk-UA"/>
        </w:rPr>
        <w:t>ованных</w:t>
      </w:r>
      <w:proofErr w:type="spellEnd"/>
      <w:r>
        <w:rPr>
          <w:rFonts w:ascii="Times New Roman" w:hAnsi="Times New Roman"/>
          <w:i/>
          <w:color w:val="000000" w:themeColor="text1"/>
          <w:sz w:val="28"/>
          <w:szCs w:val="28"/>
          <w:lang w:val="uk-UA"/>
        </w:rPr>
        <w:t xml:space="preserve"> </w:t>
      </w:r>
      <w:proofErr w:type="spellStart"/>
      <w:r>
        <w:rPr>
          <w:rFonts w:ascii="Times New Roman" w:hAnsi="Times New Roman"/>
          <w:i/>
          <w:color w:val="000000" w:themeColor="text1"/>
          <w:sz w:val="28"/>
          <w:szCs w:val="28"/>
          <w:lang w:val="uk-UA"/>
        </w:rPr>
        <w:t>территорий</w:t>
      </w:r>
      <w:proofErr w:type="spellEnd"/>
      <w:r>
        <w:rPr>
          <w:rFonts w:ascii="Times New Roman" w:hAnsi="Times New Roman"/>
          <w:i/>
          <w:color w:val="000000" w:themeColor="text1"/>
          <w:sz w:val="28"/>
          <w:szCs w:val="28"/>
          <w:lang w:val="uk-UA"/>
        </w:rPr>
        <w:t xml:space="preserve">, доли </w:t>
      </w:r>
      <w:proofErr w:type="spellStart"/>
      <w:r>
        <w:rPr>
          <w:rFonts w:ascii="Times New Roman" w:hAnsi="Times New Roman"/>
          <w:i/>
          <w:color w:val="000000" w:themeColor="text1"/>
          <w:sz w:val="28"/>
          <w:szCs w:val="28"/>
          <w:lang w:val="uk-UA"/>
        </w:rPr>
        <w:t>долга</w:t>
      </w:r>
      <w:proofErr w:type="spellEnd"/>
      <w:r>
        <w:rPr>
          <w:rFonts w:ascii="Times New Roman" w:hAnsi="Times New Roman"/>
          <w:i/>
          <w:color w:val="000000" w:themeColor="text1"/>
          <w:sz w:val="28"/>
          <w:szCs w:val="28"/>
          <w:lang w:val="uk-UA"/>
        </w:rPr>
        <w:t xml:space="preserve"> в </w:t>
      </w:r>
      <w:proofErr w:type="spellStart"/>
      <w:r>
        <w:rPr>
          <w:rFonts w:ascii="Times New Roman" w:hAnsi="Times New Roman"/>
          <w:i/>
          <w:color w:val="000000" w:themeColor="text1"/>
          <w:sz w:val="28"/>
          <w:szCs w:val="28"/>
          <w:lang w:val="uk-UA"/>
        </w:rPr>
        <w:t>отношенни</w:t>
      </w:r>
      <w:proofErr w:type="spellEnd"/>
      <w:r w:rsidRPr="00DA7719">
        <w:rPr>
          <w:rFonts w:ascii="Times New Roman" w:hAnsi="Times New Roman"/>
          <w:i/>
          <w:color w:val="000000" w:themeColor="text1"/>
          <w:sz w:val="28"/>
          <w:szCs w:val="28"/>
          <w:lang w:val="uk-UA"/>
        </w:rPr>
        <w:t xml:space="preserve"> ВВП. Доказана </w:t>
      </w:r>
      <w:proofErr w:type="spellStart"/>
      <w:r w:rsidRPr="00DA7719">
        <w:rPr>
          <w:rFonts w:ascii="Times New Roman" w:hAnsi="Times New Roman"/>
          <w:i/>
          <w:color w:val="000000" w:themeColor="text1"/>
          <w:sz w:val="28"/>
          <w:szCs w:val="28"/>
          <w:lang w:val="uk-UA"/>
        </w:rPr>
        <w:t>важность</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стратегического</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подхода</w:t>
      </w:r>
      <w:proofErr w:type="spellEnd"/>
      <w:r w:rsidRPr="00DA7719">
        <w:rPr>
          <w:rFonts w:ascii="Times New Roman" w:hAnsi="Times New Roman"/>
          <w:i/>
          <w:color w:val="000000" w:themeColor="text1"/>
          <w:sz w:val="28"/>
          <w:szCs w:val="28"/>
          <w:lang w:val="uk-UA"/>
        </w:rPr>
        <w:t xml:space="preserve"> к </w:t>
      </w:r>
      <w:proofErr w:type="spellStart"/>
      <w:r w:rsidRPr="00DA7719">
        <w:rPr>
          <w:rFonts w:ascii="Times New Roman" w:hAnsi="Times New Roman"/>
          <w:i/>
          <w:color w:val="000000" w:themeColor="text1"/>
          <w:sz w:val="28"/>
          <w:szCs w:val="28"/>
          <w:lang w:val="uk-UA"/>
        </w:rPr>
        <w:t>организации</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налогово-долгового</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работы</w:t>
      </w:r>
      <w:proofErr w:type="spellEnd"/>
      <w:r w:rsidRPr="00DA7719">
        <w:rPr>
          <w:rFonts w:ascii="Times New Roman" w:hAnsi="Times New Roman"/>
          <w:i/>
          <w:color w:val="000000" w:themeColor="text1"/>
          <w:sz w:val="28"/>
          <w:szCs w:val="28"/>
          <w:lang w:val="uk-UA"/>
        </w:rPr>
        <w:t xml:space="preserve"> с </w:t>
      </w:r>
      <w:proofErr w:type="spellStart"/>
      <w:r w:rsidRPr="00DA7719">
        <w:rPr>
          <w:rFonts w:ascii="Times New Roman" w:hAnsi="Times New Roman"/>
          <w:i/>
          <w:color w:val="000000" w:themeColor="text1"/>
          <w:sz w:val="28"/>
          <w:szCs w:val="28"/>
          <w:lang w:val="uk-UA"/>
        </w:rPr>
        <w:t>целью</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усиления</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финансовой</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безопасности</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государства</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Определены</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интересы</w:t>
      </w:r>
      <w:proofErr w:type="spellEnd"/>
      <w:r w:rsidRPr="00DA7719">
        <w:rPr>
          <w:rFonts w:ascii="Times New Roman" w:hAnsi="Times New Roman"/>
          <w:i/>
          <w:color w:val="000000" w:themeColor="text1"/>
          <w:sz w:val="28"/>
          <w:szCs w:val="28"/>
          <w:lang w:val="uk-UA"/>
        </w:rPr>
        <w:t xml:space="preserve"> в </w:t>
      </w:r>
      <w:proofErr w:type="spellStart"/>
      <w:r w:rsidRPr="00DA7719">
        <w:rPr>
          <w:rFonts w:ascii="Times New Roman" w:hAnsi="Times New Roman"/>
          <w:i/>
          <w:color w:val="000000" w:themeColor="text1"/>
          <w:sz w:val="28"/>
          <w:szCs w:val="28"/>
          <w:lang w:val="uk-UA"/>
        </w:rPr>
        <w:t>сфере</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аккумулирования</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налоговых</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поступлений</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необходимых</w:t>
      </w:r>
      <w:proofErr w:type="spellEnd"/>
      <w:r w:rsidRPr="00DA7719">
        <w:rPr>
          <w:rFonts w:ascii="Times New Roman" w:hAnsi="Times New Roman"/>
          <w:i/>
          <w:color w:val="000000" w:themeColor="text1"/>
          <w:sz w:val="28"/>
          <w:szCs w:val="28"/>
          <w:lang w:val="uk-UA"/>
        </w:rPr>
        <w:t xml:space="preserve"> для </w:t>
      </w:r>
      <w:proofErr w:type="spellStart"/>
      <w:r w:rsidRPr="00DA7719">
        <w:rPr>
          <w:rFonts w:ascii="Times New Roman" w:hAnsi="Times New Roman"/>
          <w:i/>
          <w:color w:val="000000" w:themeColor="text1"/>
          <w:sz w:val="28"/>
          <w:szCs w:val="28"/>
          <w:lang w:val="uk-UA"/>
        </w:rPr>
        <w:t>формирования</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надлежащего</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финансового</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потенциала</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государства</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Предложено</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Программу</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нейтрализации</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налогово-долговых</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рисков</w:t>
      </w:r>
      <w:proofErr w:type="spellEnd"/>
      <w:r w:rsidRPr="00DA7719">
        <w:rPr>
          <w:rFonts w:ascii="Times New Roman" w:hAnsi="Times New Roman"/>
          <w:i/>
          <w:color w:val="000000" w:themeColor="text1"/>
          <w:sz w:val="28"/>
          <w:szCs w:val="28"/>
          <w:lang w:val="uk-UA"/>
        </w:rPr>
        <w:t xml:space="preserve"> с </w:t>
      </w:r>
      <w:proofErr w:type="spellStart"/>
      <w:r w:rsidRPr="00DA7719">
        <w:rPr>
          <w:rFonts w:ascii="Times New Roman" w:hAnsi="Times New Roman"/>
          <w:i/>
          <w:color w:val="000000" w:themeColor="text1"/>
          <w:sz w:val="28"/>
          <w:szCs w:val="28"/>
          <w:lang w:val="uk-UA"/>
        </w:rPr>
        <w:t>учетом</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их</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жизненного</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цикла</w:t>
      </w:r>
      <w:proofErr w:type="spellEnd"/>
      <w:r w:rsidRPr="00DA7719">
        <w:rPr>
          <w:rFonts w:ascii="Times New Roman" w:hAnsi="Times New Roman"/>
          <w:i/>
          <w:color w:val="000000" w:themeColor="text1"/>
          <w:sz w:val="28"/>
          <w:szCs w:val="28"/>
          <w:lang w:val="uk-UA"/>
        </w:rPr>
        <w:t>.</w:t>
      </w:r>
    </w:p>
    <w:p w:rsidR="00E04A1D" w:rsidRDefault="00DA7719" w:rsidP="00E04A1D">
      <w:pPr>
        <w:pStyle w:val="ListParagraph"/>
        <w:widowControl w:val="0"/>
        <w:suppressLineNumbers/>
        <w:tabs>
          <w:tab w:val="num" w:pos="426"/>
          <w:tab w:val="left" w:pos="993"/>
          <w:tab w:val="left" w:pos="1276"/>
        </w:tabs>
        <w:suppressAutoHyphens/>
        <w:spacing w:after="0" w:line="240" w:lineRule="auto"/>
        <w:ind w:left="-567" w:firstLine="709"/>
        <w:jc w:val="both"/>
        <w:rPr>
          <w:rFonts w:ascii="Times New Roman" w:hAnsi="Times New Roman"/>
          <w:i/>
          <w:color w:val="000000" w:themeColor="text1"/>
          <w:sz w:val="28"/>
          <w:szCs w:val="28"/>
          <w:lang w:val="uk-UA"/>
        </w:rPr>
      </w:pPr>
      <w:proofErr w:type="spellStart"/>
      <w:r w:rsidRPr="00DA7719">
        <w:rPr>
          <w:rFonts w:ascii="Times New Roman" w:hAnsi="Times New Roman"/>
          <w:b/>
          <w:i/>
          <w:color w:val="000000" w:themeColor="text1"/>
          <w:sz w:val="28"/>
          <w:szCs w:val="28"/>
          <w:lang w:val="uk-UA"/>
        </w:rPr>
        <w:t>Ключевые</w:t>
      </w:r>
      <w:proofErr w:type="spellEnd"/>
      <w:r w:rsidRPr="00DA7719">
        <w:rPr>
          <w:rFonts w:ascii="Times New Roman" w:hAnsi="Times New Roman"/>
          <w:b/>
          <w:i/>
          <w:color w:val="000000" w:themeColor="text1"/>
          <w:sz w:val="28"/>
          <w:szCs w:val="28"/>
          <w:lang w:val="uk-UA"/>
        </w:rPr>
        <w:t xml:space="preserve"> слова:</w:t>
      </w:r>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налогово-долговые</w:t>
      </w:r>
      <w:proofErr w:type="spellEnd"/>
      <w:r w:rsidRPr="00DA7719">
        <w:rPr>
          <w:rFonts w:ascii="Times New Roman" w:hAnsi="Times New Roman"/>
          <w:i/>
          <w:color w:val="000000" w:themeColor="text1"/>
          <w:sz w:val="28"/>
          <w:szCs w:val="28"/>
          <w:lang w:val="uk-UA"/>
        </w:rPr>
        <w:t xml:space="preserve"> риски, </w:t>
      </w:r>
      <w:proofErr w:type="spellStart"/>
      <w:r w:rsidRPr="00DA7719">
        <w:rPr>
          <w:rFonts w:ascii="Times New Roman" w:hAnsi="Times New Roman"/>
          <w:i/>
          <w:color w:val="000000" w:themeColor="text1"/>
          <w:sz w:val="28"/>
          <w:szCs w:val="28"/>
          <w:lang w:val="uk-UA"/>
        </w:rPr>
        <w:t>динамика</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налогового</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долга</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Программа</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нейтрализации</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налогово-долговых</w:t>
      </w:r>
      <w:proofErr w:type="spellEnd"/>
      <w:r w:rsidRPr="00DA7719">
        <w:rPr>
          <w:rFonts w:ascii="Times New Roman" w:hAnsi="Times New Roman"/>
          <w:i/>
          <w:color w:val="000000" w:themeColor="text1"/>
          <w:sz w:val="28"/>
          <w:szCs w:val="28"/>
          <w:lang w:val="uk-UA"/>
        </w:rPr>
        <w:t xml:space="preserve"> </w:t>
      </w:r>
      <w:proofErr w:type="spellStart"/>
      <w:r w:rsidRPr="00DA7719">
        <w:rPr>
          <w:rFonts w:ascii="Times New Roman" w:hAnsi="Times New Roman"/>
          <w:i/>
          <w:color w:val="000000" w:themeColor="text1"/>
          <w:sz w:val="28"/>
          <w:szCs w:val="28"/>
          <w:lang w:val="uk-UA"/>
        </w:rPr>
        <w:t>рисков</w:t>
      </w:r>
      <w:proofErr w:type="spellEnd"/>
      <w:r w:rsidRPr="00DA7719">
        <w:rPr>
          <w:rFonts w:ascii="Times New Roman" w:hAnsi="Times New Roman"/>
          <w:i/>
          <w:color w:val="000000" w:themeColor="text1"/>
          <w:sz w:val="28"/>
          <w:szCs w:val="28"/>
          <w:lang w:val="uk-UA"/>
        </w:rPr>
        <w:t>.</w:t>
      </w:r>
    </w:p>
    <w:p w:rsidR="00E04A1D" w:rsidRDefault="00E04A1D" w:rsidP="00E04A1D">
      <w:pPr>
        <w:spacing w:after="0" w:line="240" w:lineRule="auto"/>
        <w:ind w:firstLine="709"/>
        <w:jc w:val="center"/>
        <w:rPr>
          <w:rFonts w:ascii="Times New Roman" w:hAnsi="Times New Roman"/>
          <w:sz w:val="28"/>
          <w:szCs w:val="28"/>
        </w:rPr>
      </w:pPr>
    </w:p>
    <w:p w:rsidR="00E04A1D" w:rsidRPr="00E04A1D" w:rsidRDefault="00E04A1D" w:rsidP="00E04A1D">
      <w:pPr>
        <w:spacing w:after="0" w:line="240" w:lineRule="auto"/>
        <w:ind w:left="-567" w:firstLine="709"/>
        <w:jc w:val="both"/>
        <w:rPr>
          <w:rFonts w:ascii="Times New Roman" w:hAnsi="Times New Roman"/>
          <w:b/>
          <w:sz w:val="28"/>
          <w:szCs w:val="28"/>
          <w:lang w:val="uk-UA"/>
        </w:rPr>
      </w:pPr>
      <w:r w:rsidRPr="00E04A1D">
        <w:rPr>
          <w:rFonts w:ascii="Times New Roman" w:hAnsi="Times New Roman"/>
          <w:b/>
          <w:sz w:val="28"/>
          <w:szCs w:val="28"/>
          <w:lang w:val="en-US"/>
        </w:rPr>
        <w:t>N</w:t>
      </w:r>
      <w:r w:rsidRPr="00E04A1D">
        <w:rPr>
          <w:rFonts w:ascii="Times New Roman" w:hAnsi="Times New Roman"/>
          <w:b/>
          <w:iCs/>
          <w:sz w:val="28"/>
          <w:szCs w:val="28"/>
          <w:lang w:val="en-US"/>
        </w:rPr>
        <w:t xml:space="preserve">. </w:t>
      </w:r>
      <w:proofErr w:type="spellStart"/>
      <w:r>
        <w:rPr>
          <w:rFonts w:ascii="Times New Roman" w:hAnsi="Times New Roman"/>
          <w:b/>
          <w:sz w:val="28"/>
          <w:szCs w:val="28"/>
          <w:lang w:val="en-US"/>
        </w:rPr>
        <w:t>Myhalchuk</w:t>
      </w:r>
      <w:proofErr w:type="spellEnd"/>
      <w:r>
        <w:rPr>
          <w:rFonts w:ascii="Times New Roman" w:hAnsi="Times New Roman"/>
          <w:b/>
          <w:sz w:val="28"/>
          <w:szCs w:val="28"/>
          <w:lang w:val="uk-UA"/>
        </w:rPr>
        <w:t xml:space="preserve">. </w:t>
      </w:r>
      <w:r w:rsidRPr="00E04A1D">
        <w:rPr>
          <w:rFonts w:ascii="Times New Roman" w:hAnsi="Times New Roman"/>
          <w:b/>
          <w:sz w:val="28"/>
          <w:szCs w:val="28"/>
          <w:lang w:val="en-US"/>
        </w:rPr>
        <w:t xml:space="preserve">The Program of neutralization of tax-debt risks </w:t>
      </w:r>
      <w:r>
        <w:rPr>
          <w:rFonts w:ascii="Times New Roman" w:hAnsi="Times New Roman"/>
          <w:b/>
          <w:sz w:val="28"/>
          <w:szCs w:val="28"/>
          <w:lang w:val="en-US"/>
        </w:rPr>
        <w:t>of the state financial security</w:t>
      </w:r>
      <w:r>
        <w:rPr>
          <w:rFonts w:ascii="Times New Roman" w:hAnsi="Times New Roman"/>
          <w:b/>
          <w:sz w:val="28"/>
          <w:szCs w:val="28"/>
          <w:lang w:val="uk-UA"/>
        </w:rPr>
        <w:t>.</w:t>
      </w:r>
    </w:p>
    <w:p w:rsidR="00E04A1D" w:rsidRPr="00E83237" w:rsidRDefault="00E04A1D" w:rsidP="00E04A1D">
      <w:pPr>
        <w:spacing w:after="0" w:line="240" w:lineRule="auto"/>
        <w:ind w:left="-567" w:firstLine="709"/>
        <w:jc w:val="center"/>
        <w:rPr>
          <w:rFonts w:ascii="Times New Roman" w:hAnsi="Times New Roman"/>
          <w:b/>
          <w:sz w:val="28"/>
          <w:szCs w:val="28"/>
          <w:lang w:val="en-US"/>
        </w:rPr>
      </w:pPr>
    </w:p>
    <w:p w:rsidR="00E04A1D" w:rsidRPr="00E83237" w:rsidRDefault="00E04A1D" w:rsidP="00E04A1D">
      <w:pPr>
        <w:pStyle w:val="NormalWeb"/>
        <w:spacing w:before="0" w:beforeAutospacing="0" w:after="0" w:afterAutospacing="0"/>
        <w:ind w:left="-567" w:firstLine="709"/>
        <w:jc w:val="both"/>
        <w:rPr>
          <w:sz w:val="28"/>
          <w:szCs w:val="28"/>
          <w:lang w:val="en-US"/>
        </w:rPr>
      </w:pPr>
      <w:r w:rsidRPr="00E83237">
        <w:rPr>
          <w:iCs/>
          <w:sz w:val="28"/>
          <w:szCs w:val="28"/>
          <w:lang w:val="en-US"/>
        </w:rPr>
        <w:t xml:space="preserve">Scientific </w:t>
      </w:r>
      <w:r w:rsidRPr="00E83237">
        <w:rPr>
          <w:sz w:val="28"/>
          <w:szCs w:val="28"/>
          <w:lang w:val="en-US"/>
        </w:rPr>
        <w:t>security</w:t>
      </w:r>
      <w:r w:rsidRPr="00E83237">
        <w:rPr>
          <w:iCs/>
          <w:sz w:val="28"/>
          <w:szCs w:val="28"/>
          <w:lang w:val="en-US"/>
        </w:rPr>
        <w:t xml:space="preserve"> approach to determination of the tax debt nature was used in the article.</w:t>
      </w:r>
      <w:r w:rsidRPr="00E83237">
        <w:rPr>
          <w:sz w:val="28"/>
          <w:szCs w:val="28"/>
          <w:lang w:val="en-US"/>
        </w:rPr>
        <w:t xml:space="preserve"> It was substantiated that tax debt, as a threat to state financial security, – is the form of unauthorized funds use from the budgets of different levels in the amount of obligatory tax liabilities by taxpayer, which causes the use of financial responsibility towards him, which leads to the negative deviation of some financial security parameters. </w:t>
      </w:r>
    </w:p>
    <w:p w:rsidR="00E04A1D" w:rsidRPr="00E83237" w:rsidRDefault="00E04A1D" w:rsidP="00E04A1D">
      <w:pPr>
        <w:pStyle w:val="NormalWeb"/>
        <w:spacing w:before="0" w:beforeAutospacing="0" w:after="0" w:afterAutospacing="0"/>
        <w:ind w:left="-567" w:firstLine="709"/>
        <w:jc w:val="both"/>
        <w:rPr>
          <w:iCs/>
          <w:sz w:val="28"/>
          <w:szCs w:val="28"/>
          <w:lang w:val="en-US"/>
        </w:rPr>
      </w:pPr>
      <w:r w:rsidRPr="00E83237">
        <w:rPr>
          <w:iCs/>
          <w:sz w:val="28"/>
          <w:szCs w:val="28"/>
          <w:lang w:val="en-US"/>
        </w:rPr>
        <w:t>Analysis of the parameters dynamics, describing the development of the phenomenon: the rates of the nominal and actual tax debt change, tax debt dynamics of temporarily occupied territories, debt part of gross national product was made.</w:t>
      </w:r>
      <w:r w:rsidRPr="00E83237">
        <w:rPr>
          <w:sz w:val="28"/>
          <w:szCs w:val="28"/>
          <w:lang w:val="en-US"/>
        </w:rPr>
        <w:t xml:space="preserve"> The need to calculate dynamics of the real tax debt as a parameter, corrected with taking into account the inflation level, was proved. </w:t>
      </w:r>
      <w:r>
        <w:rPr>
          <w:sz w:val="28"/>
          <w:szCs w:val="28"/>
          <w:lang w:val="en-US"/>
        </w:rPr>
        <w:t xml:space="preserve">It was established that growing </w:t>
      </w:r>
      <w:r w:rsidRPr="00FB4578">
        <w:rPr>
          <w:sz w:val="28"/>
          <w:szCs w:val="28"/>
          <w:lang w:val="en-US"/>
        </w:rPr>
        <w:t>inflation</w:t>
      </w:r>
      <w:r w:rsidRPr="00E83237">
        <w:rPr>
          <w:sz w:val="28"/>
          <w:szCs w:val="28"/>
          <w:lang w:val="en-US"/>
        </w:rPr>
        <w:t xml:space="preserve"> </w:t>
      </w:r>
      <w:r w:rsidRPr="00FB4578">
        <w:rPr>
          <w:sz w:val="28"/>
          <w:szCs w:val="28"/>
          <w:lang w:val="en-US"/>
        </w:rPr>
        <w:t>leads to</w:t>
      </w:r>
      <w:r>
        <w:rPr>
          <w:sz w:val="28"/>
          <w:szCs w:val="28"/>
          <w:lang w:val="en-US"/>
        </w:rPr>
        <w:t xml:space="preserve"> the</w:t>
      </w:r>
      <w:r w:rsidRPr="00FB4578">
        <w:rPr>
          <w:sz w:val="28"/>
          <w:szCs w:val="28"/>
          <w:lang w:val="en-US"/>
        </w:rPr>
        <w:t xml:space="preserve"> changes in the amount of payments</w:t>
      </w:r>
      <w:r w:rsidRPr="00E83237">
        <w:rPr>
          <w:sz w:val="28"/>
          <w:szCs w:val="28"/>
          <w:lang w:val="en-US"/>
        </w:rPr>
        <w:t xml:space="preserve">, </w:t>
      </w:r>
      <w:r w:rsidRPr="00FB4578">
        <w:rPr>
          <w:sz w:val="28"/>
          <w:szCs w:val="28"/>
          <w:lang w:val="en-US"/>
        </w:rPr>
        <w:t>non-payment</w:t>
      </w:r>
      <w:r>
        <w:rPr>
          <w:sz w:val="28"/>
          <w:szCs w:val="28"/>
          <w:lang w:val="en-US"/>
        </w:rPr>
        <w:t>s</w:t>
      </w:r>
      <w:r w:rsidRPr="00E83237">
        <w:rPr>
          <w:sz w:val="28"/>
          <w:szCs w:val="28"/>
          <w:lang w:val="en-US"/>
        </w:rPr>
        <w:t xml:space="preserve">, </w:t>
      </w:r>
      <w:r w:rsidRPr="00FB4578">
        <w:rPr>
          <w:sz w:val="28"/>
          <w:szCs w:val="28"/>
          <w:lang w:val="en-US"/>
        </w:rPr>
        <w:t>additional charges</w:t>
      </w:r>
      <w:r w:rsidRPr="00E83237">
        <w:rPr>
          <w:sz w:val="28"/>
          <w:szCs w:val="28"/>
          <w:lang w:val="en-US"/>
        </w:rPr>
        <w:t xml:space="preserve">, </w:t>
      </w:r>
      <w:r w:rsidRPr="00FB4578">
        <w:rPr>
          <w:sz w:val="28"/>
          <w:szCs w:val="28"/>
          <w:lang w:val="en-US"/>
        </w:rPr>
        <w:t xml:space="preserve">and then </w:t>
      </w:r>
      <w:r w:rsidRPr="00E83237">
        <w:rPr>
          <w:sz w:val="28"/>
          <w:szCs w:val="28"/>
          <w:lang w:val="en-US"/>
        </w:rPr>
        <w:t xml:space="preserve">– </w:t>
      </w:r>
      <w:r>
        <w:rPr>
          <w:sz w:val="28"/>
          <w:szCs w:val="28"/>
          <w:lang w:val="en-US"/>
        </w:rPr>
        <w:t>to the increase of</w:t>
      </w:r>
      <w:r w:rsidRPr="00E83237">
        <w:rPr>
          <w:sz w:val="28"/>
          <w:szCs w:val="28"/>
          <w:lang w:val="en-US"/>
        </w:rPr>
        <w:t xml:space="preserve"> </w:t>
      </w:r>
      <w:r w:rsidRPr="00FB4578">
        <w:rPr>
          <w:sz w:val="28"/>
          <w:szCs w:val="28"/>
          <w:lang w:val="en-US"/>
        </w:rPr>
        <w:t>absolute value</w:t>
      </w:r>
      <w:r>
        <w:rPr>
          <w:sz w:val="28"/>
          <w:szCs w:val="28"/>
          <w:lang w:val="en-US"/>
        </w:rPr>
        <w:t xml:space="preserve"> of</w:t>
      </w:r>
      <w:r w:rsidRPr="00FB4578">
        <w:rPr>
          <w:sz w:val="28"/>
          <w:szCs w:val="28"/>
          <w:lang w:val="en-US"/>
        </w:rPr>
        <w:t xml:space="preserve"> tax debt</w:t>
      </w:r>
      <w:r>
        <w:rPr>
          <w:sz w:val="28"/>
          <w:szCs w:val="28"/>
          <w:lang w:val="en-US"/>
        </w:rPr>
        <w:t>,</w:t>
      </w:r>
      <w:r w:rsidRPr="00FB4578">
        <w:rPr>
          <w:sz w:val="28"/>
          <w:szCs w:val="28"/>
          <w:lang w:val="en-US"/>
        </w:rPr>
        <w:t xml:space="preserve"> even with the strengthen</w:t>
      </w:r>
      <w:r>
        <w:rPr>
          <w:sz w:val="28"/>
          <w:szCs w:val="28"/>
          <w:lang w:val="en-US"/>
        </w:rPr>
        <w:t>ing</w:t>
      </w:r>
      <w:r w:rsidRPr="00FB4578">
        <w:rPr>
          <w:sz w:val="28"/>
          <w:szCs w:val="28"/>
          <w:lang w:val="en-US"/>
        </w:rPr>
        <w:t xml:space="preserve"> the payment discipline </w:t>
      </w:r>
      <w:r>
        <w:rPr>
          <w:sz w:val="28"/>
          <w:szCs w:val="28"/>
          <w:lang w:val="en-US"/>
        </w:rPr>
        <w:t xml:space="preserve">of </w:t>
      </w:r>
      <w:r w:rsidRPr="00FB4578">
        <w:rPr>
          <w:sz w:val="28"/>
          <w:szCs w:val="28"/>
          <w:lang w:val="en-US"/>
        </w:rPr>
        <w:t>taxpayers</w:t>
      </w:r>
      <w:r w:rsidRPr="00E83237">
        <w:rPr>
          <w:sz w:val="28"/>
          <w:szCs w:val="28"/>
          <w:lang w:val="en-US"/>
        </w:rPr>
        <w:t xml:space="preserve"> </w:t>
      </w:r>
      <w:r>
        <w:rPr>
          <w:sz w:val="28"/>
          <w:szCs w:val="28"/>
          <w:lang w:val="en-US"/>
        </w:rPr>
        <w:t>or</w:t>
      </w:r>
      <w:r w:rsidRPr="00E83237">
        <w:rPr>
          <w:sz w:val="28"/>
          <w:szCs w:val="28"/>
          <w:lang w:val="en-US"/>
        </w:rPr>
        <w:t xml:space="preserve"> </w:t>
      </w:r>
      <w:r>
        <w:rPr>
          <w:sz w:val="28"/>
          <w:szCs w:val="28"/>
          <w:lang w:val="en-US"/>
        </w:rPr>
        <w:t xml:space="preserve">at </w:t>
      </w:r>
      <w:r w:rsidRPr="00FB4578">
        <w:rPr>
          <w:sz w:val="28"/>
          <w:szCs w:val="28"/>
          <w:lang w:val="en-US"/>
        </w:rPr>
        <w:t>measures efficiency</w:t>
      </w:r>
      <w:r>
        <w:rPr>
          <w:sz w:val="28"/>
          <w:szCs w:val="28"/>
          <w:lang w:val="en-US"/>
        </w:rPr>
        <w:t xml:space="preserve"> increase concerning</w:t>
      </w:r>
      <w:r w:rsidRPr="00E83237">
        <w:rPr>
          <w:sz w:val="28"/>
          <w:szCs w:val="28"/>
          <w:lang w:val="en-US"/>
        </w:rPr>
        <w:t xml:space="preserve"> </w:t>
      </w:r>
      <w:r w:rsidRPr="00FB4578">
        <w:rPr>
          <w:sz w:val="28"/>
          <w:szCs w:val="28"/>
          <w:lang w:val="en-US"/>
        </w:rPr>
        <w:t>tax debt management</w:t>
      </w:r>
      <w:r w:rsidRPr="00E83237">
        <w:rPr>
          <w:sz w:val="28"/>
          <w:szCs w:val="28"/>
          <w:lang w:val="en-US"/>
        </w:rPr>
        <w:t xml:space="preserve">, </w:t>
      </w:r>
      <w:r w:rsidRPr="00FB4578">
        <w:rPr>
          <w:sz w:val="28"/>
          <w:szCs w:val="28"/>
          <w:lang w:val="en-US"/>
        </w:rPr>
        <w:t>and vice versa</w:t>
      </w:r>
      <w:r w:rsidRPr="00E83237">
        <w:rPr>
          <w:sz w:val="28"/>
          <w:szCs w:val="28"/>
          <w:lang w:val="en-US"/>
        </w:rPr>
        <w:t xml:space="preserve">.  </w:t>
      </w:r>
      <w:r>
        <w:rPr>
          <w:sz w:val="28"/>
          <w:szCs w:val="28"/>
          <w:lang w:val="en-US"/>
        </w:rPr>
        <w:t xml:space="preserve">The </w:t>
      </w:r>
      <w:r w:rsidRPr="00F97417">
        <w:rPr>
          <w:sz w:val="28"/>
          <w:szCs w:val="28"/>
          <w:lang w:val="en-US"/>
        </w:rPr>
        <w:t>trends</w:t>
      </w:r>
      <w:r>
        <w:rPr>
          <w:sz w:val="28"/>
          <w:szCs w:val="28"/>
          <w:lang w:val="en-US"/>
        </w:rPr>
        <w:t xml:space="preserve"> of</w:t>
      </w:r>
      <w:r w:rsidRPr="00E83237">
        <w:rPr>
          <w:sz w:val="28"/>
          <w:szCs w:val="28"/>
          <w:lang w:val="en-US"/>
        </w:rPr>
        <w:t xml:space="preserve"> </w:t>
      </w:r>
      <w:r w:rsidRPr="00E83237">
        <w:rPr>
          <w:iCs/>
          <w:sz w:val="28"/>
          <w:szCs w:val="28"/>
          <w:lang w:val="en-US"/>
        </w:rPr>
        <w:t>debt part of gross national product</w:t>
      </w:r>
      <w:r>
        <w:rPr>
          <w:iCs/>
          <w:sz w:val="28"/>
          <w:szCs w:val="28"/>
          <w:lang w:val="en-US"/>
        </w:rPr>
        <w:t xml:space="preserve"> of </w:t>
      </w:r>
      <w:smartTag w:uri="urn:schemas-microsoft-com:office:smarttags" w:element="country-region">
        <w:smartTag w:uri="urn:schemas-microsoft-com:office:smarttags" w:element="place">
          <w:r>
            <w:rPr>
              <w:iCs/>
              <w:sz w:val="28"/>
              <w:szCs w:val="28"/>
              <w:lang w:val="en-US"/>
            </w:rPr>
            <w:t>Ukraine</w:t>
          </w:r>
        </w:smartTag>
      </w:smartTag>
      <w:r w:rsidRPr="00E83237">
        <w:rPr>
          <w:sz w:val="28"/>
          <w:szCs w:val="28"/>
          <w:lang w:val="en-US"/>
        </w:rPr>
        <w:t xml:space="preserve"> for the years 2004-2014</w:t>
      </w:r>
      <w:r>
        <w:rPr>
          <w:sz w:val="28"/>
          <w:szCs w:val="28"/>
          <w:lang w:val="en-US"/>
        </w:rPr>
        <w:t xml:space="preserve"> were studied,</w:t>
      </w:r>
      <w:r w:rsidRPr="00E83237">
        <w:rPr>
          <w:sz w:val="28"/>
          <w:szCs w:val="28"/>
          <w:lang w:val="en-US"/>
        </w:rPr>
        <w:t xml:space="preserve"> </w:t>
      </w:r>
      <w:r>
        <w:rPr>
          <w:sz w:val="28"/>
          <w:szCs w:val="28"/>
          <w:lang w:val="en-US"/>
        </w:rPr>
        <w:t>and it was revealed that</w:t>
      </w:r>
      <w:r w:rsidRPr="00E83237">
        <w:rPr>
          <w:sz w:val="28"/>
          <w:szCs w:val="28"/>
          <w:lang w:val="en-US"/>
        </w:rPr>
        <w:t xml:space="preserve"> </w:t>
      </w:r>
      <w:r w:rsidRPr="00F97417">
        <w:rPr>
          <w:sz w:val="28"/>
          <w:szCs w:val="28"/>
          <w:lang w:val="en-US"/>
        </w:rPr>
        <w:t>value of this</w:t>
      </w:r>
      <w:r>
        <w:rPr>
          <w:sz w:val="28"/>
          <w:szCs w:val="28"/>
          <w:lang w:val="en-US"/>
        </w:rPr>
        <w:t xml:space="preserve"> parameter</w:t>
      </w:r>
      <w:r w:rsidRPr="00E83237">
        <w:rPr>
          <w:sz w:val="28"/>
          <w:szCs w:val="28"/>
          <w:lang w:val="en-US"/>
        </w:rPr>
        <w:t xml:space="preserve"> </w:t>
      </w:r>
      <w:r w:rsidRPr="00F97417">
        <w:rPr>
          <w:sz w:val="28"/>
          <w:szCs w:val="28"/>
          <w:lang w:val="en-US"/>
        </w:rPr>
        <w:t>exceeds</w:t>
      </w:r>
      <w:r>
        <w:rPr>
          <w:sz w:val="28"/>
          <w:szCs w:val="28"/>
          <w:lang w:val="en-US"/>
        </w:rPr>
        <w:t xml:space="preserve"> the</w:t>
      </w:r>
      <w:r w:rsidRPr="00F97417">
        <w:rPr>
          <w:sz w:val="28"/>
          <w:szCs w:val="28"/>
          <w:lang w:val="en-US"/>
        </w:rPr>
        <w:t xml:space="preserve"> limits </w:t>
      </w:r>
      <w:r>
        <w:rPr>
          <w:sz w:val="28"/>
          <w:szCs w:val="28"/>
          <w:lang w:val="en-US"/>
        </w:rPr>
        <w:t>during al</w:t>
      </w:r>
      <w:r w:rsidRPr="00F97417">
        <w:rPr>
          <w:sz w:val="28"/>
          <w:szCs w:val="28"/>
          <w:lang w:val="en-US"/>
        </w:rPr>
        <w:t xml:space="preserve">most </w:t>
      </w:r>
      <w:r>
        <w:rPr>
          <w:sz w:val="28"/>
          <w:szCs w:val="28"/>
          <w:lang w:val="en-US"/>
        </w:rPr>
        <w:t>all</w:t>
      </w:r>
      <w:r w:rsidRPr="00F97417">
        <w:rPr>
          <w:sz w:val="28"/>
          <w:szCs w:val="28"/>
          <w:lang w:val="en-US"/>
        </w:rPr>
        <w:t xml:space="preserve"> stud</w:t>
      </w:r>
      <w:r>
        <w:rPr>
          <w:sz w:val="28"/>
          <w:szCs w:val="28"/>
          <w:lang w:val="en-US"/>
        </w:rPr>
        <w:t>ied</w:t>
      </w:r>
      <w:r w:rsidRPr="00F97417">
        <w:rPr>
          <w:sz w:val="28"/>
          <w:szCs w:val="28"/>
          <w:lang w:val="en-US"/>
        </w:rPr>
        <w:t xml:space="preserve"> period</w:t>
      </w:r>
      <w:r w:rsidRPr="00E83237">
        <w:rPr>
          <w:sz w:val="28"/>
          <w:szCs w:val="28"/>
          <w:lang w:val="en-US"/>
        </w:rPr>
        <w:t xml:space="preserve">. </w:t>
      </w:r>
      <w:r>
        <w:rPr>
          <w:sz w:val="28"/>
          <w:szCs w:val="28"/>
          <w:lang w:val="en-US"/>
        </w:rPr>
        <w:t xml:space="preserve">  </w:t>
      </w:r>
    </w:p>
    <w:p w:rsidR="00E04A1D" w:rsidRPr="00E83237" w:rsidRDefault="00E04A1D" w:rsidP="00E04A1D">
      <w:pPr>
        <w:spacing w:after="0" w:line="240" w:lineRule="auto"/>
        <w:ind w:left="-567" w:firstLine="709"/>
        <w:jc w:val="both"/>
        <w:rPr>
          <w:rFonts w:ascii="Times New Roman" w:hAnsi="Times New Roman"/>
          <w:sz w:val="28"/>
          <w:szCs w:val="28"/>
          <w:lang w:val="en-US"/>
        </w:rPr>
      </w:pPr>
      <w:r w:rsidRPr="00E83237">
        <w:rPr>
          <w:rFonts w:ascii="Times New Roman" w:hAnsi="Times New Roman"/>
          <w:sz w:val="28"/>
          <w:szCs w:val="28"/>
          <w:lang w:val="en-US"/>
        </w:rPr>
        <w:t xml:space="preserve">The importance of strategic approach to the tax-debt work organization in order to strengthen the financial security of the state was proved. The strategy of national tax </w:t>
      </w:r>
      <w:proofErr w:type="gramStart"/>
      <w:r w:rsidRPr="00E83237">
        <w:rPr>
          <w:rFonts w:ascii="Times New Roman" w:hAnsi="Times New Roman"/>
          <w:sz w:val="28"/>
          <w:szCs w:val="28"/>
          <w:lang w:val="en-US"/>
        </w:rPr>
        <w:t>authorities</w:t>
      </w:r>
      <w:proofErr w:type="gramEnd"/>
      <w:r w:rsidRPr="00E83237">
        <w:rPr>
          <w:rFonts w:ascii="Times New Roman" w:hAnsi="Times New Roman"/>
          <w:sz w:val="28"/>
          <w:szCs w:val="28"/>
          <w:lang w:val="en-US"/>
        </w:rPr>
        <w:t xml:space="preserve"> development from 2001 till present was analyzed. The interests in the field of tax earnings accumulation, which are necessary to form a proper state financial potential, namely: achievement of tax earnings level, corresponding with the planned one; tax earnings due to the stability principle; uniformity of tax environment; compensation of sanctions nature for violation of payment discipline; efficiency of tax work; minimum level of incorrigible debts; saving of operating economic entities were defined.</w:t>
      </w:r>
    </w:p>
    <w:p w:rsidR="00E04A1D" w:rsidRPr="00E83237" w:rsidRDefault="00E04A1D" w:rsidP="00E04A1D">
      <w:pPr>
        <w:spacing w:after="0" w:line="240" w:lineRule="auto"/>
        <w:ind w:left="-567" w:firstLine="709"/>
        <w:jc w:val="both"/>
        <w:rPr>
          <w:rFonts w:ascii="Times New Roman" w:hAnsi="Times New Roman"/>
          <w:sz w:val="28"/>
          <w:szCs w:val="28"/>
          <w:lang w:val="en-US"/>
        </w:rPr>
      </w:pPr>
      <w:r w:rsidRPr="00E83237">
        <w:rPr>
          <w:rFonts w:ascii="Times New Roman" w:hAnsi="Times New Roman"/>
          <w:sz w:val="28"/>
          <w:szCs w:val="28"/>
          <w:lang w:val="en-US"/>
        </w:rPr>
        <w:t xml:space="preserve">The program of neutralization of tax-debt risks with taking into account their life cycle, in particular, on the stages of the risk appearance preconditions, risk birth, threat appearance and its disappearance was proposed. Expected results from these measures implementation were outlined.  </w:t>
      </w:r>
    </w:p>
    <w:p w:rsidR="00431F4E" w:rsidRDefault="00431F4E" w:rsidP="00431F4E">
      <w:pPr>
        <w:pStyle w:val="NormalWeb"/>
        <w:spacing w:before="0" w:beforeAutospacing="0" w:after="0" w:afterAutospacing="0"/>
        <w:ind w:left="-567" w:firstLine="567"/>
        <w:jc w:val="both"/>
        <w:rPr>
          <w:i/>
          <w:color w:val="000000"/>
          <w:sz w:val="28"/>
          <w:szCs w:val="28"/>
          <w:lang w:val="en-US"/>
        </w:rPr>
      </w:pPr>
      <w:proofErr w:type="spellStart"/>
      <w:r w:rsidRPr="00E8027F">
        <w:rPr>
          <w:b/>
          <w:i/>
          <w:color w:val="000000"/>
          <w:sz w:val="28"/>
          <w:szCs w:val="28"/>
          <w:lang w:val="uk-UA"/>
        </w:rPr>
        <w:t>Keywords</w:t>
      </w:r>
      <w:proofErr w:type="spellEnd"/>
      <w:r w:rsidRPr="00E8027F">
        <w:rPr>
          <w:b/>
          <w:i/>
          <w:color w:val="000000"/>
          <w:sz w:val="28"/>
          <w:szCs w:val="28"/>
          <w:lang w:val="uk-UA"/>
        </w:rPr>
        <w:t>:</w:t>
      </w:r>
      <w:r w:rsidRPr="00E8027F">
        <w:rPr>
          <w:i/>
          <w:color w:val="000000"/>
          <w:sz w:val="28"/>
          <w:szCs w:val="28"/>
          <w:lang w:val="uk-UA"/>
        </w:rPr>
        <w:t xml:space="preserve"> </w:t>
      </w:r>
      <w:proofErr w:type="spellStart"/>
      <w:r w:rsidRPr="00E8027F">
        <w:rPr>
          <w:i/>
          <w:color w:val="000000"/>
          <w:sz w:val="28"/>
          <w:szCs w:val="28"/>
          <w:lang w:val="uk-UA"/>
        </w:rPr>
        <w:t>Ta</w:t>
      </w:r>
      <w:proofErr w:type="spellEnd"/>
      <w:r w:rsidRPr="00E8027F">
        <w:rPr>
          <w:i/>
          <w:color w:val="000000"/>
          <w:sz w:val="28"/>
          <w:szCs w:val="28"/>
          <w:lang w:val="en-US"/>
        </w:rPr>
        <w:t>x-</w:t>
      </w:r>
      <w:proofErr w:type="spellStart"/>
      <w:r w:rsidRPr="00E8027F">
        <w:rPr>
          <w:i/>
          <w:color w:val="000000"/>
          <w:sz w:val="28"/>
          <w:szCs w:val="28"/>
          <w:lang w:val="uk-UA"/>
        </w:rPr>
        <w:t>debt</w:t>
      </w:r>
      <w:proofErr w:type="spellEnd"/>
      <w:r w:rsidRPr="00E8027F">
        <w:rPr>
          <w:i/>
          <w:color w:val="000000"/>
          <w:sz w:val="28"/>
          <w:szCs w:val="28"/>
          <w:lang w:val="uk-UA"/>
        </w:rPr>
        <w:t xml:space="preserve"> </w:t>
      </w:r>
      <w:proofErr w:type="spellStart"/>
      <w:r w:rsidRPr="00E8027F">
        <w:rPr>
          <w:i/>
          <w:color w:val="000000"/>
          <w:sz w:val="28"/>
          <w:szCs w:val="28"/>
          <w:lang w:val="uk-UA"/>
        </w:rPr>
        <w:t>risk</w:t>
      </w:r>
      <w:proofErr w:type="spellEnd"/>
      <w:r w:rsidRPr="00E8027F">
        <w:rPr>
          <w:i/>
          <w:color w:val="000000"/>
          <w:sz w:val="28"/>
          <w:szCs w:val="28"/>
          <w:lang w:val="uk-UA"/>
        </w:rPr>
        <w:t xml:space="preserve">, </w:t>
      </w:r>
      <w:proofErr w:type="spellStart"/>
      <w:r w:rsidRPr="00E8027F">
        <w:rPr>
          <w:i/>
          <w:color w:val="000000"/>
          <w:sz w:val="28"/>
          <w:szCs w:val="28"/>
          <w:lang w:val="uk-UA"/>
        </w:rPr>
        <w:t>tax</w:t>
      </w:r>
      <w:proofErr w:type="spellEnd"/>
      <w:r w:rsidRPr="00E8027F">
        <w:rPr>
          <w:i/>
          <w:color w:val="000000"/>
          <w:sz w:val="28"/>
          <w:szCs w:val="28"/>
          <w:lang w:val="uk-UA"/>
        </w:rPr>
        <w:t xml:space="preserve"> </w:t>
      </w:r>
      <w:proofErr w:type="spellStart"/>
      <w:r w:rsidRPr="00E8027F">
        <w:rPr>
          <w:i/>
          <w:color w:val="000000"/>
          <w:sz w:val="28"/>
          <w:szCs w:val="28"/>
          <w:lang w:val="uk-UA"/>
        </w:rPr>
        <w:t>debt</w:t>
      </w:r>
      <w:proofErr w:type="spellEnd"/>
      <w:r w:rsidRPr="00E8027F">
        <w:rPr>
          <w:i/>
          <w:color w:val="000000"/>
          <w:sz w:val="28"/>
          <w:szCs w:val="28"/>
          <w:lang w:val="uk-UA"/>
        </w:rPr>
        <w:t xml:space="preserve"> </w:t>
      </w:r>
      <w:proofErr w:type="spellStart"/>
      <w:r w:rsidRPr="00E8027F">
        <w:rPr>
          <w:i/>
          <w:color w:val="000000"/>
          <w:sz w:val="28"/>
          <w:szCs w:val="28"/>
          <w:lang w:val="uk-UA"/>
        </w:rPr>
        <w:t>dynamics</w:t>
      </w:r>
      <w:proofErr w:type="spellEnd"/>
      <w:r w:rsidRPr="00E8027F">
        <w:rPr>
          <w:i/>
          <w:color w:val="000000"/>
          <w:sz w:val="28"/>
          <w:szCs w:val="28"/>
          <w:lang w:val="uk-UA"/>
        </w:rPr>
        <w:t xml:space="preserve">, </w:t>
      </w:r>
      <w:r>
        <w:rPr>
          <w:i/>
          <w:color w:val="000000"/>
          <w:sz w:val="28"/>
          <w:szCs w:val="28"/>
          <w:lang w:val="en-US"/>
        </w:rPr>
        <w:t>Program</w:t>
      </w:r>
      <w:r w:rsidRPr="00E8027F">
        <w:rPr>
          <w:i/>
          <w:color w:val="000000"/>
          <w:sz w:val="28"/>
          <w:szCs w:val="28"/>
          <w:lang w:val="uk-UA"/>
        </w:rPr>
        <w:t xml:space="preserve"> </w:t>
      </w:r>
      <w:r>
        <w:rPr>
          <w:i/>
          <w:color w:val="000000"/>
          <w:sz w:val="28"/>
          <w:szCs w:val="28"/>
          <w:lang w:val="en-US"/>
        </w:rPr>
        <w:t xml:space="preserve">of </w:t>
      </w:r>
      <w:r w:rsidRPr="00431F4E">
        <w:rPr>
          <w:i/>
          <w:sz w:val="28"/>
          <w:szCs w:val="28"/>
          <w:lang w:val="en-US"/>
        </w:rPr>
        <w:t>neutralization</w:t>
      </w:r>
      <w:r w:rsidRPr="00E8027F">
        <w:rPr>
          <w:i/>
          <w:color w:val="000000"/>
          <w:sz w:val="28"/>
          <w:szCs w:val="28"/>
          <w:lang w:val="uk-UA"/>
        </w:rPr>
        <w:t xml:space="preserve"> </w:t>
      </w:r>
      <w:proofErr w:type="spellStart"/>
      <w:r w:rsidRPr="00E8027F">
        <w:rPr>
          <w:i/>
          <w:color w:val="000000"/>
          <w:sz w:val="28"/>
          <w:szCs w:val="28"/>
          <w:lang w:val="uk-UA"/>
        </w:rPr>
        <w:t>the</w:t>
      </w:r>
      <w:proofErr w:type="spellEnd"/>
      <w:r w:rsidRPr="00E8027F">
        <w:rPr>
          <w:i/>
          <w:color w:val="000000"/>
          <w:sz w:val="28"/>
          <w:szCs w:val="28"/>
          <w:lang w:val="uk-UA"/>
        </w:rPr>
        <w:t xml:space="preserve"> tax-</w:t>
      </w:r>
      <w:proofErr w:type="spellStart"/>
      <w:r w:rsidRPr="00E8027F">
        <w:rPr>
          <w:i/>
          <w:color w:val="000000"/>
          <w:sz w:val="28"/>
          <w:szCs w:val="28"/>
          <w:lang w:val="uk-UA"/>
        </w:rPr>
        <w:t>debt</w:t>
      </w:r>
      <w:proofErr w:type="spellEnd"/>
      <w:r w:rsidRPr="00E8027F">
        <w:rPr>
          <w:i/>
          <w:color w:val="000000"/>
          <w:sz w:val="28"/>
          <w:szCs w:val="28"/>
          <w:lang w:val="uk-UA"/>
        </w:rPr>
        <w:t xml:space="preserve"> </w:t>
      </w:r>
      <w:proofErr w:type="spellStart"/>
      <w:r w:rsidRPr="00E8027F">
        <w:rPr>
          <w:i/>
          <w:color w:val="000000"/>
          <w:sz w:val="28"/>
          <w:szCs w:val="28"/>
          <w:lang w:val="uk-UA"/>
        </w:rPr>
        <w:t>risks</w:t>
      </w:r>
      <w:proofErr w:type="spellEnd"/>
      <w:r w:rsidRPr="00E8027F">
        <w:rPr>
          <w:i/>
          <w:color w:val="000000"/>
          <w:sz w:val="28"/>
          <w:szCs w:val="28"/>
          <w:lang w:val="uk-UA"/>
        </w:rPr>
        <w:t>.</w:t>
      </w:r>
    </w:p>
    <w:p w:rsidR="006A335B" w:rsidRPr="00431F4E" w:rsidRDefault="006A335B" w:rsidP="00E04A1D">
      <w:pPr>
        <w:ind w:left="-567" w:firstLine="709"/>
        <w:rPr>
          <w:lang w:val="en-US"/>
        </w:rPr>
      </w:pPr>
    </w:p>
    <w:sectPr w:rsidR="006A335B" w:rsidRPr="00431F4E" w:rsidSect="002934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4071"/>
    <w:multiLevelType w:val="hybridMultilevel"/>
    <w:tmpl w:val="425C14CE"/>
    <w:lvl w:ilvl="0" w:tplc="0B0E5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8146250"/>
    <w:multiLevelType w:val="hybridMultilevel"/>
    <w:tmpl w:val="DC60F720"/>
    <w:lvl w:ilvl="0" w:tplc="E6F022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AAC5516"/>
    <w:multiLevelType w:val="hybridMultilevel"/>
    <w:tmpl w:val="F20425AA"/>
    <w:lvl w:ilvl="0" w:tplc="A814A12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E3B92"/>
    <w:multiLevelType w:val="hybridMultilevel"/>
    <w:tmpl w:val="0CFA458C"/>
    <w:lvl w:ilvl="0" w:tplc="58786F88">
      <w:start w:val="4"/>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8F32D4"/>
    <w:multiLevelType w:val="multilevel"/>
    <w:tmpl w:val="6E74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144A6D"/>
    <w:multiLevelType w:val="hybridMultilevel"/>
    <w:tmpl w:val="E222E93C"/>
    <w:lvl w:ilvl="0" w:tplc="8F008F5A">
      <w:start w:val="3"/>
      <w:numFmt w:val="bullet"/>
      <w:lvlText w:val="-"/>
      <w:lvlJc w:val="left"/>
      <w:pPr>
        <w:ind w:left="502" w:hanging="360"/>
      </w:pPr>
      <w:rPr>
        <w:rFonts w:ascii="Times New Roman" w:eastAsiaTheme="minorEastAsia"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3A8C4510"/>
    <w:multiLevelType w:val="hybridMultilevel"/>
    <w:tmpl w:val="FBD02646"/>
    <w:lvl w:ilvl="0" w:tplc="8362EF6E">
      <w:start w:val="1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202E9E"/>
    <w:multiLevelType w:val="hybridMultilevel"/>
    <w:tmpl w:val="26607364"/>
    <w:lvl w:ilvl="0" w:tplc="CF5807F2">
      <w:start w:val="1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DB2770"/>
    <w:multiLevelType w:val="hybridMultilevel"/>
    <w:tmpl w:val="409AC43A"/>
    <w:lvl w:ilvl="0" w:tplc="98A6B2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AF0AEE"/>
    <w:multiLevelType w:val="hybridMultilevel"/>
    <w:tmpl w:val="C8C85DFA"/>
    <w:lvl w:ilvl="0" w:tplc="77DCD03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E9D79ED"/>
    <w:multiLevelType w:val="multilevel"/>
    <w:tmpl w:val="722C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1D575A"/>
    <w:multiLevelType w:val="hybridMultilevel"/>
    <w:tmpl w:val="9F5C2A34"/>
    <w:lvl w:ilvl="0" w:tplc="6A4C4F18">
      <w:start w:val="1"/>
      <w:numFmt w:val="decimal"/>
      <w:lvlText w:val="%1."/>
      <w:lvlJc w:val="left"/>
      <w:pPr>
        <w:ind w:left="786" w:hanging="360"/>
      </w:pPr>
      <w:rPr>
        <w:rFonts w:eastAsia="Calibri" w:hint="default"/>
        <w:b w:val="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nsid w:val="753C5C2B"/>
    <w:multiLevelType w:val="hybridMultilevel"/>
    <w:tmpl w:val="95A08814"/>
    <w:lvl w:ilvl="0" w:tplc="DB48197A">
      <w:start w:val="1"/>
      <w:numFmt w:val="decimal"/>
      <w:pStyle w:val="SL"/>
      <w:lvlText w:val="%1."/>
      <w:lvlJc w:val="left"/>
      <w:pPr>
        <w:ind w:left="1146" w:hanging="360"/>
      </w:pPr>
      <w:rPr>
        <w:b w:val="0"/>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nsid w:val="7AB416B9"/>
    <w:multiLevelType w:val="multilevel"/>
    <w:tmpl w:val="ABE4CF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EC763DC"/>
    <w:multiLevelType w:val="hybridMultilevel"/>
    <w:tmpl w:val="7ED8B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
  </w:num>
  <w:num w:numId="5">
    <w:abstractNumId w:val="13"/>
  </w:num>
  <w:num w:numId="6">
    <w:abstractNumId w:val="4"/>
  </w:num>
  <w:num w:numId="7">
    <w:abstractNumId w:val="14"/>
  </w:num>
  <w:num w:numId="8">
    <w:abstractNumId w:val="2"/>
  </w:num>
  <w:num w:numId="9">
    <w:abstractNumId w:val="8"/>
  </w:num>
  <w:num w:numId="10">
    <w:abstractNumId w:val="10"/>
  </w:num>
  <w:num w:numId="11">
    <w:abstractNumId w:val="6"/>
  </w:num>
  <w:num w:numId="12">
    <w:abstractNumId w:val="7"/>
  </w:num>
  <w:num w:numId="13">
    <w:abstractNumId w:val="3"/>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6637"/>
    <w:rsid w:val="00072A73"/>
    <w:rsid w:val="000864D6"/>
    <w:rsid w:val="000E03A7"/>
    <w:rsid w:val="000F6038"/>
    <w:rsid w:val="00100520"/>
    <w:rsid w:val="00117947"/>
    <w:rsid w:val="00120C71"/>
    <w:rsid w:val="001355A7"/>
    <w:rsid w:val="00141928"/>
    <w:rsid w:val="0016118B"/>
    <w:rsid w:val="00174EAE"/>
    <w:rsid w:val="001777DE"/>
    <w:rsid w:val="00180AC3"/>
    <w:rsid w:val="001B68CB"/>
    <w:rsid w:val="001C5738"/>
    <w:rsid w:val="001E4D14"/>
    <w:rsid w:val="00210BE4"/>
    <w:rsid w:val="00221697"/>
    <w:rsid w:val="002605B3"/>
    <w:rsid w:val="0026153D"/>
    <w:rsid w:val="002642C0"/>
    <w:rsid w:val="0028707E"/>
    <w:rsid w:val="00293479"/>
    <w:rsid w:val="002959D8"/>
    <w:rsid w:val="002D0F60"/>
    <w:rsid w:val="002D7620"/>
    <w:rsid w:val="002E66EF"/>
    <w:rsid w:val="002F463E"/>
    <w:rsid w:val="00322FA8"/>
    <w:rsid w:val="00324AE0"/>
    <w:rsid w:val="0033512B"/>
    <w:rsid w:val="00341557"/>
    <w:rsid w:val="0035648A"/>
    <w:rsid w:val="00372248"/>
    <w:rsid w:val="00392BEA"/>
    <w:rsid w:val="003B1771"/>
    <w:rsid w:val="003C59A0"/>
    <w:rsid w:val="003C690F"/>
    <w:rsid w:val="003E5B8E"/>
    <w:rsid w:val="003E7029"/>
    <w:rsid w:val="004179AC"/>
    <w:rsid w:val="00424B31"/>
    <w:rsid w:val="00431F4E"/>
    <w:rsid w:val="00466F29"/>
    <w:rsid w:val="004D5DB6"/>
    <w:rsid w:val="0053071A"/>
    <w:rsid w:val="005547FD"/>
    <w:rsid w:val="00565EDF"/>
    <w:rsid w:val="005975B2"/>
    <w:rsid w:val="005B63C7"/>
    <w:rsid w:val="006410D2"/>
    <w:rsid w:val="00660F87"/>
    <w:rsid w:val="00664297"/>
    <w:rsid w:val="00664DB1"/>
    <w:rsid w:val="00690A71"/>
    <w:rsid w:val="006A1937"/>
    <w:rsid w:val="006A335B"/>
    <w:rsid w:val="006B1E97"/>
    <w:rsid w:val="006B2F7B"/>
    <w:rsid w:val="006C2652"/>
    <w:rsid w:val="006C53D6"/>
    <w:rsid w:val="006E3629"/>
    <w:rsid w:val="00721812"/>
    <w:rsid w:val="007406FA"/>
    <w:rsid w:val="0075461B"/>
    <w:rsid w:val="0076083B"/>
    <w:rsid w:val="00772E9D"/>
    <w:rsid w:val="007A6C49"/>
    <w:rsid w:val="007B7EC9"/>
    <w:rsid w:val="00814CB9"/>
    <w:rsid w:val="00815BD4"/>
    <w:rsid w:val="0082583B"/>
    <w:rsid w:val="00892D9C"/>
    <w:rsid w:val="008C092F"/>
    <w:rsid w:val="008D28C8"/>
    <w:rsid w:val="008F76C3"/>
    <w:rsid w:val="00925E87"/>
    <w:rsid w:val="00932BA8"/>
    <w:rsid w:val="00943368"/>
    <w:rsid w:val="009454E4"/>
    <w:rsid w:val="00964CEF"/>
    <w:rsid w:val="0097297C"/>
    <w:rsid w:val="0099106E"/>
    <w:rsid w:val="009C261C"/>
    <w:rsid w:val="009C43D1"/>
    <w:rsid w:val="00A12815"/>
    <w:rsid w:val="00A15246"/>
    <w:rsid w:val="00A2097C"/>
    <w:rsid w:val="00A27017"/>
    <w:rsid w:val="00A457CF"/>
    <w:rsid w:val="00A470F4"/>
    <w:rsid w:val="00A52651"/>
    <w:rsid w:val="00A530FC"/>
    <w:rsid w:val="00A66B91"/>
    <w:rsid w:val="00AA7DA4"/>
    <w:rsid w:val="00B00294"/>
    <w:rsid w:val="00B03A66"/>
    <w:rsid w:val="00B044CD"/>
    <w:rsid w:val="00B1224E"/>
    <w:rsid w:val="00B2175D"/>
    <w:rsid w:val="00B26637"/>
    <w:rsid w:val="00B9279A"/>
    <w:rsid w:val="00BB4686"/>
    <w:rsid w:val="00BC7DF6"/>
    <w:rsid w:val="00BF0FD8"/>
    <w:rsid w:val="00BF2595"/>
    <w:rsid w:val="00C65A6A"/>
    <w:rsid w:val="00CB0ACC"/>
    <w:rsid w:val="00CB35A2"/>
    <w:rsid w:val="00CC759C"/>
    <w:rsid w:val="00CD7B82"/>
    <w:rsid w:val="00CF3F57"/>
    <w:rsid w:val="00D77D8D"/>
    <w:rsid w:val="00D80A12"/>
    <w:rsid w:val="00D9118D"/>
    <w:rsid w:val="00DA7719"/>
    <w:rsid w:val="00DC057C"/>
    <w:rsid w:val="00DD6DED"/>
    <w:rsid w:val="00DE414E"/>
    <w:rsid w:val="00E04A1D"/>
    <w:rsid w:val="00E13FF1"/>
    <w:rsid w:val="00E3633E"/>
    <w:rsid w:val="00E40DA1"/>
    <w:rsid w:val="00E54B54"/>
    <w:rsid w:val="00E54D7E"/>
    <w:rsid w:val="00E644A3"/>
    <w:rsid w:val="00E8027F"/>
    <w:rsid w:val="00EF2C3B"/>
    <w:rsid w:val="00F22FDC"/>
    <w:rsid w:val="00F323BD"/>
    <w:rsid w:val="00F43BF8"/>
    <w:rsid w:val="00F613AB"/>
    <w:rsid w:val="00F65E23"/>
    <w:rsid w:val="00FC6863"/>
    <w:rsid w:val="00FD306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3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Web)"/>
    <w:basedOn w:val="Normal"/>
    <w:uiPriority w:val="99"/>
    <w:unhideWhenUsed/>
    <w:rsid w:val="00B26637"/>
    <w:pPr>
      <w:spacing w:before="100" w:beforeAutospacing="1" w:after="100" w:afterAutospacing="1" w:line="240" w:lineRule="auto"/>
    </w:pPr>
    <w:rPr>
      <w:rFonts w:ascii="Times New Roman" w:hAnsi="Times New Roman"/>
      <w:sz w:val="24"/>
      <w:szCs w:val="24"/>
    </w:rPr>
  </w:style>
  <w:style w:type="paragraph" w:customStyle="1" w:styleId="Default">
    <w:name w:val="Default"/>
    <w:rsid w:val="001E4D1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41557"/>
    <w:pPr>
      <w:ind w:left="720"/>
      <w:contextualSpacing/>
    </w:pPr>
  </w:style>
  <w:style w:type="table" w:styleId="TableGrid">
    <w:name w:val="Table Grid"/>
    <w:basedOn w:val="TableNormal"/>
    <w:uiPriority w:val="59"/>
    <w:rsid w:val="007406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0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6FA"/>
    <w:rPr>
      <w:rFonts w:ascii="Tahoma" w:eastAsia="Times New Roman" w:hAnsi="Tahoma" w:cs="Tahoma"/>
      <w:sz w:val="16"/>
      <w:szCs w:val="16"/>
      <w:lang w:eastAsia="ru-RU"/>
    </w:rPr>
  </w:style>
  <w:style w:type="character" w:styleId="Hyperlink">
    <w:name w:val="Hyperlink"/>
    <w:basedOn w:val="DefaultParagraphFont"/>
    <w:uiPriority w:val="99"/>
    <w:unhideWhenUsed/>
    <w:rsid w:val="000E03A7"/>
    <w:rPr>
      <w:color w:val="0000FF" w:themeColor="hyperlink"/>
      <w:u w:val="single"/>
    </w:rPr>
  </w:style>
  <w:style w:type="paragraph" w:customStyle="1" w:styleId="a">
    <w:name w:val="a"/>
    <w:basedOn w:val="Normal"/>
    <w:rsid w:val="0053071A"/>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
    <w:uiPriority w:val="99"/>
    <w:unhideWhenUsed/>
    <w:rsid w:val="00424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24B31"/>
    <w:rPr>
      <w:rFonts w:ascii="Courier New" w:eastAsia="Times New Roman" w:hAnsi="Courier New" w:cs="Courier New"/>
      <w:sz w:val="20"/>
      <w:szCs w:val="20"/>
      <w:lang w:eastAsia="ru-RU"/>
    </w:rPr>
  </w:style>
  <w:style w:type="character" w:customStyle="1" w:styleId="apple-converted-space">
    <w:name w:val="apple-converted-space"/>
    <w:basedOn w:val="DefaultParagraphFont"/>
    <w:rsid w:val="006A335B"/>
  </w:style>
  <w:style w:type="paragraph" w:customStyle="1" w:styleId="SL">
    <w:name w:val="SL"/>
    <w:basedOn w:val="Normal"/>
    <w:autoRedefine/>
    <w:rsid w:val="00CD7B82"/>
    <w:pPr>
      <w:widowControl w:val="0"/>
      <w:numPr>
        <w:numId w:val="15"/>
      </w:numPr>
      <w:spacing w:after="0" w:line="360" w:lineRule="auto"/>
      <w:ind w:left="-284" w:firstLine="710"/>
      <w:jc w:val="both"/>
    </w:pPr>
    <w:rPr>
      <w:rFonts w:ascii="Times New Roman" w:hAnsi="Times New Roman"/>
      <w:iCs/>
      <w:sz w:val="28"/>
      <w:szCs w:val="28"/>
      <w:lang w:val="uk-UA"/>
    </w:rPr>
  </w:style>
  <w:style w:type="character" w:styleId="Strong">
    <w:name w:val="Strong"/>
    <w:basedOn w:val="DefaultParagraphFont"/>
    <w:uiPriority w:val="22"/>
    <w:qFormat/>
    <w:rsid w:val="003B1771"/>
    <w:rPr>
      <w:rFonts w:cs="Times New Roman"/>
      <w:b/>
      <w:bCs/>
    </w:rPr>
  </w:style>
</w:styles>
</file>

<file path=word/webSettings.xml><?xml version="1.0" encoding="utf-8"?>
<w:webSettings xmlns:r="http://schemas.openxmlformats.org/officeDocument/2006/relationships" xmlns:w="http://schemas.openxmlformats.org/wordprocessingml/2006/main">
  <w:divs>
    <w:div w:id="1080637446">
      <w:bodyDiv w:val="1"/>
      <w:marLeft w:val="0"/>
      <w:marRight w:val="0"/>
      <w:marTop w:val="0"/>
      <w:marBottom w:val="0"/>
      <w:divBdr>
        <w:top w:val="none" w:sz="0" w:space="0" w:color="auto"/>
        <w:left w:val="none" w:sz="0" w:space="0" w:color="auto"/>
        <w:bottom w:val="none" w:sz="0" w:space="0" w:color="auto"/>
        <w:right w:val="none" w:sz="0" w:space="0" w:color="auto"/>
      </w:divBdr>
    </w:div>
    <w:div w:id="204139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style val="1"/>
  <c:chart>
    <c:autoTitleDeleted val="1"/>
    <c:plotArea>
      <c:layout/>
      <c:lineChart>
        <c:grouping val="standard"/>
        <c:ser>
          <c:idx val="0"/>
          <c:order val="0"/>
          <c:tx>
            <c:strRef>
              <c:f>Лист1!$B$1</c:f>
              <c:strCache>
                <c:ptCount val="1"/>
                <c:pt idx="0">
                  <c:v>податковий борг за податковими зобов’язаннями, млн. грн..</c:v>
                </c:pt>
              </c:strCache>
            </c:strRef>
          </c:tx>
          <c:dLbls>
            <c:dLbl>
              <c:idx val="0"/>
              <c:layout>
                <c:manualLayout>
                  <c:x val="-3.8621634559830975E-2"/>
                  <c:y val="5.5555555555555615E-2"/>
                </c:manualLayout>
              </c:layout>
              <c:dLblPos val="r"/>
              <c:showVal val="1"/>
            </c:dLbl>
            <c:dLbl>
              <c:idx val="1"/>
              <c:layout>
                <c:manualLayout>
                  <c:x val="-5.5393123029434131E-2"/>
                  <c:y val="-0.10493827160493827"/>
                </c:manualLayout>
              </c:layout>
              <c:dLblPos val="r"/>
              <c:showVal val="1"/>
            </c:dLbl>
            <c:dLbl>
              <c:idx val="2"/>
              <c:layout>
                <c:manualLayout>
                  <c:x val="-4.4910942735931936E-2"/>
                  <c:y val="-3.703703703703707E-2"/>
                </c:manualLayout>
              </c:layout>
              <c:dLblPos val="r"/>
              <c:showVal val="1"/>
            </c:dLbl>
            <c:dLbl>
              <c:idx val="3"/>
              <c:layout>
                <c:manualLayout>
                  <c:x val="-4.7007378794631814E-2"/>
                  <c:y val="3.703703703703707E-2"/>
                </c:manualLayout>
              </c:layout>
              <c:dLblPos val="r"/>
              <c:showVal val="1"/>
            </c:dLbl>
            <c:dLbl>
              <c:idx val="4"/>
              <c:layout>
                <c:manualLayout>
                  <c:x val="-6.0041928721173976E-2"/>
                  <c:y val="-3.0864197530864307E-2"/>
                </c:manualLayout>
              </c:layout>
              <c:dLblPos val="r"/>
              <c:showVal val="1"/>
            </c:dLbl>
            <c:dLbl>
              <c:idx val="5"/>
              <c:layout>
                <c:manualLayout>
                  <c:x val="-2.9261130094587237E-2"/>
                  <c:y val="4.9382716049384476E-2"/>
                </c:manualLayout>
              </c:layout>
              <c:dLblPos val="r"/>
              <c:showVal val="1"/>
            </c:dLbl>
            <c:dLbl>
              <c:idx val="6"/>
              <c:layout>
                <c:manualLayout>
                  <c:x val="-7.7512124171292052E-2"/>
                  <c:y val="-1.834802907701084E-2"/>
                </c:manualLayout>
              </c:layout>
              <c:dLblPos val="r"/>
              <c:showVal val="1"/>
            </c:dLbl>
            <c:dLbl>
              <c:idx val="7"/>
              <c:layout>
                <c:manualLayout>
                  <c:x val="-5.4418362798989754E-2"/>
                  <c:y val="-3.703703703703707E-2"/>
                </c:manualLayout>
              </c:layout>
              <c:dLblPos val="r"/>
              <c:showVal val="1"/>
            </c:dLbl>
            <c:dLbl>
              <c:idx val="8"/>
              <c:layout>
                <c:manualLayout>
                  <c:x val="-4.2295680021129531E-2"/>
                  <c:y val="4.3209876543209756E-2"/>
                </c:manualLayout>
              </c:layout>
              <c:dLblPos val="r"/>
              <c:showVal val="1"/>
            </c:dLbl>
            <c:dLbl>
              <c:idx val="9"/>
              <c:layout>
                <c:manualLayout>
                  <c:x val="-6.656267023225906E-3"/>
                  <c:y val="3.0864197530864307E-2"/>
                </c:manualLayout>
              </c:layout>
              <c:dLblPos val="r"/>
              <c:showVal val="1"/>
            </c:dLbl>
            <c:dLbl>
              <c:idx val="10"/>
              <c:layout>
                <c:manualLayout>
                  <c:x val="-7.1645784842932422E-2"/>
                  <c:y val="0"/>
                </c:manualLayout>
              </c:layout>
              <c:dLblPos val="r"/>
              <c:showVal val="1"/>
            </c:dLbl>
            <c:dLbl>
              <c:idx val="11"/>
              <c:layout>
                <c:manualLayout>
                  <c:x val="-2.133131943412794E-2"/>
                  <c:y val="-4.9382716049384337E-2"/>
                </c:manualLayout>
              </c:layout>
              <c:dLblPos val="r"/>
              <c:showVal val="1"/>
            </c:dLbl>
            <c:dLblPos val="ctr"/>
            <c:showVal val="1"/>
          </c:dLbls>
          <c:cat>
            <c:numRef>
              <c:f>Лист1!$A$2:$A$13</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formatCode="dd/mm/yyyy">
                  <c:v>42064</c:v>
                </c:pt>
              </c:numCache>
            </c:numRef>
          </c:cat>
          <c:val>
            <c:numRef>
              <c:f>Лист1!$B$2:$B$13</c:f>
              <c:numCache>
                <c:formatCode>General</c:formatCode>
                <c:ptCount val="12"/>
                <c:pt idx="0">
                  <c:v>8803.7999999999884</c:v>
                </c:pt>
                <c:pt idx="1">
                  <c:v>9401.7999999999884</c:v>
                </c:pt>
                <c:pt idx="2">
                  <c:v>7783.3</c:v>
                </c:pt>
                <c:pt idx="3">
                  <c:v>6324.4</c:v>
                </c:pt>
                <c:pt idx="4">
                  <c:v>9130</c:v>
                </c:pt>
                <c:pt idx="5">
                  <c:v>11752.7</c:v>
                </c:pt>
                <c:pt idx="6">
                  <c:v>16721.5</c:v>
                </c:pt>
                <c:pt idx="7">
                  <c:v>17961.599999999977</c:v>
                </c:pt>
                <c:pt idx="8">
                  <c:v>15200</c:v>
                </c:pt>
                <c:pt idx="9">
                  <c:v>18510</c:v>
                </c:pt>
                <c:pt idx="10">
                  <c:v>36800</c:v>
                </c:pt>
                <c:pt idx="11">
                  <c:v>38700</c:v>
                </c:pt>
              </c:numCache>
            </c:numRef>
          </c:val>
        </c:ser>
        <c:marker val="1"/>
        <c:axId val="132478080"/>
        <c:axId val="136955008"/>
      </c:lineChart>
      <c:catAx>
        <c:axId val="132478080"/>
        <c:scaling>
          <c:orientation val="minMax"/>
        </c:scaling>
        <c:axPos val="b"/>
        <c:title>
          <c:tx>
            <c:rich>
              <a:bodyPr/>
              <a:lstStyle/>
              <a:p>
                <a:pPr>
                  <a:defRPr/>
                </a:pPr>
                <a:r>
                  <a:rPr lang="uk-UA"/>
                  <a:t>період</a:t>
                </a:r>
              </a:p>
            </c:rich>
          </c:tx>
        </c:title>
        <c:numFmt formatCode="General" sourceLinked="1"/>
        <c:tickLblPos val="nextTo"/>
        <c:crossAx val="136955008"/>
        <c:crosses val="autoZero"/>
        <c:auto val="1"/>
        <c:lblAlgn val="ctr"/>
        <c:lblOffset val="100"/>
      </c:catAx>
      <c:valAx>
        <c:axId val="136955008"/>
        <c:scaling>
          <c:orientation val="minMax"/>
        </c:scaling>
        <c:axPos val="l"/>
        <c:majorGridlines/>
        <c:title>
          <c:tx>
            <c:rich>
              <a:bodyPr/>
              <a:lstStyle/>
              <a:p>
                <a:pPr>
                  <a:defRPr/>
                </a:pPr>
                <a:r>
                  <a:rPr lang="uk-UA"/>
                  <a:t>млн. грн.</a:t>
                </a:r>
              </a:p>
            </c:rich>
          </c:tx>
        </c:title>
        <c:numFmt formatCode="General" sourceLinked="1"/>
        <c:tickLblPos val="nextTo"/>
        <c:crossAx val="13247808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style val="1"/>
  <c:chart>
    <c:autoTitleDeleted val="1"/>
    <c:plotArea>
      <c:layout/>
      <c:lineChart>
        <c:grouping val="standard"/>
        <c:ser>
          <c:idx val="0"/>
          <c:order val="0"/>
          <c:tx>
            <c:strRef>
              <c:f>Лист1!$B$1</c:f>
              <c:strCache>
                <c:ptCount val="1"/>
                <c:pt idx="0">
                  <c:v>податковий борг, млрд. грн.</c:v>
                </c:pt>
              </c:strCache>
            </c:strRef>
          </c:tx>
          <c:dLbls>
            <c:dLbl>
              <c:idx val="0"/>
              <c:layout>
                <c:manualLayout>
                  <c:x val="-3.8621634559830961E-2"/>
                  <c:y val="5.5555555555555615E-2"/>
                </c:manualLayout>
              </c:layout>
              <c:dLblPos val="r"/>
              <c:showVal val="1"/>
            </c:dLbl>
            <c:dLbl>
              <c:idx val="1"/>
              <c:layout>
                <c:manualLayout>
                  <c:x val="-5.5393123029434235E-2"/>
                  <c:y val="-0.10493827160493827"/>
                </c:manualLayout>
              </c:layout>
              <c:dLblPos val="r"/>
              <c:showVal val="1"/>
            </c:dLbl>
            <c:dLbl>
              <c:idx val="2"/>
              <c:layout>
                <c:manualLayout>
                  <c:x val="-4.4910942735931922E-2"/>
                  <c:y val="-3.7037037037037056E-2"/>
                </c:manualLayout>
              </c:layout>
              <c:dLblPos val="r"/>
              <c:showVal val="1"/>
            </c:dLbl>
            <c:dLbl>
              <c:idx val="3"/>
              <c:layout>
                <c:manualLayout>
                  <c:x val="-4.7007378794631814E-2"/>
                  <c:y val="3.7037037037037056E-2"/>
                </c:manualLayout>
              </c:layout>
              <c:dLblPos val="r"/>
              <c:showVal val="1"/>
            </c:dLbl>
            <c:dLbl>
              <c:idx val="4"/>
              <c:layout>
                <c:manualLayout>
                  <c:x val="-6.0041928721173976E-2"/>
                  <c:y val="-3.0864197530864296E-2"/>
                </c:manualLayout>
              </c:layout>
              <c:dLblPos val="r"/>
              <c:showVal val="1"/>
            </c:dLbl>
            <c:dLbl>
              <c:idx val="5"/>
              <c:layout>
                <c:manualLayout>
                  <c:x val="-2.9261130094587237E-2"/>
                  <c:y val="4.9382716049384587E-2"/>
                </c:manualLayout>
              </c:layout>
              <c:dLblPos val="r"/>
              <c:showVal val="1"/>
            </c:dLbl>
            <c:dLbl>
              <c:idx val="6"/>
              <c:layout>
                <c:manualLayout>
                  <c:x val="-7.7512124171292024E-2"/>
                  <c:y val="-1.8348029077010872E-2"/>
                </c:manualLayout>
              </c:layout>
              <c:dLblPos val="r"/>
              <c:showVal val="1"/>
            </c:dLbl>
            <c:dLbl>
              <c:idx val="7"/>
              <c:layout>
                <c:manualLayout>
                  <c:x val="-5.4418362798989754E-2"/>
                  <c:y val="-3.7037037037037056E-2"/>
                </c:manualLayout>
              </c:layout>
              <c:dLblPos val="r"/>
              <c:showVal val="1"/>
            </c:dLbl>
            <c:dLbl>
              <c:idx val="8"/>
              <c:layout>
                <c:manualLayout>
                  <c:x val="-4.2295680021129524E-2"/>
                  <c:y val="4.3209876543209756E-2"/>
                </c:manualLayout>
              </c:layout>
              <c:dLblPos val="r"/>
              <c:showVal val="1"/>
            </c:dLbl>
            <c:dLbl>
              <c:idx val="9"/>
              <c:layout>
                <c:manualLayout>
                  <c:x val="-6.6562670232259034E-3"/>
                  <c:y val="3.0864197530864296E-2"/>
                </c:manualLayout>
              </c:layout>
              <c:dLblPos val="r"/>
              <c:showVal val="1"/>
            </c:dLbl>
            <c:dLbl>
              <c:idx val="10"/>
              <c:layout>
                <c:manualLayout>
                  <c:x val="-7.1645784842932408E-2"/>
                  <c:y val="0"/>
                </c:manualLayout>
              </c:layout>
              <c:dLblPos val="r"/>
              <c:showVal val="1"/>
            </c:dLbl>
            <c:dLbl>
              <c:idx val="11"/>
              <c:layout>
                <c:manualLayout>
                  <c:x val="-2.1331319434128006E-2"/>
                  <c:y val="-4.9382716049384476E-2"/>
                </c:manualLayout>
              </c:layout>
              <c:dLblPos val="r"/>
              <c:showVal val="1"/>
            </c:dLbl>
            <c:dLblPos val="ctr"/>
            <c:showVal val="1"/>
          </c:dLbls>
          <c:cat>
            <c:numRef>
              <c:f>Лист1!$A$2:$A$7</c:f>
              <c:numCache>
                <c:formatCode>dd/mm/yyyy</c:formatCode>
                <c:ptCount val="6"/>
                <c:pt idx="0">
                  <c:v>41640</c:v>
                </c:pt>
                <c:pt idx="1">
                  <c:v>41760</c:v>
                </c:pt>
                <c:pt idx="2">
                  <c:v>41821</c:v>
                </c:pt>
                <c:pt idx="3">
                  <c:v>41944</c:v>
                </c:pt>
                <c:pt idx="4">
                  <c:v>42005</c:v>
                </c:pt>
                <c:pt idx="5">
                  <c:v>42186</c:v>
                </c:pt>
              </c:numCache>
            </c:numRef>
          </c:cat>
          <c:val>
            <c:numRef>
              <c:f>Лист1!$B$2:$B$7</c:f>
              <c:numCache>
                <c:formatCode>General</c:formatCode>
                <c:ptCount val="6"/>
                <c:pt idx="0">
                  <c:v>961.2</c:v>
                </c:pt>
                <c:pt idx="1">
                  <c:v>1205.8</c:v>
                </c:pt>
                <c:pt idx="2">
                  <c:v>1604.9</c:v>
                </c:pt>
                <c:pt idx="3">
                  <c:v>2226.3000000000002</c:v>
                </c:pt>
                <c:pt idx="4">
                  <c:v>2911.8</c:v>
                </c:pt>
                <c:pt idx="5">
                  <c:v>3738.4</c:v>
                </c:pt>
              </c:numCache>
            </c:numRef>
          </c:val>
        </c:ser>
        <c:marker val="1"/>
        <c:axId val="140800000"/>
        <c:axId val="140803456"/>
      </c:lineChart>
      <c:dateAx>
        <c:axId val="140800000"/>
        <c:scaling>
          <c:orientation val="minMax"/>
        </c:scaling>
        <c:axPos val="b"/>
        <c:title>
          <c:tx>
            <c:rich>
              <a:bodyPr/>
              <a:lstStyle/>
              <a:p>
                <a:pPr>
                  <a:defRPr/>
                </a:pPr>
                <a:r>
                  <a:rPr lang="uk-UA"/>
                  <a:t>період</a:t>
                </a:r>
              </a:p>
            </c:rich>
          </c:tx>
        </c:title>
        <c:numFmt formatCode="dd/mm/yyyy" sourceLinked="0"/>
        <c:tickLblPos val="nextTo"/>
        <c:crossAx val="140803456"/>
        <c:crosses val="autoZero"/>
        <c:auto val="1"/>
        <c:lblOffset val="100"/>
      </c:dateAx>
      <c:valAx>
        <c:axId val="140803456"/>
        <c:scaling>
          <c:orientation val="minMax"/>
        </c:scaling>
        <c:axPos val="l"/>
        <c:majorGridlines/>
        <c:title>
          <c:tx>
            <c:rich>
              <a:bodyPr/>
              <a:lstStyle/>
              <a:p>
                <a:pPr>
                  <a:defRPr/>
                </a:pPr>
                <a:r>
                  <a:rPr lang="uk-UA"/>
                  <a:t>млн. грн.</a:t>
                </a:r>
              </a:p>
            </c:rich>
          </c:tx>
        </c:title>
        <c:numFmt formatCode="General" sourceLinked="1"/>
        <c:tickLblPos val="nextTo"/>
        <c:crossAx val="14080000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uk-UA"/>
  <c:style val="1"/>
  <c:chart>
    <c:plotArea>
      <c:layout/>
      <c:lineChart>
        <c:grouping val="standard"/>
        <c:ser>
          <c:idx val="0"/>
          <c:order val="0"/>
          <c:tx>
            <c:strRef>
              <c:f>Лист1!$B$1</c:f>
              <c:strCache>
                <c:ptCount val="1"/>
                <c:pt idx="0">
                  <c:v>питома вага податкового боргу у ВВП, %</c:v>
                </c:pt>
              </c:strCache>
            </c:strRef>
          </c:tx>
          <c:dLbls>
            <c:dLbl>
              <c:idx val="0"/>
              <c:layout>
                <c:manualLayout>
                  <c:x val="-4.4719128096792786E-2"/>
                  <c:y val="-3.8561885646647108E-2"/>
                </c:manualLayout>
              </c:layout>
              <c:dLblPos val="r"/>
              <c:showVal val="1"/>
            </c:dLbl>
            <c:dLbl>
              <c:idx val="1"/>
              <c:layout>
                <c:manualLayout>
                  <c:x val="-4.319793867230011E-2"/>
                  <c:y val="-2.6506921928876544E-2"/>
                </c:manualLayout>
              </c:layout>
              <c:dLblPos val="r"/>
              <c:showVal val="1"/>
            </c:dLbl>
            <c:dLbl>
              <c:idx val="2"/>
              <c:layout>
                <c:manualLayout>
                  <c:x val="-3.8813456244798664E-2"/>
                  <c:y val="-4.2265657969224442E-2"/>
                </c:manualLayout>
              </c:layout>
              <c:dLblPos val="r"/>
              <c:showVal val="1"/>
            </c:dLbl>
            <c:dLbl>
              <c:idx val="3"/>
              <c:layout>
                <c:manualLayout>
                  <c:x val="-3.8877312592023573E-2"/>
                  <c:y val="-5.1851989089599086E-2"/>
                </c:manualLayout>
              </c:layout>
              <c:dLblPos val="r"/>
              <c:showVal val="1"/>
            </c:dLbl>
            <c:dLbl>
              <c:idx val="4"/>
              <c:layout>
                <c:manualLayout>
                  <c:x val="-4.1749247807438682E-2"/>
                  <c:y val="-3.0864083166074831E-2"/>
                </c:manualLayout>
              </c:layout>
              <c:dLblPos val="r"/>
              <c:showVal val="1"/>
            </c:dLbl>
            <c:dLbl>
              <c:idx val="5"/>
              <c:layout>
                <c:manualLayout>
                  <c:x val="-2.9261130094587237E-2"/>
                  <c:y val="4.9382716049384476E-2"/>
                </c:manualLayout>
              </c:layout>
              <c:dLblPos val="r"/>
              <c:showVal val="1"/>
            </c:dLbl>
            <c:dLbl>
              <c:idx val="6"/>
              <c:layout>
                <c:manualLayout>
                  <c:x val="-4.9056878560911586E-2"/>
                  <c:y val="-2.3576758787504506E-2"/>
                </c:manualLayout>
              </c:layout>
              <c:dLblPos val="r"/>
              <c:showVal val="1"/>
            </c:dLbl>
            <c:dLbl>
              <c:idx val="7"/>
              <c:layout>
                <c:manualLayout>
                  <c:x val="-3.6125728186415726E-2"/>
                  <c:y val="-3.7036899799289792E-2"/>
                </c:manualLayout>
              </c:layout>
              <c:dLblPos val="r"/>
              <c:showVal val="1"/>
            </c:dLbl>
            <c:dLbl>
              <c:idx val="8"/>
              <c:layout>
                <c:manualLayout>
                  <c:x val="-2.8067985404263494E-2"/>
                  <c:y val="-4.5679172456384108E-2"/>
                </c:manualLayout>
              </c:layout>
              <c:dLblPos val="r"/>
              <c:showVal val="1"/>
            </c:dLbl>
            <c:dLbl>
              <c:idx val="9"/>
              <c:layout>
                <c:manualLayout>
                  <c:x val="-6.6562670232259034E-3"/>
                  <c:y val="3.0864197530864296E-2"/>
                </c:manualLayout>
              </c:layout>
              <c:dLblPos val="r"/>
              <c:showVal val="1"/>
            </c:dLbl>
            <c:dLbl>
              <c:idx val="10"/>
              <c:layout>
                <c:manualLayout>
                  <c:x val="-6.1483259714486906E-2"/>
                  <c:y val="-5.7516339869281015E-2"/>
                </c:manualLayout>
              </c:layout>
              <c:dLblPos val="r"/>
              <c:showVal val="1"/>
            </c:dLbl>
            <c:dLbl>
              <c:idx val="11"/>
              <c:layout>
                <c:manualLayout>
                  <c:x val="-2.1331319434127936E-2"/>
                  <c:y val="-4.9382716049384337E-2"/>
                </c:manualLayout>
              </c:layout>
              <c:dLblPos val="r"/>
              <c:showVal val="1"/>
            </c:dLbl>
            <c:dLblPos val="ctr"/>
            <c:showVal val="1"/>
          </c:dLbls>
          <c:cat>
            <c:numRef>
              <c:f>Лист1!$A$2:$A$13</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formatCode="dd/mm/yyyy">
                  <c:v>42064</c:v>
                </c:pt>
              </c:numCache>
            </c:numRef>
          </c:cat>
          <c:val>
            <c:numRef>
              <c:f>Лист1!$B$2:$B$13</c:f>
              <c:numCache>
                <c:formatCode>General</c:formatCode>
                <c:ptCount val="12"/>
                <c:pt idx="0">
                  <c:v>2.5499999999999998</c:v>
                </c:pt>
                <c:pt idx="1">
                  <c:v>2.12</c:v>
                </c:pt>
                <c:pt idx="2">
                  <c:v>1.43</c:v>
                </c:pt>
                <c:pt idx="3">
                  <c:v>0.88</c:v>
                </c:pt>
                <c:pt idx="4">
                  <c:v>0.96000000000000008</c:v>
                </c:pt>
                <c:pt idx="5">
                  <c:v>1.28</c:v>
                </c:pt>
                <c:pt idx="6">
                  <c:v>1.54</c:v>
                </c:pt>
                <c:pt idx="7">
                  <c:v>1.36</c:v>
                </c:pt>
                <c:pt idx="8">
                  <c:v>1.08</c:v>
                </c:pt>
                <c:pt idx="9">
                  <c:v>1.28</c:v>
                </c:pt>
                <c:pt idx="10">
                  <c:v>2.34</c:v>
                </c:pt>
                <c:pt idx="11">
                  <c:v>10.3</c:v>
                </c:pt>
              </c:numCache>
            </c:numRef>
          </c:val>
        </c:ser>
        <c:ser>
          <c:idx val="1"/>
          <c:order val="1"/>
          <c:tx>
            <c:strRef>
              <c:f>Лист1!$C$1</c:f>
              <c:strCache>
                <c:ptCount val="1"/>
                <c:pt idx="0">
                  <c:v>верхнє порогове значення</c:v>
                </c:pt>
              </c:strCache>
            </c:strRef>
          </c:tx>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showVal val="1"/>
          </c:dLbls>
          <c:cat>
            <c:numRef>
              <c:f>Лист1!$A$2:$A$13</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formatCode="dd/mm/yyyy">
                  <c:v>42064</c:v>
                </c:pt>
              </c:numCache>
            </c:numRef>
          </c:cat>
          <c:val>
            <c:numRef>
              <c:f>Лист1!$C$2:$C$13</c:f>
              <c:numCache>
                <c:formatCode>General</c:formatCode>
                <c:ptCount val="12"/>
                <c:pt idx="0">
                  <c:v>1</c:v>
                </c:pt>
                <c:pt idx="1">
                  <c:v>1</c:v>
                </c:pt>
                <c:pt idx="2">
                  <c:v>1</c:v>
                </c:pt>
                <c:pt idx="3">
                  <c:v>1</c:v>
                </c:pt>
                <c:pt idx="4">
                  <c:v>1</c:v>
                </c:pt>
                <c:pt idx="5">
                  <c:v>1</c:v>
                </c:pt>
                <c:pt idx="6">
                  <c:v>1</c:v>
                </c:pt>
                <c:pt idx="7">
                  <c:v>1</c:v>
                </c:pt>
                <c:pt idx="8">
                  <c:v>1</c:v>
                </c:pt>
                <c:pt idx="9">
                  <c:v>1</c:v>
                </c:pt>
                <c:pt idx="10">
                  <c:v>1</c:v>
                </c:pt>
                <c:pt idx="11">
                  <c:v>1</c:v>
                </c:pt>
              </c:numCache>
            </c:numRef>
          </c:val>
        </c:ser>
        <c:marker val="1"/>
        <c:axId val="156137728"/>
        <c:axId val="156157824"/>
      </c:lineChart>
      <c:catAx>
        <c:axId val="156137728"/>
        <c:scaling>
          <c:orientation val="minMax"/>
        </c:scaling>
        <c:axPos val="b"/>
        <c:title>
          <c:tx>
            <c:rich>
              <a:bodyPr/>
              <a:lstStyle/>
              <a:p>
                <a:pPr>
                  <a:defRPr/>
                </a:pPr>
                <a:r>
                  <a:rPr lang="uk-UA"/>
                  <a:t>період</a:t>
                </a:r>
              </a:p>
            </c:rich>
          </c:tx>
          <c:layout>
            <c:manualLayout>
              <c:xMode val="edge"/>
              <c:yMode val="edge"/>
              <c:x val="0.32271429485948416"/>
              <c:y val="0.77932005558128781"/>
            </c:manualLayout>
          </c:layout>
        </c:title>
        <c:numFmt formatCode="General" sourceLinked="1"/>
        <c:tickLblPos val="nextTo"/>
        <c:crossAx val="156157824"/>
        <c:crosses val="autoZero"/>
        <c:auto val="1"/>
        <c:lblAlgn val="ctr"/>
        <c:lblOffset val="100"/>
      </c:catAx>
      <c:valAx>
        <c:axId val="156157824"/>
        <c:scaling>
          <c:orientation val="minMax"/>
        </c:scaling>
        <c:axPos val="l"/>
        <c:majorGridlines/>
        <c:title>
          <c:tx>
            <c:rich>
              <a:bodyPr/>
              <a:lstStyle/>
              <a:p>
                <a:pPr>
                  <a:defRPr/>
                </a:pPr>
                <a:r>
                  <a:rPr lang="uk-UA"/>
                  <a:t>%</a:t>
                </a:r>
              </a:p>
            </c:rich>
          </c:tx>
        </c:title>
        <c:numFmt formatCode="General" sourceLinked="1"/>
        <c:tickLblPos val="nextTo"/>
        <c:crossAx val="15613772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style val="1"/>
  <c:chart>
    <c:plotArea>
      <c:layout>
        <c:manualLayout>
          <c:layoutTarget val="inner"/>
          <c:xMode val="edge"/>
          <c:yMode val="edge"/>
          <c:x val="7.6106546781819218E-2"/>
          <c:y val="5.0523411536015923E-2"/>
          <c:w val="0.64923569027995065"/>
          <c:h val="0.86208164252507202"/>
        </c:manualLayout>
      </c:layout>
      <c:lineChart>
        <c:grouping val="standard"/>
        <c:ser>
          <c:idx val="0"/>
          <c:order val="0"/>
          <c:tx>
            <c:strRef>
              <c:f>Лист1!$B$1</c:f>
              <c:strCache>
                <c:ptCount val="1"/>
                <c:pt idx="0">
                  <c:v>темп зміни ПБ реального, %</c:v>
                </c:pt>
              </c:strCache>
            </c:strRef>
          </c:tx>
          <c:dLbls>
            <c:dLbl>
              <c:idx val="0"/>
              <c:layout>
                <c:manualLayout>
                  <c:x val="-2.9654358418375559E-2"/>
                  <c:y val="-4.3237795961862217E-2"/>
                </c:manualLayout>
              </c:layout>
              <c:dLblPos val="r"/>
              <c:showVal val="1"/>
            </c:dLbl>
            <c:dLbl>
              <c:idx val="1"/>
              <c:layout>
                <c:manualLayout>
                  <c:x val="-2.0944612882689256E-2"/>
                  <c:y val="7.4258361151351024E-2"/>
                </c:manualLayout>
              </c:layout>
              <c:dLblPos val="r"/>
              <c:showVal val="1"/>
            </c:dLbl>
            <c:dLbl>
              <c:idx val="2"/>
              <c:layout>
                <c:manualLayout>
                  <c:x val="-3.899096920063623E-2"/>
                  <c:y val="5.4125572187435612E-2"/>
                </c:manualLayout>
              </c:layout>
              <c:dLblPos val="r"/>
              <c:showVal val="1"/>
            </c:dLbl>
            <c:dLbl>
              <c:idx val="3"/>
              <c:layout>
                <c:manualLayout>
                  <c:x val="-2.6711360579093641E-2"/>
                  <c:y val="3.6405005688282845E-2"/>
                </c:manualLayout>
              </c:layout>
              <c:dLblPos val="r"/>
              <c:showVal val="1"/>
            </c:dLbl>
            <c:dLbl>
              <c:idx val="4"/>
              <c:layout>
                <c:manualLayout>
                  <c:x val="-4.3077394958351924E-2"/>
                  <c:y val="-3.185437997724689E-2"/>
                </c:manualLayout>
              </c:layout>
              <c:dLblPos val="r"/>
              <c:showVal val="1"/>
            </c:dLbl>
            <c:dLbl>
              <c:idx val="5"/>
              <c:layout>
                <c:manualLayout>
                  <c:x val="-3.8625530740210058E-2"/>
                  <c:y val="-4.0955631399317433E-2"/>
                </c:manualLayout>
              </c:layout>
              <c:dLblPos val="r"/>
              <c:showVal val="1"/>
            </c:dLbl>
            <c:dLbl>
              <c:idx val="6"/>
              <c:layout>
                <c:manualLayout>
                  <c:x val="-2.630490888138149E-2"/>
                  <c:y val="-5.0056882821387982E-2"/>
                </c:manualLayout>
              </c:layout>
              <c:dLblPos val="r"/>
              <c:showVal val="1"/>
            </c:dLbl>
            <c:dLbl>
              <c:idx val="7"/>
              <c:layout>
                <c:manualLayout>
                  <c:x val="-4.2031206867088194E-2"/>
                  <c:y val="-6.8259385665528846E-2"/>
                </c:manualLayout>
              </c:layout>
              <c:dLblPos val="r"/>
              <c:showVal val="1"/>
            </c:dLbl>
            <c:dLbl>
              <c:idx val="8"/>
              <c:layout>
                <c:manualLayout>
                  <c:x val="-2.0050331868866112E-2"/>
                  <c:y val="3.8725063792771797E-2"/>
                </c:manualLayout>
              </c:layout>
              <c:dLblPos val="r"/>
              <c:showVal val="1"/>
            </c:dLbl>
            <c:dLbl>
              <c:idx val="9"/>
              <c:layout>
                <c:manualLayout>
                  <c:x val="-1.9941021562622275E-2"/>
                  <c:y val="3.7083299741116092E-2"/>
                </c:manualLayout>
              </c:layout>
              <c:dLblPos val="r"/>
              <c:showVal val="1"/>
            </c:dLbl>
            <c:dLblPos val="ctr"/>
            <c:showVal val="1"/>
          </c:dLbls>
          <c:cat>
            <c:numRef>
              <c:f>Лист1!$A$2:$A$11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Лист1!$B$2:$B$11</c:f>
              <c:numCache>
                <c:formatCode>General</c:formatCode>
                <c:ptCount val="10"/>
                <c:pt idx="0">
                  <c:v>8.8000000000000007</c:v>
                </c:pt>
                <c:pt idx="1">
                  <c:v>-18</c:v>
                </c:pt>
                <c:pt idx="2">
                  <c:v>-22.4</c:v>
                </c:pt>
                <c:pt idx="3">
                  <c:v>38.800000000000004</c:v>
                </c:pt>
                <c:pt idx="4">
                  <c:v>42.5</c:v>
                </c:pt>
                <c:pt idx="5">
                  <c:v>44.6</c:v>
                </c:pt>
                <c:pt idx="6">
                  <c:v>9.6</c:v>
                </c:pt>
                <c:pt idx="7">
                  <c:v>-12.6</c:v>
                </c:pt>
                <c:pt idx="8">
                  <c:v>19.899999999999999</c:v>
                </c:pt>
                <c:pt idx="9">
                  <c:v>82.5</c:v>
                </c:pt>
              </c:numCache>
            </c:numRef>
          </c:val>
        </c:ser>
        <c:ser>
          <c:idx val="1"/>
          <c:order val="1"/>
          <c:tx>
            <c:strRef>
              <c:f>Лист1!$C$1</c:f>
              <c:strCache>
                <c:ptCount val="1"/>
                <c:pt idx="0">
                  <c:v>темп зміни ПБ номінального, %</c:v>
                </c:pt>
              </c:strCache>
            </c:strRef>
          </c:tx>
          <c:dLbls>
            <c:dLbl>
              <c:idx val="0"/>
              <c:layout>
                <c:manualLayout>
                  <c:x val="-2.7355460775736386E-2"/>
                  <c:y val="5.2823632340076143E-2"/>
                </c:manualLayout>
              </c:layout>
              <c:dLblPos val="r"/>
              <c:showVal val="1"/>
            </c:dLbl>
            <c:dLbl>
              <c:idx val="1"/>
              <c:layout>
                <c:manualLayout>
                  <c:x val="-6.6893795659546465E-2"/>
                  <c:y val="4.1497219333082529E-2"/>
                </c:manualLayout>
              </c:layout>
              <c:dLblPos val="r"/>
              <c:showVal val="1"/>
            </c:dLbl>
            <c:dLbl>
              <c:idx val="2"/>
              <c:layout>
                <c:manualLayout>
                  <c:x val="-1.2190921877670133E-2"/>
                  <c:y val="1.8345829638189936E-2"/>
                </c:manualLayout>
              </c:layout>
              <c:dLblPos val="r"/>
              <c:showVal val="1"/>
            </c:dLbl>
            <c:dLbl>
              <c:idx val="3"/>
              <c:layout>
                <c:manualLayout>
                  <c:x val="-5.4207055503704776E-2"/>
                  <c:y val="-3.1387851262619476E-2"/>
                </c:manualLayout>
              </c:layout>
              <c:dLblPos val="r"/>
              <c:showVal val="1"/>
            </c:dLbl>
            <c:dLbl>
              <c:idx val="4"/>
              <c:layout>
                <c:manualLayout>
                  <c:x val="-3.4173666522068782E-2"/>
                  <c:y val="2.7770282980839535E-2"/>
                </c:manualLayout>
              </c:layout>
              <c:dLblPos val="r"/>
              <c:showVal val="1"/>
            </c:dLbl>
            <c:dLbl>
              <c:idx val="5"/>
              <c:layout>
                <c:manualLayout>
                  <c:x val="-4.5303327067422114E-2"/>
                  <c:y val="5.9624662958085932E-2"/>
                </c:manualLayout>
              </c:layout>
              <c:dLblPos val="r"/>
              <c:showVal val="1"/>
            </c:dLbl>
            <c:dLbl>
              <c:idx val="6"/>
              <c:layout>
                <c:manualLayout>
                  <c:x val="-3.7434569426735252E-2"/>
                  <c:y val="5.0523411536015923E-2"/>
                </c:manualLayout>
              </c:layout>
              <c:dLblPos val="r"/>
              <c:showVal val="1"/>
            </c:dLbl>
            <c:dLbl>
              <c:idx val="8"/>
              <c:layout>
                <c:manualLayout>
                  <c:x val="-6.5336716049059024E-2"/>
                  <c:y val="1.4118405847733127E-2"/>
                </c:manualLayout>
              </c:layout>
              <c:dLblPos val="r"/>
              <c:showVal val="1"/>
            </c:dLbl>
            <c:dLbl>
              <c:idx val="9"/>
              <c:layout>
                <c:manualLayout>
                  <c:x val="-7.8692308703482178E-2"/>
                  <c:y val="5.9624662958085932E-2"/>
                </c:manualLayout>
              </c:layout>
              <c:dLblPos val="r"/>
              <c:showVal val="1"/>
            </c:dLbl>
            <c:dLblPos val="b"/>
            <c:showVal val="1"/>
          </c:dLbls>
          <c:cat>
            <c:numRef>
              <c:f>Лист1!$A$2:$A$11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Лист1!$C$2:$C$11</c:f>
              <c:numCache>
                <c:formatCode>General</c:formatCode>
                <c:ptCount val="10"/>
                <c:pt idx="0">
                  <c:v>6.8</c:v>
                </c:pt>
                <c:pt idx="1">
                  <c:v>-17.2</c:v>
                </c:pt>
                <c:pt idx="2">
                  <c:v>-18.399999999999999</c:v>
                </c:pt>
                <c:pt idx="3">
                  <c:v>44.4</c:v>
                </c:pt>
                <c:pt idx="4">
                  <c:v>28.7</c:v>
                </c:pt>
                <c:pt idx="5">
                  <c:v>42.3</c:v>
                </c:pt>
                <c:pt idx="6">
                  <c:v>7.4</c:v>
                </c:pt>
                <c:pt idx="7">
                  <c:v>-15.4</c:v>
                </c:pt>
                <c:pt idx="8">
                  <c:v>21.7</c:v>
                </c:pt>
                <c:pt idx="9">
                  <c:v>98.8</c:v>
                </c:pt>
              </c:numCache>
            </c:numRef>
          </c:val>
        </c:ser>
        <c:marker val="1"/>
        <c:axId val="156811264"/>
        <c:axId val="156814336"/>
      </c:lineChart>
      <c:catAx>
        <c:axId val="156811264"/>
        <c:scaling>
          <c:orientation val="minMax"/>
        </c:scaling>
        <c:axPos val="b"/>
        <c:title>
          <c:tx>
            <c:rich>
              <a:bodyPr/>
              <a:lstStyle/>
              <a:p>
                <a:pPr>
                  <a:defRPr/>
                </a:pPr>
                <a:r>
                  <a:rPr lang="uk-UA"/>
                  <a:t>період</a:t>
                </a:r>
              </a:p>
            </c:rich>
          </c:tx>
        </c:title>
        <c:numFmt formatCode="General" sourceLinked="1"/>
        <c:tickLblPos val="nextTo"/>
        <c:crossAx val="156814336"/>
        <c:crosses val="autoZero"/>
        <c:auto val="1"/>
        <c:lblAlgn val="ctr"/>
        <c:lblOffset val="100"/>
      </c:catAx>
      <c:valAx>
        <c:axId val="156814336"/>
        <c:scaling>
          <c:orientation val="minMax"/>
        </c:scaling>
        <c:axPos val="l"/>
        <c:majorGridlines/>
        <c:title>
          <c:tx>
            <c:rich>
              <a:bodyPr/>
              <a:lstStyle/>
              <a:p>
                <a:pPr>
                  <a:defRPr/>
                </a:pPr>
                <a:r>
                  <a:rPr lang="uk-UA"/>
                  <a:t>%</a:t>
                </a:r>
              </a:p>
            </c:rich>
          </c:tx>
        </c:title>
        <c:numFmt formatCode="General" sourceLinked="1"/>
        <c:tickLblPos val="nextTo"/>
        <c:crossAx val="156811264"/>
        <c:crosses val="autoZero"/>
        <c:crossBetween val="between"/>
      </c:valAx>
    </c:plotArea>
    <c:legend>
      <c:legendPos val="r"/>
      <c:layout>
        <c:manualLayout>
          <c:xMode val="edge"/>
          <c:yMode val="edge"/>
          <c:x val="0.71866445810127455"/>
          <c:y val="0.36272655791443836"/>
          <c:w val="0.26797996287049503"/>
          <c:h val="0.27454688417112422"/>
        </c:manualLayout>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5A5A1-7D17-4A4C-BE87-5A665B2E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12</Pages>
  <Words>14421</Words>
  <Characters>8220</Characters>
  <Application>Microsoft Office Word</Application>
  <DocSecurity>0</DocSecurity>
  <Lines>68</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Nadia</cp:lastModifiedBy>
  <cp:revision>101</cp:revision>
  <dcterms:created xsi:type="dcterms:W3CDTF">2014-01-29T22:29:00Z</dcterms:created>
  <dcterms:modified xsi:type="dcterms:W3CDTF">2016-04-22T00:52:00Z</dcterms:modified>
</cp:coreProperties>
</file>