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D" w:rsidRDefault="00CB0C0D" w:rsidP="00CB0C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3C0D">
        <w:rPr>
          <w:rFonts w:ascii="Times New Roman" w:hAnsi="Times New Roman" w:cs="Times New Roman"/>
          <w:b/>
          <w:sz w:val="28"/>
          <w:szCs w:val="28"/>
          <w:lang w:val="uk-UA"/>
        </w:rPr>
        <w:t>ПОДАТКОВА МЕДІАЦІЯ ЯК ІНСТРУМЕНТ ПОСИЛЕННЯ</w:t>
      </w:r>
      <w:r w:rsidRPr="00D8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ФІНАНСОВОЇ БЕЗПЕКИ ДЕРЖАВИ</w:t>
      </w:r>
    </w:p>
    <w:p w:rsidR="00CB0C0D" w:rsidRDefault="00CB0C0D" w:rsidP="00CB0C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3C0D" w:rsidRPr="00CE6F64" w:rsidRDefault="00353C0D" w:rsidP="006832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F64">
        <w:rPr>
          <w:rFonts w:ascii="Times New Roman" w:hAnsi="Times New Roman" w:cs="Times New Roman"/>
          <w:b/>
          <w:sz w:val="28"/>
          <w:szCs w:val="28"/>
        </w:rPr>
        <w:t>Михальчук Н. М.</w:t>
      </w:r>
    </w:p>
    <w:p w:rsidR="00353C0D" w:rsidRPr="00CB0C0D" w:rsidRDefault="00CB0C0D" w:rsidP="0068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Тернопільськ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</w:p>
    <w:p w:rsidR="007B71BD" w:rsidRPr="007B71BD" w:rsidRDefault="007B71BD" w:rsidP="0068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3C0D" w:rsidRPr="00CE6F64" w:rsidRDefault="000F571D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013477">
        <w:rPr>
          <w:sz w:val="28"/>
          <w:szCs w:val="28"/>
          <w:lang w:val="uk-UA"/>
        </w:rPr>
        <w:t xml:space="preserve">Сучасні деструктивні геополітичні зміни </w:t>
      </w:r>
      <w:r>
        <w:rPr>
          <w:sz w:val="28"/>
          <w:szCs w:val="28"/>
          <w:lang w:val="uk-UA"/>
        </w:rPr>
        <w:t>гостро ставлять</w:t>
      </w:r>
      <w:r w:rsidRPr="00013477">
        <w:rPr>
          <w:sz w:val="28"/>
          <w:szCs w:val="28"/>
          <w:lang w:val="uk-UA"/>
        </w:rPr>
        <w:t xml:space="preserve"> питання забезпече</w:t>
      </w:r>
      <w:r w:rsidR="00130D75">
        <w:rPr>
          <w:sz w:val="28"/>
          <w:szCs w:val="28"/>
          <w:lang w:val="uk-UA"/>
        </w:rPr>
        <w:t>ння фінансової безпеки України, а втрата бюджетних надходжень</w:t>
      </w:r>
      <w:r w:rsidR="00F571C8">
        <w:rPr>
          <w:sz w:val="28"/>
          <w:szCs w:val="28"/>
          <w:lang w:val="uk-UA"/>
        </w:rPr>
        <w:t xml:space="preserve"> </w:t>
      </w:r>
      <w:r w:rsidRPr="00013477">
        <w:rPr>
          <w:sz w:val="28"/>
          <w:szCs w:val="28"/>
          <w:lang w:val="uk-UA"/>
        </w:rPr>
        <w:t xml:space="preserve">є не лише небажаним, але і недопустимим явищем, що послаблює здатність протистояти внутрішнім та зовнішнім </w:t>
      </w:r>
      <w:r>
        <w:rPr>
          <w:sz w:val="28"/>
          <w:szCs w:val="28"/>
          <w:lang w:val="uk-UA"/>
        </w:rPr>
        <w:t>впливам</w:t>
      </w:r>
      <w:r w:rsidRPr="00013477">
        <w:rPr>
          <w:sz w:val="28"/>
          <w:szCs w:val="28"/>
          <w:lang w:val="uk-UA"/>
        </w:rPr>
        <w:t xml:space="preserve">. </w:t>
      </w:r>
      <w:r w:rsidR="00F571C8" w:rsidRPr="00F571C8">
        <w:rPr>
          <w:sz w:val="28"/>
          <w:szCs w:val="28"/>
          <w:lang w:val="uk-UA"/>
        </w:rPr>
        <w:t xml:space="preserve">Перед нашим суспільством постали нові виклики, що і зумовило необхідність швидкої перебудови вітчизняного законодавства. </w:t>
      </w:r>
      <w:r w:rsidRPr="00013477">
        <w:rPr>
          <w:sz w:val="28"/>
          <w:szCs w:val="28"/>
          <w:lang w:val="uk-UA"/>
        </w:rPr>
        <w:t>Оскільки основним джерелом поповнення казни є податкові надходження, то податкова заборгованість, за умов її неефективного адміністрування, перетворюється із чинника фінансової безпеки на ризик та загрозу.</w:t>
      </w:r>
      <w:r>
        <w:rPr>
          <w:sz w:val="28"/>
          <w:szCs w:val="28"/>
          <w:lang w:val="uk-UA"/>
        </w:rPr>
        <w:t xml:space="preserve"> </w:t>
      </w:r>
      <w:r w:rsidR="00353C0D" w:rsidRPr="00CE6F64">
        <w:rPr>
          <w:sz w:val="28"/>
          <w:szCs w:val="28"/>
          <w:lang w:val="uk-UA"/>
        </w:rPr>
        <w:t>Слабкими місцями податкової складової фінансової безпеки ми вважаємо податковий борг, який щороку зберігається та наростає, значні обсяги ухилення від оподаткування, продукування кризових явищ на підприємствах-податкових боржниках, їх банкрутство. Як результат – фінансова система втрачає суттєву частку ресурсів через тотальне списання податкової заборгованості. Відтак гостро постає необхідність пошуку нових, більш ефективних методів погашення податкової заборгованості в інтересах підвищення рівня фінансової безпеки держави.</w:t>
      </w:r>
    </w:p>
    <w:p w:rsidR="00353C0D" w:rsidRPr="00FD226D" w:rsidRDefault="00353C0D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78B">
        <w:rPr>
          <w:rFonts w:ascii="Times New Roman" w:hAnsi="Times New Roman"/>
          <w:sz w:val="28"/>
          <w:szCs w:val="28"/>
          <w:lang w:val="uk-UA"/>
        </w:rPr>
        <w:t xml:space="preserve">Незважаючи на високий ступінь опрацювання </w:t>
      </w:r>
      <w:r w:rsidR="00BB462C">
        <w:rPr>
          <w:rFonts w:ascii="Times New Roman" w:hAnsi="Times New Roman"/>
          <w:sz w:val="28"/>
          <w:szCs w:val="28"/>
          <w:lang w:val="uk-UA"/>
        </w:rPr>
        <w:t>проблем фінансової безпеки та податкового боргу окремо,</w:t>
      </w:r>
      <w:r w:rsidRPr="00A8678B">
        <w:rPr>
          <w:rFonts w:ascii="Times New Roman" w:hAnsi="Times New Roman"/>
          <w:sz w:val="28"/>
          <w:szCs w:val="28"/>
          <w:lang w:val="uk-UA"/>
        </w:rPr>
        <w:t xml:space="preserve"> зазначимо, що роль податкового боргу в забезпеченні фінансової безпеки держави </w:t>
      </w:r>
      <w:r w:rsidRPr="00FD226D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невстановленою. </w:t>
      </w:r>
    </w:p>
    <w:p w:rsidR="00353C0D" w:rsidRPr="00FD226D" w:rsidRDefault="00353C0D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  <w:r w:rsidRPr="00FD2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Питанням мінімізації заборгованостей та організації діяльності колекторських компаній приділяється значна увага у вітчизняній та зарубіжній економічній літературі, зокрема такими науковцями як: Ф. Бутинцем, Л. Бондаренко, С. Дробязко, Я. Зинзюком, І. Кравченко, Т. Філіпенко, І. Ямборко. </w:t>
      </w:r>
      <w:r w:rsidR="00FD226D" w:rsidRPr="00FD2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Правові аспекти медіації досліджувалися Балухом В., </w:t>
      </w:r>
      <w:r w:rsidR="00FD226D" w:rsidRPr="00FD226D">
        <w:rPr>
          <w:rFonts w:ascii="Times New Roman" w:hAnsi="Times New Roman" w:cs="Times New Roman"/>
          <w:sz w:val="28"/>
          <w:szCs w:val="28"/>
          <w:lang w:val="uk-UA"/>
        </w:rPr>
        <w:t xml:space="preserve">Гайдуком А.,  </w:t>
      </w:r>
      <w:r w:rsidR="00FD226D" w:rsidRPr="00FD2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Клименком О.,  Служавим Є. </w:t>
      </w:r>
      <w:r w:rsidRPr="00FD226D">
        <w:rPr>
          <w:rFonts w:ascii="Times New Roman" w:hAnsi="Times New Roman" w:cs="Times New Roman"/>
          <w:sz w:val="28"/>
          <w:szCs w:val="28"/>
          <w:lang w:val="uk-UA"/>
        </w:rPr>
        <w:t xml:space="preserve">Проте можливість використання колекторських компаній </w:t>
      </w:r>
      <w:r w:rsidR="00FD226D" w:rsidRPr="00FD226D">
        <w:rPr>
          <w:rFonts w:ascii="Times New Roman" w:hAnsi="Times New Roman" w:cs="Times New Roman"/>
          <w:sz w:val="28"/>
          <w:szCs w:val="28"/>
          <w:lang w:val="uk-UA"/>
        </w:rPr>
        <w:t xml:space="preserve">як медіатора </w:t>
      </w:r>
      <w:r w:rsidRPr="00FD226D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погашення податкової заборгованості в контексті забезпечення фінансової безпеки досліджується нами вперше. </w:t>
      </w:r>
    </w:p>
    <w:p w:rsidR="00353C0D" w:rsidRPr="00B36AAD" w:rsidRDefault="002B67EA" w:rsidP="006832C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 дослідження полягає в обґрунтуванні впровадження в Україні інституту податкової медіації, зокрема використання </w:t>
      </w:r>
      <w:r w:rsidR="00353C0D" w:rsidRPr="00B36AAD">
        <w:rPr>
          <w:rFonts w:ascii="Times New Roman" w:hAnsi="Times New Roman"/>
          <w:sz w:val="28"/>
          <w:szCs w:val="28"/>
          <w:lang w:val="uk-UA"/>
        </w:rPr>
        <w:t>колекторської діяльності як інструмент</w:t>
      </w:r>
      <w:r w:rsidR="00353C0D">
        <w:rPr>
          <w:rFonts w:ascii="Times New Roman" w:hAnsi="Times New Roman"/>
          <w:sz w:val="28"/>
          <w:szCs w:val="28"/>
          <w:lang w:val="uk-UA"/>
        </w:rPr>
        <w:t>а</w:t>
      </w:r>
      <w:r w:rsidR="00353C0D" w:rsidRPr="00B36A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мінімізації податкового боргу задля посилення фінансової безпеки.</w:t>
      </w:r>
    </w:p>
    <w:p w:rsidR="002B67EA" w:rsidRDefault="00353C0D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D2EE9">
        <w:rPr>
          <w:rFonts w:ascii="Times New Roman" w:hAnsi="Times New Roman" w:cs="Times New Roman"/>
          <w:sz w:val="28"/>
          <w:szCs w:val="28"/>
          <w:lang w:val="uk-UA"/>
        </w:rPr>
        <w:t xml:space="preserve">дним із ключових індикаторів фінансової безпеки є </w:t>
      </w:r>
      <w:r w:rsidR="002B67EA">
        <w:rPr>
          <w:rFonts w:ascii="Times New Roman" w:hAnsi="Times New Roman" w:cs="Times New Roman"/>
          <w:sz w:val="28"/>
          <w:szCs w:val="28"/>
          <w:lang w:val="uk-UA"/>
        </w:rPr>
        <w:t>достатність п</w:t>
      </w:r>
      <w:r w:rsidRPr="00FD2EE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2B67EA">
        <w:rPr>
          <w:rFonts w:ascii="Times New Roman" w:hAnsi="Times New Roman" w:cs="Times New Roman"/>
          <w:sz w:val="28"/>
          <w:szCs w:val="28"/>
          <w:lang w:val="uk-UA"/>
        </w:rPr>
        <w:t>аткових надходжень,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є способом</w:t>
      </w:r>
      <w:r w:rsidRPr="00FD2EE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фінансової </w:t>
      </w:r>
      <w:r>
        <w:rPr>
          <w:rFonts w:ascii="Times New Roman" w:hAnsi="Times New Roman" w:cs="Times New Roman"/>
          <w:sz w:val="28"/>
          <w:szCs w:val="28"/>
          <w:lang w:val="uk-UA"/>
        </w:rPr>
        <w:t>стійкості</w:t>
      </w:r>
      <w:r w:rsidR="002B67EA">
        <w:rPr>
          <w:rFonts w:ascii="Times New Roman" w:hAnsi="Times New Roman" w:cs="Times New Roman"/>
          <w:sz w:val="28"/>
          <w:szCs w:val="28"/>
          <w:lang w:val="uk-UA"/>
        </w:rPr>
        <w:t xml:space="preserve"> та фактором ризику</w:t>
      </w:r>
      <w:r w:rsidRPr="00FD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держави</w:t>
      </w:r>
      <w:r w:rsidRPr="00FD2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2EE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Таким чином, виникає проблема попередження виникнення та наростання податкового боргу, а також підвищення </w:t>
      </w:r>
      <w:r w:rsidR="00D45888">
        <w:rPr>
          <w:rFonts w:ascii="Times New Roman" w:eastAsia="TimesNewRomanPSMT" w:hAnsi="Times New Roman" w:cs="Times New Roman"/>
          <w:sz w:val="28"/>
          <w:szCs w:val="28"/>
          <w:lang w:val="uk-UA"/>
        </w:rPr>
        <w:t>ефективності заходів мобілізації</w:t>
      </w:r>
      <w:r w:rsidRPr="00FD2EE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сум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накопиченого</w:t>
      </w:r>
      <w:r w:rsidRPr="00FD2EE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боргу до бюджетів.</w:t>
      </w:r>
      <w:r w:rsid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353C0D" w:rsidRPr="00FD2EE9" w:rsidRDefault="002B67EA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B67EA">
        <w:rPr>
          <w:rFonts w:ascii="Times New Roman" w:hAnsi="Times New Roman" w:cs="Times New Roman"/>
          <w:sz w:val="28"/>
          <w:szCs w:val="28"/>
          <w:lang w:val="uk-UA"/>
        </w:rPr>
        <w:t>Учасники податкових відносин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взаємодіють на стику своїх 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t>позицій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держава переслідує мету максимізувати наповнення бюджету, платник податків прагне зберегти власні ресурси. 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t>Розбалансування інтересів сторін в правовій площині набуває</w:t>
      </w:r>
      <w:r w:rsidR="00161E59"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t>ознак</w:t>
      </w:r>
      <w:r w:rsidR="00161E59"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подат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кових спорів, що призводять не лише до неповної та 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несвоєчасної сплати податкових зобов’язань</w:t>
      </w:r>
      <w:r w:rsidR="00161E59"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>, а й стають на заваді</w:t>
      </w:r>
      <w:r w:rsidR="00E9636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легальній процедурі стягнення податкового боргу</w:t>
      </w:r>
      <w:r w:rsidR="00161E59"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:rsidR="00353C0D" w:rsidRDefault="007F6BA5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</w:t>
      </w:r>
      <w:r w:rsidR="00353C0D" w:rsidRPr="00CE6F64">
        <w:rPr>
          <w:sz w:val="28"/>
          <w:szCs w:val="28"/>
          <w:lang w:val="uk-UA"/>
        </w:rPr>
        <w:t xml:space="preserve"> податкової заборговано</w:t>
      </w:r>
      <w:r>
        <w:rPr>
          <w:sz w:val="28"/>
          <w:szCs w:val="28"/>
          <w:lang w:val="uk-UA"/>
        </w:rPr>
        <w:t xml:space="preserve">сті в ієрархії </w:t>
      </w:r>
      <w:r w:rsidR="00353C0D" w:rsidRPr="00CE6F64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 xml:space="preserve"> фінансової безпеки неухильно зростає, що доводять тенденції даного загрозливого </w:t>
      </w:r>
      <w:r w:rsidR="00353C0D" w:rsidRPr="00CE6F64">
        <w:rPr>
          <w:sz w:val="28"/>
          <w:szCs w:val="28"/>
          <w:lang w:val="uk-UA"/>
        </w:rPr>
        <w:t>явища</w:t>
      </w:r>
      <w:r>
        <w:rPr>
          <w:sz w:val="28"/>
          <w:szCs w:val="28"/>
          <w:lang w:val="uk-UA"/>
        </w:rPr>
        <w:t>:</w:t>
      </w:r>
    </w:p>
    <w:p w:rsidR="001B5FB7" w:rsidRDefault="001B5FB7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</w:p>
    <w:p w:rsidR="007F6BA5" w:rsidRDefault="007F6BA5" w:rsidP="006832C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86400" cy="20383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6BA5" w:rsidRDefault="007F6BA5" w:rsidP="006832C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1. Динамі</w:t>
      </w:r>
      <w:r w:rsidRPr="00740804">
        <w:rPr>
          <w:color w:val="000000"/>
          <w:sz w:val="28"/>
          <w:szCs w:val="28"/>
          <w:lang w:val="uk-UA"/>
        </w:rPr>
        <w:t xml:space="preserve">ка </w:t>
      </w:r>
      <w:r>
        <w:rPr>
          <w:color w:val="000000"/>
          <w:sz w:val="28"/>
          <w:szCs w:val="28"/>
          <w:lang w:val="uk-UA"/>
        </w:rPr>
        <w:t>податкового боргу за податковими зобов’язаннями в Україні за 2004-2013 рр.</w:t>
      </w:r>
      <w:r w:rsidR="001739FD">
        <w:rPr>
          <w:rStyle w:val="aa"/>
          <w:color w:val="000000"/>
          <w:sz w:val="28"/>
          <w:szCs w:val="28"/>
          <w:lang w:val="uk-UA"/>
        </w:rPr>
        <w:footnoteReference w:id="1"/>
      </w:r>
      <w:r w:rsidR="001B5FB7">
        <w:rPr>
          <w:color w:val="000000"/>
          <w:sz w:val="28"/>
          <w:szCs w:val="28"/>
          <w:lang w:val="uk-UA"/>
        </w:rPr>
        <w:t xml:space="preserve"> </w:t>
      </w:r>
    </w:p>
    <w:p w:rsidR="007F6BA5" w:rsidRDefault="00F24C37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видно із рисунку, податковий борг неухильно зростає. З</w:t>
      </w:r>
      <w:r w:rsidRPr="007F6BA5">
        <w:rPr>
          <w:sz w:val="28"/>
          <w:szCs w:val="28"/>
          <w:lang w:val="uk-UA"/>
        </w:rPr>
        <w:t>а оцінкою Рахункової палати, на кожну гривню сплаченого до бюджету грошовими коштами податкового боргу в 2012 році відбувся приріст новоутвореного податкового боргу в розмірі 1,21 грн., а в І кварталі 2013 року – 3,12 гривні. </w:t>
      </w:r>
    </w:p>
    <w:p w:rsidR="00F24C37" w:rsidRDefault="00F24C37" w:rsidP="006832C8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6BA5">
        <w:rPr>
          <w:rFonts w:ascii="Times New Roman" w:hAnsi="Times New Roman"/>
          <w:color w:val="000000"/>
          <w:sz w:val="28"/>
          <w:szCs w:val="28"/>
          <w:lang w:val="uk-UA"/>
        </w:rPr>
        <w:t>Інструменти, що наразі використовуються у фіскальній практиці, засвідчили свою неефективність. Після набрання чинності Податковим кодексом було списано понад 30,5 млрд. грн. податкового боргу та розстрочених грошових зобов’язань</w:t>
      </w:r>
      <w:r w:rsidR="00173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9FD">
        <w:rPr>
          <w:rStyle w:val="aa"/>
          <w:rFonts w:ascii="Times New Roman" w:hAnsi="Times New Roman"/>
          <w:color w:val="000000"/>
          <w:sz w:val="28"/>
          <w:szCs w:val="28"/>
        </w:rPr>
        <w:footnoteReference w:id="2"/>
      </w:r>
      <w:r w:rsidRPr="007F6BA5">
        <w:rPr>
          <w:rFonts w:ascii="Times New Roman" w:hAnsi="Times New Roman"/>
          <w:color w:val="000000"/>
          <w:sz w:val="28"/>
          <w:szCs w:val="28"/>
          <w:lang w:val="uk-UA"/>
        </w:rPr>
        <w:t>. Як видно із рисунку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Pr="007F6BA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жодному із періодів не досягнуто повного стягнення податкової заборгованості, хоч і відмічаємо зростання обсягів мобілізації, що розцінюємо позитивно.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7F6BA5">
        <w:rPr>
          <w:rFonts w:ascii="Times New Roman" w:hAnsi="Times New Roman"/>
          <w:color w:val="000000"/>
          <w:sz w:val="28"/>
          <w:szCs w:val="28"/>
          <w:lang w:val="uk-UA"/>
        </w:rPr>
        <w:t>корочення податкового боргу на даний час досягається шляхом списання його як безнадійного, що означає безповоротну втрату фінансових ресурсів для держави.</w:t>
      </w:r>
    </w:p>
    <w:p w:rsidR="00392042" w:rsidRPr="00F24C37" w:rsidRDefault="00392042" w:rsidP="0039204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7F6BA5"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ільшість списань припадає на діючі підприємства паливно-енергетичного комплексу. Решта списаного боргу розподіляється між боргом платників податків, стосовно якого минув строк позовної давності, боргом, що виник через обставини непереборної сили; податковим боргом платників, державна реєстрація яких припинена та податковою заборгованістю фізичних осіб. </w:t>
      </w:r>
    </w:p>
    <w:p w:rsidR="00392042" w:rsidRPr="007F6BA5" w:rsidRDefault="00392042" w:rsidP="006832C8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3C0D" w:rsidRPr="007F6BA5" w:rsidRDefault="00353C0D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 w:rsidRPr="00CE6F64">
        <w:rPr>
          <w:rFonts w:ascii="Times New Roman" w:eastAsia="Times-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400300"/>
            <wp:effectExtent l="19050" t="0" r="1905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39FD" w:rsidRDefault="001739FD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042" w:rsidRDefault="00392042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3C0D" w:rsidRPr="007F6BA5" w:rsidRDefault="00F24C37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Рис. 2</w:t>
      </w:r>
      <w:r w:rsidR="00353C0D" w:rsidRPr="007F6BA5">
        <w:rPr>
          <w:rFonts w:ascii="Times New Roman" w:hAnsi="Times New Roman"/>
          <w:color w:val="000000"/>
          <w:sz w:val="28"/>
          <w:szCs w:val="28"/>
          <w:lang w:val="uk-UA"/>
        </w:rPr>
        <w:t>. Співставлення обсягів податкового боргу, мобілізованих сум податкової заборгованості та списання за 2010 – І кварталі 2013 рр. в Україні</w:t>
      </w:r>
      <w:r w:rsidR="001739FD">
        <w:rPr>
          <w:rStyle w:val="aa"/>
          <w:rFonts w:ascii="Times New Roman" w:hAnsi="Times New Roman"/>
          <w:color w:val="000000"/>
          <w:sz w:val="28"/>
          <w:szCs w:val="28"/>
          <w:lang w:val="uk-UA"/>
        </w:rPr>
        <w:footnoteReference w:id="3"/>
      </w:r>
    </w:p>
    <w:p w:rsidR="00F24C37" w:rsidRPr="00A267DC" w:rsidRDefault="00F24C37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Заборгованість підприємств-банкрутів списується щороку приблизно на 40% (рис. 3). Це означає, що борг банкрутів у значному обсязі перебуває у стані, коли до нього не вживаються заходи по мобілізації, але і не застосовується процедура списання в умовах затягування судового розгляду таких справ. </w:t>
      </w:r>
      <w:r w:rsidR="00A267DC"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267DC"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аналізованих періодах вдавалося акумулювати лише дещо більше половини від сум заборгованості, </w:t>
      </w:r>
      <w:r w:rsidR="00A267DC"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решта борг</w:t>
      </w:r>
      <w:r w:rsidR="00A267DC"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визнавалася як безнадійна є фактором ослаблення </w:t>
      </w: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67DC"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фінансової безпеки</w:t>
      </w:r>
      <w:r w:rsidRPr="00A267D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946D4" w:rsidRPr="00300751" w:rsidRDefault="007946D4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86425" cy="2266950"/>
            <wp:effectExtent l="19050" t="0" r="9525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042" w:rsidRDefault="00392042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46D4" w:rsidRPr="007F6BA5" w:rsidRDefault="00A267DC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Рис. 3</w:t>
      </w:r>
      <w:r w:rsidR="007946D4" w:rsidRPr="007F6BA5">
        <w:rPr>
          <w:rFonts w:ascii="Times New Roman" w:hAnsi="Times New Roman"/>
          <w:color w:val="000000"/>
          <w:sz w:val="28"/>
          <w:szCs w:val="28"/>
          <w:lang w:val="uk-UA"/>
        </w:rPr>
        <w:t xml:space="preserve">. Частка мобілізованого боргу, погашена внаслідок задоволення вимог податкових органів до підприємств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7946D4" w:rsidRPr="007F6BA5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банкрутів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2010 – 2013 рр. </w:t>
      </w:r>
    </w:p>
    <w:p w:rsidR="00D45888" w:rsidRPr="00FD2EE9" w:rsidRDefault="00D45888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>Таким чином, існує потреба в пошуку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их та швидких інструментів вирішення податкових спорів. Якщо сторони податкового конфлікту</w:t>
      </w: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прагнуть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консенсусу, то він може бути досягнутий за допомогою альтернативних</w:t>
      </w: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процедур, до переліку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>яких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світовій практиці належить </w:t>
      </w:r>
      <w:r w:rsidRPr="00161E59">
        <w:rPr>
          <w:rFonts w:ascii="Times New Roman" w:eastAsia="TimesNewRomanPSMT" w:hAnsi="Times New Roman" w:cs="Times New Roman"/>
          <w:sz w:val="28"/>
          <w:szCs w:val="28"/>
          <w:lang w:val="uk-UA"/>
        </w:rPr>
        <w:t>медіація.</w:t>
      </w:r>
    </w:p>
    <w:p w:rsidR="002F4435" w:rsidRPr="00A267DC" w:rsidRDefault="00A267DC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D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4435" w:rsidRPr="00A267DC">
        <w:rPr>
          <w:rFonts w:ascii="Times New Roman" w:hAnsi="Times New Roman" w:cs="Times New Roman"/>
          <w:sz w:val="28"/>
          <w:szCs w:val="28"/>
        </w:rPr>
        <w:t>едіація – це</w:t>
      </w:r>
      <w:r w:rsidRP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435" w:rsidRPr="00A267DC">
        <w:rPr>
          <w:rFonts w:ascii="Times New Roman" w:hAnsi="Times New Roman" w:cs="Times New Roman"/>
          <w:sz w:val="28"/>
          <w:szCs w:val="28"/>
        </w:rPr>
        <w:t>спосіб вирішення спору за допомогою ней</w:t>
      </w:r>
      <w:r w:rsidRPr="00A267DC">
        <w:rPr>
          <w:rFonts w:ascii="Times New Roman" w:hAnsi="Times New Roman" w:cs="Times New Roman"/>
          <w:sz w:val="28"/>
          <w:szCs w:val="28"/>
        </w:rPr>
        <w:t>тральног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435" w:rsidRPr="00A267DC">
        <w:rPr>
          <w:rFonts w:ascii="Times New Roman" w:hAnsi="Times New Roman" w:cs="Times New Roman"/>
          <w:sz w:val="28"/>
          <w:szCs w:val="28"/>
        </w:rPr>
        <w:t xml:space="preserve">посередника (медіатора). </w:t>
      </w:r>
    </w:p>
    <w:p w:rsidR="002F4435" w:rsidRPr="00A267DC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DC">
        <w:rPr>
          <w:rFonts w:ascii="Times New Roman" w:hAnsi="Times New Roman" w:cs="Times New Roman"/>
          <w:sz w:val="28"/>
          <w:szCs w:val="28"/>
        </w:rPr>
        <w:t>Роль і зна</w:t>
      </w:r>
      <w:r w:rsidR="00A267DC">
        <w:rPr>
          <w:rFonts w:ascii="Times New Roman" w:hAnsi="Times New Roman" w:cs="Times New Roman"/>
          <w:sz w:val="28"/>
          <w:szCs w:val="28"/>
        </w:rPr>
        <w:t>чення цієї особи науковці визна</w:t>
      </w:r>
      <w:r w:rsidRPr="00A267DC">
        <w:rPr>
          <w:rFonts w:ascii="Times New Roman" w:hAnsi="Times New Roman" w:cs="Times New Roman"/>
          <w:sz w:val="28"/>
          <w:szCs w:val="28"/>
        </w:rPr>
        <w:t>чають за допомогою таких трьох позицій:</w:t>
      </w:r>
    </w:p>
    <w:p w:rsidR="002F4435" w:rsidRPr="00A267DC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DC">
        <w:rPr>
          <w:rFonts w:ascii="Times New Roman" w:hAnsi="Times New Roman" w:cs="Times New Roman"/>
          <w:sz w:val="28"/>
          <w:szCs w:val="28"/>
        </w:rPr>
        <w:t>1) забезпечення зв’язку між сторонами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спору для того, щоб вони могли зрозуміти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перспективи розв’язання конфлікту та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 xml:space="preserve">з’ясувати </w:t>
      </w:r>
      <w:r w:rsidR="00A267DC">
        <w:rPr>
          <w:rFonts w:ascii="Times New Roman" w:hAnsi="Times New Roman" w:cs="Times New Roman"/>
          <w:sz w:val="28"/>
          <w:szCs w:val="28"/>
        </w:rPr>
        <w:t>фактичні основні потреби й інте</w:t>
      </w:r>
      <w:r w:rsidRPr="00A267DC">
        <w:rPr>
          <w:rFonts w:ascii="Times New Roman" w:hAnsi="Times New Roman" w:cs="Times New Roman"/>
          <w:sz w:val="28"/>
          <w:szCs w:val="28"/>
        </w:rPr>
        <w:t>реси один одного;</w:t>
      </w:r>
    </w:p>
    <w:p w:rsidR="002F4435" w:rsidRPr="00A267DC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DC">
        <w:rPr>
          <w:rFonts w:ascii="Times New Roman" w:hAnsi="Times New Roman" w:cs="Times New Roman"/>
          <w:sz w:val="28"/>
          <w:szCs w:val="28"/>
        </w:rPr>
        <w:t>2) раці</w:t>
      </w:r>
      <w:r w:rsidR="00A267DC">
        <w:rPr>
          <w:rFonts w:ascii="Times New Roman" w:hAnsi="Times New Roman" w:cs="Times New Roman"/>
          <w:sz w:val="28"/>
          <w:szCs w:val="28"/>
        </w:rPr>
        <w:t>оналізація переговорного процес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267DC">
        <w:rPr>
          <w:rFonts w:ascii="Times New Roman" w:hAnsi="Times New Roman" w:cs="Times New Roman"/>
          <w:sz w:val="28"/>
          <w:szCs w:val="28"/>
        </w:rPr>
        <w:t>між сто</w:t>
      </w:r>
      <w:r w:rsidR="00A267DC">
        <w:rPr>
          <w:rFonts w:ascii="Times New Roman" w:hAnsi="Times New Roman" w:cs="Times New Roman"/>
          <w:sz w:val="28"/>
          <w:szCs w:val="28"/>
        </w:rPr>
        <w:t>ронами; спонукати їх до напрацю</w:t>
      </w:r>
      <w:r w:rsidRPr="00A267DC">
        <w:rPr>
          <w:rFonts w:ascii="Times New Roman" w:hAnsi="Times New Roman" w:cs="Times New Roman"/>
          <w:sz w:val="28"/>
          <w:szCs w:val="28"/>
        </w:rPr>
        <w:t>вання що</w:t>
      </w:r>
      <w:r w:rsidR="00A267DC">
        <w:rPr>
          <w:rFonts w:ascii="Times New Roman" w:hAnsi="Times New Roman" w:cs="Times New Roman"/>
          <w:sz w:val="28"/>
          <w:szCs w:val="28"/>
        </w:rPr>
        <w:t>до переговорів принципового під</w:t>
      </w:r>
      <w:r w:rsidRPr="00A267DC">
        <w:rPr>
          <w:rFonts w:ascii="Times New Roman" w:hAnsi="Times New Roman" w:cs="Times New Roman"/>
          <w:sz w:val="28"/>
          <w:szCs w:val="28"/>
        </w:rPr>
        <w:t>ходу і знаходження рішень, котрі належним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чином відповідають їх головним інтересам;</w:t>
      </w:r>
    </w:p>
    <w:p w:rsidR="002F4435" w:rsidRPr="00A267DC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DC">
        <w:rPr>
          <w:rFonts w:ascii="Times New Roman" w:hAnsi="Times New Roman" w:cs="Times New Roman"/>
          <w:sz w:val="28"/>
          <w:szCs w:val="28"/>
        </w:rPr>
        <w:t>3) в окремих випадках і на прохання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сторін, висунення істотних пропозицій, щоб</w:t>
      </w:r>
      <w:r w:rsidR="00A2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підштовхнути сторони до досягнення згоди</w:t>
      </w:r>
      <w:r w:rsidR="001739F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A267DC" w:rsidRPr="00A267DC">
        <w:rPr>
          <w:rFonts w:ascii="Times New Roman" w:hAnsi="Times New Roman" w:cs="Times New Roman"/>
          <w:sz w:val="28"/>
          <w:szCs w:val="28"/>
        </w:rPr>
        <w:t>.</w:t>
      </w:r>
    </w:p>
    <w:p w:rsidR="00AD5738" w:rsidRPr="00A267DC" w:rsidRDefault="000A2136" w:rsidP="006832C8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Сутт</w:t>
      </w:r>
      <w:r>
        <w:rPr>
          <w:sz w:val="28"/>
          <w:szCs w:val="28"/>
          <w:lang w:val="uk-UA"/>
        </w:rPr>
        <w:t>є</w:t>
      </w:r>
      <w:r w:rsidR="009A677E">
        <w:rPr>
          <w:sz w:val="28"/>
          <w:szCs w:val="28"/>
        </w:rPr>
        <w:t>во, що м</w:t>
      </w:r>
      <w:r w:rsidR="00AD5738" w:rsidRPr="00A267DC">
        <w:rPr>
          <w:sz w:val="28"/>
          <w:szCs w:val="28"/>
        </w:rPr>
        <w:t xml:space="preserve">едіація застосовується, коли </w:t>
      </w:r>
      <w:r w:rsidR="00AD5738" w:rsidRPr="009A677E">
        <w:rPr>
          <w:iCs/>
          <w:sz w:val="28"/>
          <w:szCs w:val="28"/>
        </w:rPr>
        <w:t xml:space="preserve">відносини </w:t>
      </w:r>
      <w:r w:rsidR="00AD5738" w:rsidRPr="00A267DC">
        <w:rPr>
          <w:sz w:val="28"/>
          <w:szCs w:val="28"/>
        </w:rPr>
        <w:t xml:space="preserve">між податковим </w:t>
      </w:r>
      <w:r w:rsidR="009A677E">
        <w:rPr>
          <w:sz w:val="28"/>
          <w:szCs w:val="28"/>
        </w:rPr>
        <w:t>органом</w:t>
      </w:r>
      <w:r w:rsidR="00AD5738" w:rsidRPr="00A267DC">
        <w:rPr>
          <w:sz w:val="28"/>
          <w:szCs w:val="28"/>
        </w:rPr>
        <w:t xml:space="preserve"> і платником </w:t>
      </w:r>
      <w:r w:rsidR="00AD5738" w:rsidRPr="009A677E">
        <w:rPr>
          <w:iCs/>
          <w:sz w:val="28"/>
          <w:szCs w:val="28"/>
        </w:rPr>
        <w:t xml:space="preserve">податків </w:t>
      </w:r>
      <w:r w:rsidR="009A677E">
        <w:rPr>
          <w:iCs/>
          <w:sz w:val="28"/>
          <w:szCs w:val="28"/>
        </w:rPr>
        <w:t>ускладнен</w:t>
      </w:r>
      <w:r w:rsidR="009A677E">
        <w:rPr>
          <w:iCs/>
          <w:sz w:val="28"/>
          <w:szCs w:val="28"/>
          <w:lang w:val="uk-UA"/>
        </w:rPr>
        <w:t>і</w:t>
      </w:r>
      <w:r w:rsidR="00AD5738" w:rsidRPr="00A267DC">
        <w:rPr>
          <w:sz w:val="28"/>
          <w:szCs w:val="28"/>
        </w:rPr>
        <w:t xml:space="preserve">, виникає непорозуміння, яке може призвести до ескалації конфлікту ще далі. </w:t>
      </w:r>
    </w:p>
    <w:p w:rsidR="00C51AB4" w:rsidRPr="00FD72D4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7DC">
        <w:rPr>
          <w:rFonts w:ascii="Times New Roman" w:hAnsi="Times New Roman" w:cs="Times New Roman"/>
          <w:sz w:val="28"/>
          <w:szCs w:val="28"/>
        </w:rPr>
        <w:t xml:space="preserve">На </w:t>
      </w:r>
      <w:r w:rsidR="009A677E">
        <w:rPr>
          <w:rFonts w:ascii="Times New Roman" w:hAnsi="Times New Roman" w:cs="Times New Roman"/>
          <w:sz w:val="28"/>
          <w:szCs w:val="28"/>
        </w:rPr>
        <w:t xml:space="preserve">сьогодні законодавчо термін 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677E">
        <w:rPr>
          <w:rFonts w:ascii="Times New Roman" w:hAnsi="Times New Roman" w:cs="Times New Roman"/>
          <w:sz w:val="28"/>
          <w:szCs w:val="28"/>
        </w:rPr>
        <w:t>медіація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267DC">
        <w:rPr>
          <w:rFonts w:ascii="Times New Roman" w:hAnsi="Times New Roman" w:cs="Times New Roman"/>
          <w:sz w:val="28"/>
          <w:szCs w:val="28"/>
        </w:rPr>
        <w:t xml:space="preserve"> не визначений. Натомість, на рівні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підзаконних нормативно-правових актів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встановлено, що медіацією є діяльність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="009A677E">
        <w:rPr>
          <w:rFonts w:ascii="Times New Roman" w:hAnsi="Times New Roman" w:cs="Times New Roman"/>
          <w:sz w:val="28"/>
          <w:szCs w:val="28"/>
        </w:rPr>
        <w:t>посередників, які спрямову</w:t>
      </w:r>
      <w:r w:rsidRPr="00A267DC">
        <w:rPr>
          <w:rFonts w:ascii="Times New Roman" w:hAnsi="Times New Roman" w:cs="Times New Roman"/>
          <w:sz w:val="28"/>
          <w:szCs w:val="28"/>
        </w:rPr>
        <w:t>ють уча</w:t>
      </w:r>
      <w:r w:rsidR="009A677E">
        <w:rPr>
          <w:rFonts w:ascii="Times New Roman" w:hAnsi="Times New Roman" w:cs="Times New Roman"/>
          <w:sz w:val="28"/>
          <w:szCs w:val="28"/>
        </w:rPr>
        <w:t>сників юридичного спору до комп</w:t>
      </w:r>
      <w:r w:rsidRPr="00A267DC">
        <w:rPr>
          <w:rFonts w:ascii="Times New Roman" w:hAnsi="Times New Roman" w:cs="Times New Roman"/>
          <w:sz w:val="28"/>
          <w:szCs w:val="28"/>
        </w:rPr>
        <w:t>ромісу та врегулювання спору самостійно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328">
        <w:rPr>
          <w:rFonts w:ascii="Times New Roman" w:hAnsi="Times New Roman" w:cs="Times New Roman"/>
          <w:sz w:val="28"/>
          <w:szCs w:val="28"/>
        </w:rPr>
        <w:t>самими учасниками</w:t>
      </w:r>
      <w:r w:rsidRPr="00A267DC">
        <w:rPr>
          <w:rFonts w:ascii="Times New Roman" w:hAnsi="Times New Roman" w:cs="Times New Roman"/>
          <w:sz w:val="28"/>
          <w:szCs w:val="28"/>
        </w:rPr>
        <w:t>. Що ж до медіації в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податко</w:t>
      </w:r>
      <w:r w:rsidR="008F4328">
        <w:rPr>
          <w:rFonts w:ascii="Times New Roman" w:hAnsi="Times New Roman" w:cs="Times New Roman"/>
          <w:sz w:val="28"/>
          <w:szCs w:val="28"/>
        </w:rPr>
        <w:t>вих спорах, то чинним законодав</w:t>
      </w:r>
      <w:r w:rsidRPr="00A267DC">
        <w:rPr>
          <w:rFonts w:ascii="Times New Roman" w:hAnsi="Times New Roman" w:cs="Times New Roman"/>
          <w:sz w:val="28"/>
          <w:szCs w:val="28"/>
        </w:rPr>
        <w:t>ством України можливість її застосування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7DC">
        <w:rPr>
          <w:rFonts w:ascii="Times New Roman" w:hAnsi="Times New Roman" w:cs="Times New Roman"/>
          <w:sz w:val="28"/>
          <w:szCs w:val="28"/>
        </w:rPr>
        <w:t>не передбачено.</w:t>
      </w:r>
      <w:r w:rsidR="009A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77E" w:rsidRPr="009A677E">
        <w:rPr>
          <w:rFonts w:ascii="Times New Roman" w:hAnsi="Times New Roman" w:cs="Times New Roman"/>
          <w:sz w:val="28"/>
          <w:szCs w:val="28"/>
          <w:lang w:val="uk-UA"/>
        </w:rPr>
        <w:t>В кінці 2013 року в рамках Міністерства доходів і зборів готувався до впровадження проект з позасудового врегулювання (медіації) спорів між платниками податків і податковим органом. Таким проектом передбачалося внести відповідні зміни до податк</w:t>
      </w:r>
      <w:r w:rsidR="00935810">
        <w:rPr>
          <w:rFonts w:ascii="Times New Roman" w:hAnsi="Times New Roman" w:cs="Times New Roman"/>
          <w:sz w:val="28"/>
          <w:szCs w:val="28"/>
          <w:lang w:val="uk-UA"/>
        </w:rPr>
        <w:t>ового законодавства, однак у зв’</w:t>
      </w:r>
      <w:r w:rsidR="009A677E" w:rsidRPr="009A677E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935810" w:rsidRPr="009A677E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суспільно-політичними </w:t>
      </w:r>
      <w:r w:rsidR="00935810">
        <w:rPr>
          <w:rFonts w:ascii="Times New Roman" w:hAnsi="Times New Roman" w:cs="Times New Roman"/>
          <w:sz w:val="28"/>
          <w:szCs w:val="28"/>
          <w:lang w:val="uk-UA"/>
        </w:rPr>
        <w:t xml:space="preserve">змінами, </w:t>
      </w:r>
      <w:r w:rsidR="009A677E" w:rsidRPr="009A677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A677E" w:rsidRPr="00FD72D4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1739FD">
        <w:rPr>
          <w:rFonts w:ascii="Times New Roman" w:hAnsi="Times New Roman" w:cs="Times New Roman"/>
          <w:sz w:val="28"/>
          <w:szCs w:val="28"/>
          <w:lang w:val="uk-UA"/>
        </w:rPr>
        <w:t>ої ініціативи відкладено</w:t>
      </w:r>
      <w:r w:rsidR="001739FD">
        <w:rPr>
          <w:rStyle w:val="aa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="009A677E" w:rsidRPr="00FD7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72D4" w:rsidRPr="00FD7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2D4" w:rsidRPr="00FD72D4" w:rsidRDefault="00FD72D4" w:rsidP="006832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D72D4">
        <w:rPr>
          <w:rFonts w:ascii="Times New Roman" w:hAnsi="Times New Roman" w:cs="Times New Roman"/>
          <w:sz w:val="28"/>
          <w:szCs w:val="28"/>
        </w:rPr>
        <w:t>едіація в податкових спорах широко використовується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D4">
        <w:rPr>
          <w:rFonts w:ascii="Times New Roman" w:hAnsi="Times New Roman" w:cs="Times New Roman"/>
          <w:sz w:val="28"/>
          <w:szCs w:val="28"/>
        </w:rPr>
        <w:t>у світовій практиці</w:t>
      </w:r>
      <w:r w:rsidRPr="00FD72D4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Pr="00FD72D4">
        <w:rPr>
          <w:rFonts w:ascii="Times New Roman" w:hAnsi="Times New Roman" w:cs="Times New Roman"/>
          <w:sz w:val="28"/>
          <w:szCs w:val="28"/>
        </w:rPr>
        <w:t>в таких країнах, як Австралія, Великобританія, Нідерланди, Нова Зеландія, Сполучені Штати Америки. Дійсно, досвід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D4">
        <w:rPr>
          <w:rFonts w:ascii="Times New Roman" w:hAnsi="Times New Roman" w:cs="Times New Roman"/>
          <w:sz w:val="28"/>
          <w:szCs w:val="28"/>
        </w:rPr>
        <w:t>країн демонструє приклад існування ефективних альтернатив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D72D4">
        <w:rPr>
          <w:rFonts w:ascii="Times New Roman" w:hAnsi="Times New Roman" w:cs="Times New Roman"/>
          <w:sz w:val="28"/>
          <w:szCs w:val="28"/>
        </w:rPr>
        <w:t xml:space="preserve"> вирішення податкових спорів,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сприяють </w:t>
      </w:r>
      <w:r>
        <w:rPr>
          <w:rFonts w:ascii="Times New Roman" w:hAnsi="Times New Roman" w:cs="Times New Roman"/>
          <w:sz w:val="28"/>
          <w:szCs w:val="28"/>
        </w:rPr>
        <w:t>налагодженн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партнерсь</w:t>
      </w:r>
      <w:r w:rsidRPr="00FD72D4">
        <w:rPr>
          <w:rFonts w:ascii="Times New Roman" w:hAnsi="Times New Roman" w:cs="Times New Roman"/>
          <w:sz w:val="28"/>
          <w:szCs w:val="28"/>
        </w:rPr>
        <w:t>ких відносин, співпраці платників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D4">
        <w:rPr>
          <w:rFonts w:ascii="Times New Roman" w:hAnsi="Times New Roman" w:cs="Times New Roman"/>
          <w:sz w:val="28"/>
          <w:szCs w:val="28"/>
        </w:rPr>
        <w:t>та уповноважених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9AF" w:rsidRPr="004F68AD" w:rsidRDefault="008F4328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Доволі поширеною є думка, що ме</w:t>
      </w:r>
      <w:r w:rsidR="00F91CBD" w:rsidRPr="00A267DC">
        <w:rPr>
          <w:rFonts w:ascii="Times New Roman" w:hAnsi="Times New Roman" w:cs="Times New Roman"/>
          <w:sz w:val="28"/>
          <w:szCs w:val="28"/>
        </w:rPr>
        <w:t>діацію слід ро</w:t>
      </w:r>
      <w:r>
        <w:rPr>
          <w:rFonts w:ascii="Times New Roman" w:hAnsi="Times New Roman" w:cs="Times New Roman"/>
          <w:sz w:val="28"/>
          <w:szCs w:val="28"/>
        </w:rPr>
        <w:t>зглядати як частину судочинства</w:t>
      </w:r>
      <w:r w:rsidR="00F91CBD" w:rsidRPr="00A267DC">
        <w:rPr>
          <w:rFonts w:ascii="Times New Roman" w:hAnsi="Times New Roman" w:cs="Times New Roman"/>
          <w:sz w:val="28"/>
          <w:szCs w:val="28"/>
        </w:rPr>
        <w:t>. Прихильники цієї моделі розвитку вважають, що судова медіац</w:t>
      </w:r>
      <w:r>
        <w:rPr>
          <w:rFonts w:ascii="Times New Roman" w:hAnsi="Times New Roman" w:cs="Times New Roman"/>
          <w:sz w:val="28"/>
          <w:szCs w:val="28"/>
        </w:rPr>
        <w:t>ія має на меті покращити функці</w:t>
      </w:r>
      <w:r w:rsidR="00F91CBD" w:rsidRPr="00A267DC">
        <w:rPr>
          <w:rFonts w:ascii="Times New Roman" w:hAnsi="Times New Roman" w:cs="Times New Roman"/>
          <w:sz w:val="28"/>
          <w:szCs w:val="28"/>
        </w:rPr>
        <w:t>онування правов</w:t>
      </w:r>
      <w:r>
        <w:rPr>
          <w:rFonts w:ascii="Times New Roman" w:hAnsi="Times New Roman" w:cs="Times New Roman"/>
          <w:sz w:val="28"/>
          <w:szCs w:val="28"/>
        </w:rPr>
        <w:t xml:space="preserve">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зниження </w:t>
      </w:r>
      <w:r>
        <w:rPr>
          <w:rFonts w:ascii="Times New Roman" w:hAnsi="Times New Roman" w:cs="Times New Roman"/>
          <w:sz w:val="28"/>
          <w:szCs w:val="28"/>
        </w:rPr>
        <w:t xml:space="preserve"> 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</w:rPr>
        <w:t xml:space="preserve"> та доро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говизни </w:t>
      </w:r>
      <w:r>
        <w:rPr>
          <w:rFonts w:ascii="Times New Roman" w:hAnsi="Times New Roman" w:cs="Times New Roman"/>
          <w:sz w:val="28"/>
          <w:szCs w:val="28"/>
        </w:rPr>
        <w:t>судового процесу, його 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заангажованість</w:t>
      </w:r>
      <w:r w:rsidR="00F91CBD" w:rsidRPr="00A267DC">
        <w:rPr>
          <w:rFonts w:ascii="Times New Roman" w:hAnsi="Times New Roman" w:cs="Times New Roman"/>
          <w:sz w:val="28"/>
          <w:szCs w:val="28"/>
        </w:rPr>
        <w:t xml:space="preserve">. З </w:t>
      </w:r>
      <w:r w:rsidR="00F91CBD" w:rsidRPr="00A267DC">
        <w:rPr>
          <w:rFonts w:ascii="Times New Roman" w:hAnsi="Times New Roman" w:cs="Times New Roman"/>
          <w:sz w:val="28"/>
          <w:szCs w:val="28"/>
        </w:rPr>
        <w:lastRenderedPageBreak/>
        <w:t>іншого ж боку – дост</w:t>
      </w:r>
      <w:r>
        <w:rPr>
          <w:rFonts w:ascii="Times New Roman" w:hAnsi="Times New Roman" w:cs="Times New Roman"/>
          <w:sz w:val="28"/>
          <w:szCs w:val="28"/>
        </w:rPr>
        <w:t>атньо багато фахівців кате</w:t>
      </w:r>
      <w:r w:rsidR="00F91CBD" w:rsidRPr="00A267DC">
        <w:rPr>
          <w:rFonts w:ascii="Times New Roman" w:hAnsi="Times New Roman" w:cs="Times New Roman"/>
          <w:sz w:val="28"/>
          <w:szCs w:val="28"/>
        </w:rPr>
        <w:t>горично заперечу</w:t>
      </w:r>
      <w:r>
        <w:rPr>
          <w:rFonts w:ascii="Times New Roman" w:hAnsi="Times New Roman" w:cs="Times New Roman"/>
          <w:sz w:val="28"/>
          <w:szCs w:val="28"/>
        </w:rPr>
        <w:t>ють доцільність поглинання існу</w:t>
      </w:r>
      <w:r w:rsidR="00F91CBD" w:rsidRPr="00A267DC">
        <w:rPr>
          <w:rFonts w:ascii="Times New Roman" w:hAnsi="Times New Roman" w:cs="Times New Roman"/>
          <w:sz w:val="28"/>
          <w:szCs w:val="28"/>
        </w:rPr>
        <w:t xml:space="preserve">ючою системою правосуддя медіаційних процедур. Вони наполягають </w:t>
      </w:r>
      <w:r>
        <w:rPr>
          <w:rFonts w:ascii="Times New Roman" w:hAnsi="Times New Roman" w:cs="Times New Roman"/>
          <w:sz w:val="28"/>
          <w:szCs w:val="28"/>
        </w:rPr>
        <w:t>на тому, що надання послуг з ме</w:t>
      </w:r>
      <w:r w:rsidR="00F91CBD" w:rsidRPr="00A267DC">
        <w:rPr>
          <w:rFonts w:ascii="Times New Roman" w:hAnsi="Times New Roman" w:cs="Times New Roman"/>
          <w:sz w:val="28"/>
          <w:szCs w:val="28"/>
        </w:rPr>
        <w:t xml:space="preserve">діації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відбуватися на комерційній основі. </w:t>
      </w:r>
      <w:r>
        <w:rPr>
          <w:rFonts w:ascii="Times New Roman" w:hAnsi="Times New Roman" w:cs="Times New Roman"/>
          <w:sz w:val="28"/>
          <w:szCs w:val="28"/>
        </w:rPr>
        <w:t xml:space="preserve"> Комерційна</w:t>
      </w:r>
      <w:r w:rsidR="00F91CBD" w:rsidRPr="00A267DC">
        <w:rPr>
          <w:rFonts w:ascii="Times New Roman" w:hAnsi="Times New Roman" w:cs="Times New Roman"/>
          <w:sz w:val="28"/>
          <w:szCs w:val="28"/>
        </w:rPr>
        <w:t xml:space="preserve"> або ринкова, </w:t>
      </w:r>
      <w:r>
        <w:rPr>
          <w:rFonts w:ascii="Times New Roman" w:hAnsi="Times New Roman" w:cs="Times New Roman"/>
          <w:sz w:val="28"/>
          <w:szCs w:val="28"/>
        </w:rPr>
        <w:t>медіація – це про</w:t>
      </w:r>
      <w:r w:rsidR="00F91CBD" w:rsidRPr="00A267DC">
        <w:rPr>
          <w:rFonts w:ascii="Times New Roman" w:hAnsi="Times New Roman" w:cs="Times New Roman"/>
          <w:sz w:val="28"/>
          <w:szCs w:val="28"/>
        </w:rPr>
        <w:t xml:space="preserve">цес, у якому примирення осіб здійснює спеціально </w:t>
      </w:r>
      <w:r w:rsidR="004F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CBD" w:rsidRPr="00A267DC">
        <w:rPr>
          <w:rFonts w:ascii="Times New Roman" w:hAnsi="Times New Roman" w:cs="Times New Roman"/>
          <w:sz w:val="28"/>
          <w:szCs w:val="28"/>
        </w:rPr>
        <w:t>підготовлений експерт, діяльність якого оплачують сторони. Недоліком такої моделі медіації називають її екстенсивний характер розвитку</w:t>
      </w:r>
      <w:r w:rsidR="00FE1369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F91CBD" w:rsidRPr="00A267DC">
        <w:rPr>
          <w:rFonts w:ascii="Times New Roman" w:hAnsi="Times New Roman" w:cs="Times New Roman"/>
          <w:sz w:val="28"/>
          <w:szCs w:val="28"/>
        </w:rPr>
        <w:t>.</w:t>
      </w:r>
    </w:p>
    <w:p w:rsidR="00A1117F" w:rsidRDefault="00103271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265121">
        <w:rPr>
          <w:rFonts w:cstheme="minorBidi"/>
          <w:color w:val="auto"/>
          <w:sz w:val="28"/>
          <w:szCs w:val="28"/>
          <w:lang w:val="uk-UA"/>
        </w:rPr>
        <w:t>На даний час стягнення прострочених боргів найширше</w:t>
      </w:r>
      <w:r>
        <w:rPr>
          <w:rFonts w:cstheme="minorBidi"/>
          <w:color w:val="auto"/>
          <w:sz w:val="28"/>
          <w:szCs w:val="28"/>
          <w:lang w:val="uk-UA"/>
        </w:rPr>
        <w:t xml:space="preserve"> практикують банки, все частіше практикуючи використання послуг посередників – колекторських компаній. </w:t>
      </w:r>
      <w:r w:rsidRPr="00265121">
        <w:rPr>
          <w:rFonts w:cstheme="minorBidi"/>
          <w:color w:val="auto"/>
          <w:sz w:val="28"/>
          <w:szCs w:val="28"/>
          <w:lang w:val="uk-UA"/>
        </w:rPr>
        <w:t>Колекторство – робота спеціалізованої організації з обробки безперечної заборгованості фізичних і юридичних осіб</w:t>
      </w:r>
      <w:r w:rsidRPr="00265121">
        <w:rPr>
          <w:rFonts w:cstheme="minorBidi"/>
          <w:color w:val="auto"/>
          <w:sz w:val="28"/>
          <w:szCs w:val="28"/>
          <w:lang w:val="uk-UA"/>
        </w:rPr>
        <w:br/>
        <w:t>перед банками та іншими кредитними установами а також аналізу вірогідності повернення і здійснення самих про</w:t>
      </w:r>
      <w:r w:rsidR="00FE1369">
        <w:rPr>
          <w:rFonts w:cstheme="minorBidi"/>
          <w:color w:val="auto"/>
          <w:sz w:val="28"/>
          <w:szCs w:val="28"/>
          <w:lang w:val="uk-UA"/>
        </w:rPr>
        <w:t>цедур для її стягнення</w:t>
      </w:r>
      <w:r w:rsidR="00FE1369">
        <w:rPr>
          <w:rStyle w:val="aa"/>
          <w:rFonts w:cstheme="minorBidi"/>
          <w:color w:val="auto"/>
          <w:sz w:val="28"/>
          <w:szCs w:val="28"/>
          <w:lang w:val="uk-UA"/>
        </w:rPr>
        <w:footnoteReference w:id="7"/>
      </w:r>
      <w:r w:rsidRPr="00265121">
        <w:rPr>
          <w:rFonts w:cstheme="minorBidi"/>
          <w:color w:val="auto"/>
          <w:sz w:val="28"/>
          <w:szCs w:val="28"/>
          <w:lang w:val="uk-UA"/>
        </w:rPr>
        <w:t xml:space="preserve">. </w:t>
      </w:r>
      <w:r>
        <w:rPr>
          <w:rFonts w:cstheme="minorBidi"/>
          <w:color w:val="auto"/>
          <w:sz w:val="28"/>
          <w:szCs w:val="28"/>
          <w:lang w:val="uk-UA"/>
        </w:rPr>
        <w:t>Зараз</w:t>
      </w:r>
      <w:r w:rsidRPr="00265121">
        <w:rPr>
          <w:rFonts w:cstheme="minorBidi"/>
          <w:color w:val="auto"/>
          <w:sz w:val="28"/>
          <w:szCs w:val="28"/>
          <w:lang w:val="uk-UA"/>
        </w:rPr>
        <w:t xml:space="preserve"> в Україні діє більше 200 колекторських компаній, які об’єднані в </w:t>
      </w:r>
      <w:r w:rsidRPr="00F54A77">
        <w:rPr>
          <w:sz w:val="28"/>
          <w:szCs w:val="28"/>
          <w:lang w:val="uk-UA"/>
        </w:rPr>
        <w:t>Асоціацію учасників колекторського бізнесу України</w:t>
      </w:r>
      <w:r>
        <w:rPr>
          <w:sz w:val="28"/>
          <w:szCs w:val="28"/>
          <w:lang w:val="uk-UA"/>
        </w:rPr>
        <w:t>.</w:t>
      </w:r>
      <w:r w:rsidR="005E19AF">
        <w:rPr>
          <w:rFonts w:cstheme="minorBidi"/>
          <w:color w:val="auto"/>
          <w:sz w:val="28"/>
          <w:szCs w:val="28"/>
          <w:lang w:val="uk-UA"/>
        </w:rPr>
        <w:t xml:space="preserve"> </w:t>
      </w:r>
      <w:r w:rsidR="00847D39">
        <w:rPr>
          <w:sz w:val="28"/>
          <w:szCs w:val="28"/>
          <w:lang w:val="uk-UA"/>
        </w:rPr>
        <w:t>З</w:t>
      </w:r>
      <w:r w:rsidRPr="00CE6F64">
        <w:rPr>
          <w:sz w:val="28"/>
          <w:szCs w:val="28"/>
          <w:lang w:val="uk-UA"/>
        </w:rPr>
        <w:t>алучення колекторських фірм для погашення заборгованостей третіх осіб в процесі стягне</w:t>
      </w:r>
      <w:r w:rsidR="00847D39">
        <w:rPr>
          <w:sz w:val="28"/>
          <w:szCs w:val="28"/>
          <w:lang w:val="uk-UA"/>
        </w:rPr>
        <w:t>ння податкової заборгованості, н</w:t>
      </w:r>
      <w:r w:rsidRPr="00CE6F64">
        <w:rPr>
          <w:sz w:val="28"/>
          <w:szCs w:val="28"/>
          <w:lang w:val="uk-UA"/>
        </w:rPr>
        <w:t xml:space="preserve">а наш погляд, матиме ряд позитивних наслідків в контексті забезпечення податково-боргової безпеки держави: передача адміністративного навантаження на іншого стягувача, професійний підхід до процесу та, що найважливіше, можливість негайного погашення ризикованих випадків боргу. </w:t>
      </w:r>
      <w:r w:rsidR="005E19AF">
        <w:rPr>
          <w:sz w:val="28"/>
          <w:szCs w:val="28"/>
          <w:lang w:val="uk-UA"/>
        </w:rPr>
        <w:t xml:space="preserve">Чому ми пропонуємо </w:t>
      </w:r>
      <w:r w:rsidR="00847D39">
        <w:rPr>
          <w:sz w:val="28"/>
          <w:szCs w:val="28"/>
          <w:lang w:val="uk-UA"/>
        </w:rPr>
        <w:t xml:space="preserve">розглядати в якості податкового медіатора саме колекторську компанію? Основна причина – це існування  різних </w:t>
      </w:r>
      <w:r w:rsidR="005E19AF" w:rsidRPr="00CE6F64">
        <w:rPr>
          <w:sz w:val="28"/>
          <w:szCs w:val="28"/>
          <w:lang w:val="uk-UA"/>
        </w:rPr>
        <w:t xml:space="preserve">статусів податкового боргу та </w:t>
      </w:r>
      <w:r w:rsidR="00A1117F">
        <w:rPr>
          <w:sz w:val="28"/>
          <w:szCs w:val="28"/>
          <w:lang w:val="uk-UA"/>
        </w:rPr>
        <w:t xml:space="preserve">двох умовних </w:t>
      </w:r>
      <w:r w:rsidR="005E19AF" w:rsidRPr="00CE6F64">
        <w:rPr>
          <w:sz w:val="28"/>
          <w:szCs w:val="28"/>
          <w:lang w:val="uk-UA"/>
        </w:rPr>
        <w:t>категорій боржників</w:t>
      </w:r>
      <w:r w:rsidR="00847D39">
        <w:rPr>
          <w:sz w:val="28"/>
          <w:szCs w:val="28"/>
          <w:lang w:val="uk-UA"/>
        </w:rPr>
        <w:t>, до яких може бути заст</w:t>
      </w:r>
      <w:r w:rsidR="00A1117F">
        <w:rPr>
          <w:sz w:val="28"/>
          <w:szCs w:val="28"/>
          <w:lang w:val="uk-UA"/>
        </w:rPr>
        <w:t>осована медіація, а саме боргу, накопичення якого має об’єктивну природу та умисно створені недонадходження податкових платежів</w:t>
      </w:r>
      <w:r w:rsidR="005E19AF" w:rsidRPr="00CE6F64">
        <w:rPr>
          <w:sz w:val="28"/>
          <w:szCs w:val="28"/>
          <w:lang w:val="uk-UA"/>
        </w:rPr>
        <w:t xml:space="preserve">. </w:t>
      </w:r>
      <w:r w:rsidR="00A1117F">
        <w:rPr>
          <w:sz w:val="28"/>
          <w:szCs w:val="28"/>
          <w:lang w:val="uk-UA"/>
        </w:rPr>
        <w:t xml:space="preserve">Відтак виникає потреба в універсальному медіаторі, який діяв би за двома різними сценаріями. </w:t>
      </w:r>
    </w:p>
    <w:p w:rsidR="004D12B9" w:rsidRPr="007E58EE" w:rsidRDefault="000D5670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першому випадку</w:t>
      </w:r>
      <w:r w:rsidR="005E19AF" w:rsidRPr="00A95A4F">
        <w:rPr>
          <w:sz w:val="28"/>
          <w:szCs w:val="28"/>
          <w:lang w:val="uk-UA"/>
        </w:rPr>
        <w:t xml:space="preserve"> головною їх метою є пошук компромісу та шляхів виходу зі складних ситуацій, у яких з тих чи інших причин опинилися боржники. Головними засобами вирішення проблем європейські колекторські компанії вважають кон</w:t>
      </w:r>
      <w:r>
        <w:rPr>
          <w:sz w:val="28"/>
          <w:szCs w:val="28"/>
          <w:lang w:val="uk-UA"/>
        </w:rPr>
        <w:t>структивний діалог та співпрацю, а о</w:t>
      </w:r>
      <w:r w:rsidR="005E19AF" w:rsidRPr="00A95A4F">
        <w:rPr>
          <w:sz w:val="28"/>
          <w:szCs w:val="28"/>
          <w:lang w:val="uk-UA"/>
        </w:rPr>
        <w:t xml:space="preserve">сновним принципом діяльності є забезпечення так званої «реанімації» боржників, тобто створення умов для їх адаптації в умовах </w:t>
      </w:r>
      <w:r w:rsidR="004D12B9">
        <w:rPr>
          <w:sz w:val="28"/>
          <w:szCs w:val="28"/>
          <w:lang w:val="uk-UA"/>
        </w:rPr>
        <w:t>стягнення суми боргу</w:t>
      </w:r>
      <w:r w:rsidR="005E19AF" w:rsidRPr="00A95A4F">
        <w:rPr>
          <w:sz w:val="28"/>
          <w:szCs w:val="28"/>
          <w:lang w:val="uk-UA"/>
        </w:rPr>
        <w:t>. Мова йде про те, щоб боржник міг пережити цю процедуру та не залишитися банкрутом.</w:t>
      </w:r>
      <w:r w:rsidR="004D12B9">
        <w:rPr>
          <w:sz w:val="28"/>
          <w:szCs w:val="28"/>
          <w:lang w:val="uk-UA"/>
        </w:rPr>
        <w:t xml:space="preserve"> </w:t>
      </w:r>
      <w:r w:rsidR="004D12B9" w:rsidRPr="007E58EE">
        <w:rPr>
          <w:sz w:val="28"/>
          <w:szCs w:val="28"/>
          <w:lang w:val="uk-UA"/>
        </w:rPr>
        <w:t xml:space="preserve">В такому випадку мова йде про </w:t>
      </w:r>
      <w:r w:rsidR="005E19AF" w:rsidRPr="007E58EE">
        <w:rPr>
          <w:sz w:val="28"/>
          <w:szCs w:val="28"/>
        </w:rPr>
        <w:t xml:space="preserve">застосування </w:t>
      </w:r>
      <w:r w:rsidR="004D12B9" w:rsidRPr="007E58EE">
        <w:rPr>
          <w:sz w:val="28"/>
          <w:szCs w:val="28"/>
          <w:lang w:val="uk-UA"/>
        </w:rPr>
        <w:t xml:space="preserve">так званої </w:t>
      </w:r>
      <w:r w:rsidR="005E19AF" w:rsidRPr="007E58EE">
        <w:rPr>
          <w:sz w:val="28"/>
          <w:szCs w:val="28"/>
        </w:rPr>
        <w:t xml:space="preserve">оціночної медіації, тобто допускається надання порад медіаторами </w:t>
      </w:r>
      <w:r w:rsidR="004D12B9" w:rsidRPr="007E58EE">
        <w:rPr>
          <w:sz w:val="28"/>
          <w:szCs w:val="28"/>
          <w:lang w:val="uk-UA"/>
        </w:rPr>
        <w:t xml:space="preserve">як </w:t>
      </w:r>
      <w:r w:rsidR="005E19AF" w:rsidRPr="007E58EE">
        <w:rPr>
          <w:sz w:val="28"/>
          <w:szCs w:val="28"/>
        </w:rPr>
        <w:t>експертами</w:t>
      </w:r>
      <w:r w:rsidR="004D12B9" w:rsidRPr="007E58EE">
        <w:rPr>
          <w:sz w:val="28"/>
          <w:szCs w:val="28"/>
          <w:lang w:val="uk-UA"/>
        </w:rPr>
        <w:t xml:space="preserve"> (класичний підхід)</w:t>
      </w:r>
      <w:r w:rsidR="005E19AF" w:rsidRPr="007E58EE">
        <w:rPr>
          <w:sz w:val="28"/>
          <w:szCs w:val="28"/>
        </w:rPr>
        <w:t xml:space="preserve">. </w:t>
      </w:r>
    </w:p>
    <w:p w:rsidR="005E19AF" w:rsidRPr="00AD63FE" w:rsidRDefault="005E19AF" w:rsidP="006832C8">
      <w:pPr>
        <w:pStyle w:val="Default"/>
        <w:ind w:left="-567" w:firstLine="567"/>
        <w:jc w:val="both"/>
        <w:rPr>
          <w:sz w:val="23"/>
          <w:szCs w:val="23"/>
          <w:lang w:val="uk-UA"/>
        </w:rPr>
      </w:pPr>
      <w:r w:rsidRPr="007E58EE">
        <w:rPr>
          <w:sz w:val="28"/>
          <w:szCs w:val="28"/>
        </w:rPr>
        <w:t xml:space="preserve">Медіацією не завжди називають те, що </w:t>
      </w:r>
      <w:r w:rsidR="003E179C" w:rsidRPr="007E58EE">
        <w:rPr>
          <w:sz w:val="28"/>
          <w:szCs w:val="28"/>
          <w:lang w:val="uk-UA"/>
        </w:rPr>
        <w:t xml:space="preserve">передбачається </w:t>
      </w:r>
      <w:r w:rsidR="003E179C" w:rsidRPr="007E58EE">
        <w:rPr>
          <w:sz w:val="28"/>
          <w:szCs w:val="28"/>
        </w:rPr>
        <w:t>у класичному сенсі</w:t>
      </w:r>
      <w:r w:rsidR="003E179C" w:rsidRPr="007E58EE">
        <w:rPr>
          <w:sz w:val="28"/>
          <w:szCs w:val="28"/>
          <w:lang w:val="uk-UA"/>
        </w:rPr>
        <w:t xml:space="preserve">, а саме </w:t>
      </w:r>
      <w:r w:rsidRPr="007E58EE">
        <w:rPr>
          <w:sz w:val="28"/>
          <w:szCs w:val="28"/>
        </w:rPr>
        <w:t xml:space="preserve">нейтральне посередництво. </w:t>
      </w:r>
      <w:r w:rsidR="00AD63FE" w:rsidRPr="007E58EE">
        <w:rPr>
          <w:sz w:val="28"/>
          <w:szCs w:val="28"/>
          <w:lang w:val="uk-UA"/>
        </w:rPr>
        <w:t>Так до іншої категорії податкових боржників вважаємо за доцільне застосовувати посередництво, що ґрунтуватиметься на методах, що відповідають суті колекторства.</w:t>
      </w:r>
      <w:r w:rsidR="00AD63FE">
        <w:rPr>
          <w:sz w:val="23"/>
          <w:szCs w:val="23"/>
          <w:lang w:val="uk-UA"/>
        </w:rPr>
        <w:t xml:space="preserve">  </w:t>
      </w:r>
      <w:r w:rsidRPr="00CE6F64">
        <w:rPr>
          <w:sz w:val="28"/>
          <w:szCs w:val="28"/>
          <w:lang w:val="uk-UA"/>
        </w:rPr>
        <w:t xml:space="preserve">На наш погляд, це мають бути </w:t>
      </w:r>
      <w:r w:rsidRPr="00CE6F64">
        <w:rPr>
          <w:sz w:val="28"/>
          <w:szCs w:val="28"/>
          <w:lang w:val="uk-UA"/>
        </w:rPr>
        <w:lastRenderedPageBreak/>
        <w:t xml:space="preserve">найбільш ризиковані випадки: податковий борг у статусі безнадійного, крім боргу державних та комунальних підприємств, боргу фізичної особи, що померла та заборгованості платника, що виникла через обставини непереборної сили; особливий наголос ми робимо на боржниках, що створюють недоїмку протиправної природи, тобто підприємства-фіктивні банкрути, боржники, що вчиняють неправомірні дії у випадку банкрутства, особи, що створили фіктивну фірму, «фірму-одноденку»; особи, що не виконують умови договору розстрочення або порушують умови забезпечення заставного майна; особи, що переховуються від контролюючих органів. </w:t>
      </w:r>
    </w:p>
    <w:p w:rsidR="005E19AF" w:rsidRPr="007E58EE" w:rsidRDefault="005E19AF" w:rsidP="006832C8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CE6F64">
        <w:rPr>
          <w:rFonts w:ascii="Times New Roman" w:hAnsi="Times New Roman" w:cs="Times New Roman"/>
          <w:sz w:val="28"/>
          <w:szCs w:val="28"/>
          <w:lang w:val="uk-UA"/>
        </w:rPr>
        <w:t>Також вважаємо, що випадки, викла</w:t>
      </w:r>
      <w:r w:rsidR="003E179C">
        <w:rPr>
          <w:rFonts w:ascii="Times New Roman" w:hAnsi="Times New Roman" w:cs="Times New Roman"/>
          <w:sz w:val="28"/>
          <w:szCs w:val="28"/>
          <w:lang w:val="uk-UA"/>
        </w:rPr>
        <w:t>дені у частинах 1, 2 ст. 212 Кримінального кодексу України</w:t>
      </w: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 (умисне ухилення від сплати податків та ухилення за попередньою змовою групи осіб або ухилення у великих розмірах), слід віднести до випадків створення податкового боргу із можливістю застосування усіх заходів управління заборгованістю, зокрема продажу такого боргу ліцензованому колектору.</w:t>
      </w:r>
      <w:r w:rsidR="007E58EE">
        <w:rPr>
          <w:rFonts w:ascii="Times New Roman" w:hAnsi="Times New Roman"/>
          <w:sz w:val="28"/>
          <w:szCs w:val="28"/>
          <w:lang w:val="uk-UA"/>
        </w:rPr>
        <w:t xml:space="preserve"> Тим паче, що</w:t>
      </w:r>
      <w:r w:rsidR="00A267DC" w:rsidRPr="007F6BA5">
        <w:rPr>
          <w:rFonts w:ascii="Times New Roman" w:hAnsi="Times New Roman"/>
          <w:sz w:val="28"/>
          <w:szCs w:val="28"/>
          <w:lang w:val="uk-UA"/>
        </w:rPr>
        <w:t xml:space="preserve"> на сьогодні надзвичайно актуальна проблема неефективності судочинства: так по справах із ухилення по 92,9% загального рішення суду не прийнято, а провадження триває місяцями.</w:t>
      </w:r>
    </w:p>
    <w:p w:rsidR="00103271" w:rsidRPr="00CE6F64" w:rsidRDefault="00847D39" w:rsidP="006832C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CE6F64">
        <w:rPr>
          <w:sz w:val="28"/>
          <w:szCs w:val="28"/>
          <w:lang w:val="uk-UA"/>
        </w:rPr>
        <w:t>Запроваджуючи такий метод взаємодії із боржниками, необхідно врахувати декілька моментів.</w:t>
      </w:r>
      <w:r w:rsidR="007E58EE">
        <w:rPr>
          <w:sz w:val="28"/>
          <w:szCs w:val="28"/>
          <w:lang w:val="uk-UA"/>
        </w:rPr>
        <w:t xml:space="preserve"> </w:t>
      </w:r>
      <w:r w:rsidR="00103271" w:rsidRPr="00CE6F64">
        <w:rPr>
          <w:sz w:val="28"/>
          <w:szCs w:val="28"/>
          <w:lang w:val="uk-UA"/>
        </w:rPr>
        <w:t>Насамперед те, що на даний момент колекторська діяльність в Україні законодавчо практично не врегульована, тому часто в</w:t>
      </w:r>
      <w:r w:rsidR="00103271">
        <w:rPr>
          <w:sz w:val="28"/>
          <w:szCs w:val="28"/>
          <w:lang w:val="uk-UA"/>
        </w:rPr>
        <w:t xml:space="preserve">иходить за рамки правового поля, при тому, що </w:t>
      </w:r>
      <w:r w:rsidR="00103271" w:rsidRPr="00A95A4F">
        <w:rPr>
          <w:sz w:val="28"/>
          <w:szCs w:val="28"/>
          <w:lang w:val="uk-UA"/>
        </w:rPr>
        <w:t xml:space="preserve">загрозливі вимоги є неприпустимим в </w:t>
      </w:r>
      <w:r w:rsidR="00103271">
        <w:rPr>
          <w:sz w:val="28"/>
          <w:szCs w:val="28"/>
          <w:lang w:val="uk-UA"/>
        </w:rPr>
        <w:t>демократичній, правовій державі.</w:t>
      </w:r>
      <w:r w:rsidR="00103271" w:rsidRPr="00CE6F64">
        <w:rPr>
          <w:sz w:val="28"/>
          <w:szCs w:val="28"/>
          <w:lang w:val="uk-UA"/>
        </w:rPr>
        <w:t xml:space="preserve"> М</w:t>
      </w:r>
      <w:r w:rsidR="00103271" w:rsidRPr="00A95A4F">
        <w:rPr>
          <w:sz w:val="28"/>
          <w:szCs w:val="28"/>
          <w:lang w:val="uk-UA"/>
        </w:rPr>
        <w:t xml:space="preserve">етою </w:t>
      </w:r>
      <w:r w:rsidR="00103271" w:rsidRPr="00CE6F64">
        <w:rPr>
          <w:sz w:val="28"/>
          <w:szCs w:val="28"/>
          <w:lang w:val="uk-UA"/>
        </w:rPr>
        <w:t xml:space="preserve">правового </w:t>
      </w:r>
      <w:r w:rsidR="00103271" w:rsidRPr="00A95A4F">
        <w:rPr>
          <w:sz w:val="28"/>
          <w:szCs w:val="28"/>
          <w:lang w:val="uk-UA"/>
        </w:rPr>
        <w:t xml:space="preserve">регулювання є </w:t>
      </w:r>
      <w:r w:rsidR="00103271">
        <w:rPr>
          <w:sz w:val="28"/>
          <w:szCs w:val="28"/>
          <w:lang w:val="uk-UA"/>
        </w:rPr>
        <w:t xml:space="preserve">чітке </w:t>
      </w:r>
      <w:r w:rsidR="00103271" w:rsidRPr="00A95A4F">
        <w:rPr>
          <w:sz w:val="28"/>
          <w:szCs w:val="28"/>
          <w:lang w:val="uk-UA"/>
        </w:rPr>
        <w:t xml:space="preserve">встановлення </w:t>
      </w:r>
      <w:r w:rsidR="00103271" w:rsidRPr="00CE6F64">
        <w:rPr>
          <w:sz w:val="28"/>
          <w:szCs w:val="28"/>
          <w:lang w:val="uk-UA"/>
        </w:rPr>
        <w:t>прав, обов’язків та відповідальності сторін, діапазону</w:t>
      </w:r>
      <w:r w:rsidR="00103271" w:rsidRPr="00A95A4F">
        <w:rPr>
          <w:sz w:val="28"/>
          <w:szCs w:val="28"/>
          <w:lang w:val="uk-UA"/>
        </w:rPr>
        <w:t xml:space="preserve"> ді</w:t>
      </w:r>
      <w:r w:rsidR="00103271" w:rsidRPr="00CE6F64">
        <w:rPr>
          <w:sz w:val="28"/>
          <w:szCs w:val="28"/>
          <w:lang w:val="uk-UA"/>
        </w:rPr>
        <w:t xml:space="preserve">й </w:t>
      </w:r>
      <w:r w:rsidR="00103271" w:rsidRPr="00A95A4F">
        <w:rPr>
          <w:sz w:val="28"/>
          <w:szCs w:val="28"/>
          <w:lang w:val="uk-UA"/>
        </w:rPr>
        <w:t>щодо переконання боржника</w:t>
      </w:r>
      <w:r w:rsidR="00103271" w:rsidRPr="00CE6F64">
        <w:rPr>
          <w:sz w:val="28"/>
          <w:szCs w:val="28"/>
          <w:lang w:val="uk-UA"/>
        </w:rPr>
        <w:t xml:space="preserve">, що </w:t>
      </w:r>
      <w:r w:rsidR="00103271" w:rsidRPr="00A95A4F">
        <w:rPr>
          <w:sz w:val="28"/>
          <w:szCs w:val="28"/>
          <w:lang w:val="uk-UA"/>
        </w:rPr>
        <w:t>є допустимими</w:t>
      </w:r>
      <w:r w:rsidR="00103271" w:rsidRPr="00CE6F64">
        <w:rPr>
          <w:sz w:val="28"/>
          <w:szCs w:val="28"/>
          <w:lang w:val="uk-UA"/>
        </w:rPr>
        <w:t>.</w:t>
      </w:r>
      <w:r w:rsidR="00103271" w:rsidRPr="00A95A4F">
        <w:rPr>
          <w:sz w:val="28"/>
          <w:szCs w:val="28"/>
          <w:lang w:val="uk-UA"/>
        </w:rPr>
        <w:t xml:space="preserve"> </w:t>
      </w:r>
    </w:p>
    <w:p w:rsidR="00103271" w:rsidRPr="00CE6F64" w:rsidRDefault="00103271" w:rsidP="006832C8">
      <w:pPr>
        <w:pStyle w:val="Default"/>
        <w:ind w:left="-567" w:firstLine="709"/>
        <w:jc w:val="both"/>
        <w:rPr>
          <w:sz w:val="28"/>
          <w:szCs w:val="28"/>
          <w:lang w:val="uk-UA"/>
        </w:rPr>
      </w:pPr>
      <w:r w:rsidRPr="00CE6F64">
        <w:rPr>
          <w:sz w:val="28"/>
          <w:szCs w:val="28"/>
          <w:lang w:val="uk-UA"/>
        </w:rPr>
        <w:t xml:space="preserve">Також, зважаючи на специфіку об’єкта стягнення, зрозуміло, що колекторська фірма повинна бути ретельно вивіреною, тому ми пропонуємо вибіркове залучення колекторів до співпраці з податковими органами. Доцільно впровадити процедуру ліцензування на рівні центрального органу виконавчої влади у сфері оподаткування з метою державного регулювання такого виду діяльності. </w:t>
      </w:r>
    </w:p>
    <w:p w:rsidR="00103271" w:rsidRPr="00AD63FE" w:rsidRDefault="00103271" w:rsidP="006832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E7">
        <w:rPr>
          <w:rFonts w:ascii="Times New Roman" w:hAnsi="Times New Roman" w:cs="Times New Roman"/>
          <w:sz w:val="28"/>
          <w:szCs w:val="28"/>
          <w:lang w:val="uk-UA"/>
        </w:rPr>
        <w:t xml:space="preserve">З позицій забезпечення податкової безпеки особливого значення набуває визначення вартості послуг колекторського агентства. </w:t>
      </w:r>
      <w:r w:rsidRPr="00907E2F">
        <w:rPr>
          <w:rFonts w:ascii="Times New Roman" w:hAnsi="Times New Roman" w:cs="Times New Roman"/>
          <w:sz w:val="28"/>
          <w:szCs w:val="28"/>
          <w:lang w:val="uk-UA"/>
        </w:rPr>
        <w:t>Оплата залежить від варіанту співпраці, які бувають двох типів: безпосередній викуп колекторською компанією заборгованості клієнта з метою подальшої самостійної роботи та діяльність колекторського агентства від імені кредитора на підставі договору доручення за певну винагороду.</w:t>
      </w:r>
      <w:r w:rsidRPr="00A7005E">
        <w:rPr>
          <w:rFonts w:ascii="Times New Roman" w:hAnsi="Times New Roman" w:cs="Times New Roman"/>
          <w:sz w:val="28"/>
          <w:szCs w:val="28"/>
        </w:rPr>
        <w:t> </w:t>
      </w:r>
      <w:r w:rsidRPr="00CE6F64">
        <w:rPr>
          <w:rFonts w:ascii="Times New Roman" w:hAnsi="Times New Roman" w:cs="Times New Roman"/>
          <w:sz w:val="28"/>
          <w:szCs w:val="28"/>
        </w:rPr>
        <w:t xml:space="preserve">Зазвичай вона складається з двох частин, перша з яких виступає в якості передоплати, друга – складає від 10 до 40 відсотків від вартості фактично стягнених сум з боржника і сплачується повністю протягом трьох днів з моменту надходження суми заборгованості кредитора. Договором між кредитором і колекторським агентством може бути змінено співвідношення першої і другої частин з метою покладання більшої частини витрат на боржника.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наш погляд, найбільш прийнятним є повний викуп заборгованості або друга форма</w:t>
      </w: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 оплати під гарантію розрахунків з боку держави</w:t>
      </w:r>
      <w:r w:rsidR="00FE1369">
        <w:rPr>
          <w:rStyle w:val="aa"/>
          <w:rFonts w:ascii="Times New Roman" w:hAnsi="Times New Roman" w:cs="Times New Roman"/>
          <w:sz w:val="28"/>
          <w:szCs w:val="28"/>
          <w:lang w:val="uk-UA"/>
        </w:rPr>
        <w:footnoteReference w:id="8"/>
      </w: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7C05" w:rsidRDefault="002F4435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4FF">
        <w:rPr>
          <w:rFonts w:ascii="Times New Roman" w:hAnsi="Times New Roman" w:cs="Times New Roman"/>
          <w:b/>
          <w:sz w:val="28"/>
          <w:szCs w:val="28"/>
          <w:lang w:val="uk-UA"/>
        </w:rPr>
        <w:t>Висновки та пропозиції</w:t>
      </w:r>
      <w:r w:rsidRPr="000D34FF">
        <w:rPr>
          <w:rFonts w:ascii="Times New Roman" w:hAnsi="Times New Roman" w:cs="Times New Roman"/>
          <w:sz w:val="28"/>
          <w:szCs w:val="28"/>
          <w:lang w:val="uk-UA"/>
        </w:rPr>
        <w:t xml:space="preserve">. Однією з найгостріших проблем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запровадження інституту податкової медіації в якості інструмента посилення фінансової безпеки є відсу</w:t>
      </w:r>
      <w:r w:rsidRPr="000D34FF">
        <w:rPr>
          <w:rFonts w:ascii="Times New Roman" w:hAnsi="Times New Roman" w:cs="Times New Roman"/>
          <w:sz w:val="28"/>
          <w:szCs w:val="28"/>
          <w:lang w:val="uk-UA"/>
        </w:rPr>
        <w:t xml:space="preserve">тність правового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в даній сфері</w:t>
      </w:r>
      <w:r w:rsidRPr="000D3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34FF">
        <w:rPr>
          <w:rFonts w:ascii="Times New Roman" w:hAnsi="Times New Roman" w:cs="Times New Roman"/>
          <w:sz w:val="28"/>
          <w:szCs w:val="28"/>
        </w:rPr>
        <w:t>У зв’язку із цим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34FF">
        <w:rPr>
          <w:rFonts w:ascii="Times New Roman" w:hAnsi="Times New Roman" w:cs="Times New Roman"/>
          <w:sz w:val="28"/>
          <w:szCs w:val="28"/>
        </w:rPr>
        <w:t xml:space="preserve"> обов’язковою передумовою повинно стати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0D34FF">
        <w:rPr>
          <w:rFonts w:ascii="Times New Roman" w:hAnsi="Times New Roman" w:cs="Times New Roman"/>
          <w:sz w:val="28"/>
          <w:szCs w:val="28"/>
        </w:rPr>
        <w:t>відповідних подат</w:t>
      </w:r>
      <w:r w:rsidRPr="00F91CBD">
        <w:rPr>
          <w:rFonts w:ascii="Times New Roman" w:hAnsi="Times New Roman" w:cs="Times New Roman"/>
          <w:sz w:val="28"/>
          <w:szCs w:val="28"/>
        </w:rPr>
        <w:t>кових процесуальних норм у Податковому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CBD">
        <w:rPr>
          <w:rFonts w:ascii="Times New Roman" w:hAnsi="Times New Roman" w:cs="Times New Roman"/>
          <w:sz w:val="28"/>
          <w:szCs w:val="28"/>
        </w:rPr>
        <w:t xml:space="preserve">кодексі Україні та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колекторську діяльність». Повинні бути чітко регламентовані 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>сторони даного виду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діяльності: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>фіксувати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 вичерпний перелік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 можливих способів та методів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впливу на боржника,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встановлюватися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порушення колекторами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>конституційних прав осіб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визначатися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>критерії податкового боргу та податкових боржників з метою застосування даної форми медіації</w:t>
      </w:r>
      <w:r w:rsidR="000D34FF">
        <w:rPr>
          <w:rFonts w:ascii="Times New Roman" w:hAnsi="Times New Roman" w:cs="Times New Roman"/>
          <w:sz w:val="28"/>
          <w:szCs w:val="28"/>
          <w:lang w:val="uk-UA"/>
        </w:rPr>
        <w:t>,  а також підходи  до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 ліцензування</w:t>
      </w:r>
      <w:r w:rsidR="008F4328" w:rsidRPr="0097367C">
        <w:rPr>
          <w:rFonts w:ascii="Times New Roman" w:hAnsi="Times New Roman" w:cs="Times New Roman"/>
          <w:sz w:val="28"/>
          <w:szCs w:val="28"/>
          <w:lang w:val="uk-UA"/>
        </w:rPr>
        <w:t xml:space="preserve"> колекторс</w:t>
      </w:r>
      <w:r w:rsidR="008F4328">
        <w:rPr>
          <w:rFonts w:ascii="Times New Roman" w:hAnsi="Times New Roman" w:cs="Times New Roman"/>
          <w:sz w:val="28"/>
          <w:szCs w:val="28"/>
          <w:lang w:val="uk-UA"/>
        </w:rPr>
        <w:t xml:space="preserve">ьких компаній для співпраці із державними фіскальними органами. </w:t>
      </w:r>
    </w:p>
    <w:p w:rsidR="000D34FF" w:rsidRPr="00392042" w:rsidRDefault="00987C05" w:rsidP="003920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93">
        <w:rPr>
          <w:rFonts w:ascii="Times New Roman" w:hAnsi="Times New Roman" w:cs="Times New Roman"/>
          <w:sz w:val="28"/>
          <w:szCs w:val="28"/>
          <w:lang w:val="uk-UA"/>
        </w:rPr>
        <w:t>На заваді в</w:t>
      </w:r>
      <w:r w:rsidRPr="00376B93">
        <w:rPr>
          <w:rFonts w:ascii="Times New Roman" w:hAnsi="Times New Roman" w:cs="Times New Roman"/>
          <w:sz w:val="28"/>
          <w:szCs w:val="28"/>
        </w:rPr>
        <w:t>провадженн</w:t>
      </w:r>
      <w:r w:rsidRPr="00376B93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медіації в по</w:t>
      </w:r>
      <w:r w:rsidR="000D34FF" w:rsidRPr="00F91CBD">
        <w:rPr>
          <w:rFonts w:ascii="Times New Roman" w:hAnsi="Times New Roman" w:cs="Times New Roman"/>
          <w:sz w:val="28"/>
          <w:szCs w:val="28"/>
        </w:rPr>
        <w:t xml:space="preserve">даткових спорах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стати </w:t>
      </w:r>
      <w:r w:rsidR="000D34FF" w:rsidRPr="00F91CBD">
        <w:rPr>
          <w:rFonts w:ascii="Times New Roman" w:hAnsi="Times New Roman" w:cs="Times New Roman"/>
          <w:sz w:val="28"/>
          <w:szCs w:val="28"/>
        </w:rPr>
        <w:t xml:space="preserve">низька зацікавленість 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сторін </w:t>
      </w:r>
      <w:r w:rsidR="000D34FF" w:rsidRPr="00F91CBD">
        <w:rPr>
          <w:rFonts w:ascii="Times New Roman" w:hAnsi="Times New Roman" w:cs="Times New Roman"/>
          <w:sz w:val="28"/>
          <w:szCs w:val="28"/>
        </w:rPr>
        <w:t xml:space="preserve">у </w:t>
      </w:r>
      <w:r w:rsidR="004010DD">
        <w:rPr>
          <w:rFonts w:ascii="Times New Roman" w:hAnsi="Times New Roman" w:cs="Times New Roman"/>
          <w:sz w:val="28"/>
          <w:szCs w:val="28"/>
        </w:rPr>
        <w:t>розвитку альтернативних способі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010DD">
        <w:rPr>
          <w:rFonts w:ascii="Times New Roman" w:hAnsi="Times New Roman" w:cs="Times New Roman"/>
          <w:sz w:val="28"/>
          <w:szCs w:val="28"/>
        </w:rPr>
        <w:t xml:space="preserve">вирішення спорів 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0D34FF" w:rsidRPr="00F91CBD">
        <w:rPr>
          <w:rFonts w:ascii="Times New Roman" w:hAnsi="Times New Roman" w:cs="Times New Roman"/>
          <w:sz w:val="28"/>
          <w:szCs w:val="28"/>
        </w:rPr>
        <w:t>корупційну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0DD">
        <w:rPr>
          <w:rFonts w:ascii="Times New Roman" w:hAnsi="Times New Roman" w:cs="Times New Roman"/>
          <w:sz w:val="28"/>
          <w:szCs w:val="28"/>
        </w:rPr>
        <w:t>складову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D34FF" w:rsidRPr="00F91CBD">
        <w:rPr>
          <w:rFonts w:ascii="Times New Roman" w:hAnsi="Times New Roman" w:cs="Times New Roman"/>
          <w:sz w:val="28"/>
          <w:szCs w:val="28"/>
        </w:rPr>
        <w:t>неготовність сторін податкового спору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4FF" w:rsidRPr="00F91CBD">
        <w:rPr>
          <w:rFonts w:ascii="Times New Roman" w:hAnsi="Times New Roman" w:cs="Times New Roman"/>
          <w:sz w:val="28"/>
          <w:szCs w:val="28"/>
        </w:rPr>
        <w:t>до виконання публічних зобов’язань за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4FF" w:rsidRPr="00F91CBD">
        <w:rPr>
          <w:rFonts w:ascii="Times New Roman" w:hAnsi="Times New Roman" w:cs="Times New Roman"/>
          <w:sz w:val="28"/>
          <w:szCs w:val="28"/>
        </w:rPr>
        <w:t>наслідками альтернативного вирішення</w:t>
      </w:r>
      <w:r w:rsidR="0040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4FF" w:rsidRPr="00F91CBD">
        <w:rPr>
          <w:rFonts w:ascii="Times New Roman" w:hAnsi="Times New Roman" w:cs="Times New Roman"/>
          <w:sz w:val="28"/>
          <w:szCs w:val="28"/>
        </w:rPr>
        <w:t>спорів.</w:t>
      </w:r>
    </w:p>
    <w:p w:rsidR="004668B6" w:rsidRPr="00CE6F64" w:rsidRDefault="004668B6" w:rsidP="006832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усю суперечливість застосування колекторських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податкової медіації, вважаємо, що </w:t>
      </w: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в умовах, коли Україна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відсутність власних ресурсів </w:t>
      </w:r>
      <w:r w:rsidRPr="00CE6F64">
        <w:rPr>
          <w:rFonts w:ascii="Times New Roman" w:hAnsi="Times New Roman" w:cs="Times New Roman"/>
          <w:sz w:val="28"/>
          <w:szCs w:val="28"/>
          <w:lang w:val="uk-UA"/>
        </w:rPr>
        <w:t xml:space="preserve">здійснює багатомільярдні зовнішні запозичення, такий спосіб нейтралізації податково-боргових ризиків для посилення фінансової безпеки вважаємо перспективним та виправданим. </w:t>
      </w:r>
    </w:p>
    <w:p w:rsidR="008F4328" w:rsidRPr="004668B6" w:rsidRDefault="008F4328" w:rsidP="006832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2BCB" w:rsidRPr="00C51AB4" w:rsidRDefault="00BD2BCB" w:rsidP="006832C8">
      <w:pPr>
        <w:spacing w:after="0" w:line="240" w:lineRule="auto"/>
        <w:rPr>
          <w:lang w:val="uk-UA"/>
        </w:rPr>
      </w:pPr>
    </w:p>
    <w:sectPr w:rsidR="00BD2BCB" w:rsidRPr="00C51AB4" w:rsidSect="00BD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C8" w:rsidRDefault="001208C8" w:rsidP="001739FD">
      <w:pPr>
        <w:spacing w:after="0" w:line="240" w:lineRule="auto"/>
      </w:pPr>
      <w:r>
        <w:separator/>
      </w:r>
    </w:p>
  </w:endnote>
  <w:endnote w:type="continuationSeparator" w:id="0">
    <w:p w:rsidR="001208C8" w:rsidRDefault="001208C8" w:rsidP="0017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C8" w:rsidRDefault="001208C8" w:rsidP="001739FD">
      <w:pPr>
        <w:spacing w:after="0" w:line="240" w:lineRule="auto"/>
      </w:pPr>
      <w:r>
        <w:separator/>
      </w:r>
    </w:p>
  </w:footnote>
  <w:footnote w:type="continuationSeparator" w:id="0">
    <w:p w:rsidR="001208C8" w:rsidRDefault="001208C8" w:rsidP="001739FD">
      <w:pPr>
        <w:spacing w:after="0" w:line="240" w:lineRule="auto"/>
      </w:pPr>
      <w:r>
        <w:continuationSeparator/>
      </w:r>
    </w:p>
  </w:footnote>
  <w:footnote w:id="1">
    <w:p w:rsid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1739FD">
        <w:rPr>
          <w:sz w:val="20"/>
          <w:szCs w:val="20"/>
          <w:lang w:val="uk-UA"/>
        </w:rPr>
        <w:t xml:space="preserve">Висновки щодо Виконання державного бюджету України за 2010-2012 рр. // Офіційний сайт Рахункової палати України. – [Електронний ресурс]. – Режим доступу: </w:t>
      </w:r>
      <w:r w:rsidRPr="001739FD">
        <w:rPr>
          <w:sz w:val="20"/>
          <w:szCs w:val="20"/>
        </w:rPr>
        <w:t>http</w:t>
      </w:r>
      <w:r w:rsidRPr="001739FD">
        <w:rPr>
          <w:sz w:val="20"/>
          <w:szCs w:val="20"/>
          <w:lang w:val="uk-UA"/>
        </w:rPr>
        <w:t>://</w:t>
      </w:r>
      <w:r w:rsidRPr="001739FD">
        <w:rPr>
          <w:sz w:val="20"/>
          <w:szCs w:val="20"/>
        </w:rPr>
        <w:t>www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ac</w:t>
      </w:r>
      <w:r w:rsidRPr="001739FD">
        <w:rPr>
          <w:sz w:val="20"/>
          <w:szCs w:val="20"/>
          <w:lang w:val="uk-UA"/>
        </w:rPr>
        <w:t>-</w:t>
      </w:r>
      <w:r w:rsidRPr="001739FD">
        <w:rPr>
          <w:sz w:val="20"/>
          <w:szCs w:val="20"/>
        </w:rPr>
        <w:t>rada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gov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ua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control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main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uk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publish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category</w:t>
      </w:r>
      <w:r w:rsidRPr="001739FD">
        <w:rPr>
          <w:sz w:val="20"/>
          <w:szCs w:val="20"/>
          <w:lang w:val="uk-UA"/>
        </w:rPr>
        <w:t>/16739020.</w:t>
      </w:r>
    </w:p>
    <w:p w:rsidR="001739FD" w:rsidRPr="001739FD" w:rsidRDefault="001739FD">
      <w:pPr>
        <w:pStyle w:val="a8"/>
        <w:rPr>
          <w:lang w:val="uk-UA"/>
        </w:rPr>
      </w:pPr>
    </w:p>
  </w:footnote>
  <w:footnote w:id="2">
    <w:p w:rsidR="001739FD" w:rsidRP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1739FD">
        <w:rPr>
          <w:sz w:val="20"/>
          <w:szCs w:val="20"/>
          <w:lang w:val="uk-UA"/>
        </w:rPr>
        <w:t>Заходи зі зменшення податкової заборгованості</w:t>
      </w:r>
      <w:r w:rsidRPr="001739FD">
        <w:rPr>
          <w:sz w:val="20"/>
          <w:szCs w:val="20"/>
          <w:lang w:val="uk-UA"/>
        </w:rPr>
        <w:br/>
        <w:t xml:space="preserve">мають бути ефективнішими. Офіційний сайт Рахункової палати України. – [Електронний ресурс]. – Режим доступу: http://www.ac-rada.gov.ua/control/main/uk/publish/article/16743718 </w:t>
      </w:r>
    </w:p>
    <w:p w:rsidR="001739FD" w:rsidRP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1739FD" w:rsidRPr="001739FD" w:rsidRDefault="001739FD">
      <w:pPr>
        <w:pStyle w:val="a8"/>
        <w:rPr>
          <w:lang w:val="uk-UA"/>
        </w:rPr>
      </w:pPr>
    </w:p>
  </w:footnote>
  <w:footnote w:id="3">
    <w:p w:rsid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1739FD">
        <w:rPr>
          <w:sz w:val="20"/>
          <w:szCs w:val="20"/>
          <w:lang w:val="uk-UA"/>
        </w:rPr>
        <w:t xml:space="preserve">Висновки щодо Виконання державного бюджету України за 2010-2012 рр. // Офіційний сайт Рахункової палати України. – [Електронний ресурс]. – Режим доступу: </w:t>
      </w:r>
      <w:r w:rsidRPr="001739FD">
        <w:rPr>
          <w:sz w:val="20"/>
          <w:szCs w:val="20"/>
        </w:rPr>
        <w:t>http</w:t>
      </w:r>
      <w:r w:rsidRPr="001739FD">
        <w:rPr>
          <w:sz w:val="20"/>
          <w:szCs w:val="20"/>
          <w:lang w:val="uk-UA"/>
        </w:rPr>
        <w:t>://</w:t>
      </w:r>
      <w:r w:rsidRPr="001739FD">
        <w:rPr>
          <w:sz w:val="20"/>
          <w:szCs w:val="20"/>
        </w:rPr>
        <w:t>www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ac</w:t>
      </w:r>
      <w:r w:rsidRPr="001739FD">
        <w:rPr>
          <w:sz w:val="20"/>
          <w:szCs w:val="20"/>
          <w:lang w:val="uk-UA"/>
        </w:rPr>
        <w:t>-</w:t>
      </w:r>
      <w:r w:rsidRPr="001739FD">
        <w:rPr>
          <w:sz w:val="20"/>
          <w:szCs w:val="20"/>
        </w:rPr>
        <w:t>rada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gov</w:t>
      </w:r>
      <w:r w:rsidRPr="001739FD">
        <w:rPr>
          <w:sz w:val="20"/>
          <w:szCs w:val="20"/>
          <w:lang w:val="uk-UA"/>
        </w:rPr>
        <w:t>.</w:t>
      </w:r>
      <w:r w:rsidRPr="001739FD">
        <w:rPr>
          <w:sz w:val="20"/>
          <w:szCs w:val="20"/>
        </w:rPr>
        <w:t>ua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control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main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uk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publish</w:t>
      </w:r>
      <w:r w:rsidRPr="001739FD">
        <w:rPr>
          <w:sz w:val="20"/>
          <w:szCs w:val="20"/>
          <w:lang w:val="uk-UA"/>
        </w:rPr>
        <w:t>/</w:t>
      </w:r>
      <w:r w:rsidRPr="001739FD">
        <w:rPr>
          <w:sz w:val="20"/>
          <w:szCs w:val="20"/>
        </w:rPr>
        <w:t>category</w:t>
      </w:r>
      <w:r w:rsidRPr="001739FD">
        <w:rPr>
          <w:sz w:val="20"/>
          <w:szCs w:val="20"/>
          <w:lang w:val="uk-UA"/>
        </w:rPr>
        <w:t>/16739020.</w:t>
      </w:r>
    </w:p>
    <w:p w:rsidR="001739FD" w:rsidRPr="001739FD" w:rsidRDefault="001739FD" w:rsidP="001739FD">
      <w:pPr>
        <w:pStyle w:val="a8"/>
        <w:rPr>
          <w:lang w:val="uk-UA"/>
        </w:rPr>
      </w:pPr>
    </w:p>
    <w:p w:rsidR="001739FD" w:rsidRPr="001739FD" w:rsidRDefault="001739FD">
      <w:pPr>
        <w:pStyle w:val="a8"/>
        <w:rPr>
          <w:lang w:val="uk-UA"/>
        </w:rPr>
      </w:pPr>
    </w:p>
  </w:footnote>
  <w:footnote w:id="4">
    <w:p w:rsidR="001739FD" w:rsidRP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 w:rsidRPr="001739FD">
        <w:rPr>
          <w:lang w:val="uk-UA"/>
        </w:rPr>
        <w:t xml:space="preserve"> </w:t>
      </w:r>
      <w:r w:rsidRPr="001739FD">
        <w:rPr>
          <w:sz w:val="20"/>
          <w:szCs w:val="20"/>
          <w:lang w:val="uk-UA"/>
        </w:rPr>
        <w:t xml:space="preserve">Балух В. С. До питання можливості впровадження в Україні медіації при вирішенні податкових спорів </w:t>
      </w:r>
      <w:r w:rsidRPr="001739FD">
        <w:rPr>
          <w:sz w:val="20"/>
          <w:szCs w:val="20"/>
          <w:shd w:val="clear" w:color="auto" w:fill="FFFFFF"/>
          <w:lang w:val="uk-UA"/>
        </w:rPr>
        <w:t>/</w:t>
      </w:r>
      <w:r w:rsidRPr="001739FD">
        <w:rPr>
          <w:sz w:val="20"/>
          <w:szCs w:val="20"/>
          <w:lang w:val="uk-UA"/>
        </w:rPr>
        <w:t xml:space="preserve"> Балух В. С. </w:t>
      </w:r>
      <w:r w:rsidRPr="001739FD">
        <w:rPr>
          <w:sz w:val="20"/>
          <w:szCs w:val="20"/>
          <w:shd w:val="clear" w:color="auto" w:fill="FFFFFF"/>
          <w:lang w:val="uk-UA"/>
        </w:rPr>
        <w:t xml:space="preserve">// [Електронний ресурс]. – Режим доступу: </w:t>
      </w:r>
      <w:r w:rsidRPr="001739FD">
        <w:rPr>
          <w:sz w:val="20"/>
          <w:szCs w:val="20"/>
          <w:lang w:val="uk-UA"/>
        </w:rPr>
        <w:t xml:space="preserve">file:///C:/Users/pc/Downloads/Ptdu_2013_3_8%20(1).pdf </w:t>
      </w:r>
    </w:p>
    <w:p w:rsidR="001739FD" w:rsidRPr="001739FD" w:rsidRDefault="001739FD">
      <w:pPr>
        <w:pStyle w:val="a8"/>
        <w:rPr>
          <w:lang w:val="uk-UA"/>
        </w:rPr>
      </w:pPr>
    </w:p>
  </w:footnote>
  <w:footnote w:id="5">
    <w:p w:rsidR="001739FD" w:rsidRPr="001739FD" w:rsidRDefault="001739FD" w:rsidP="001739F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1739FD">
        <w:rPr>
          <w:sz w:val="20"/>
          <w:szCs w:val="20"/>
          <w:shd w:val="clear" w:color="auto" w:fill="FFFFFF"/>
          <w:lang w:val="uk-UA"/>
        </w:rPr>
        <w:t xml:space="preserve">Клименко А. </w:t>
      </w:r>
      <w:r w:rsidRPr="001739FD">
        <w:rPr>
          <w:sz w:val="20"/>
          <w:szCs w:val="20"/>
        </w:rPr>
        <w:t>Налоговая медиация, компромисс и примирение</w:t>
      </w:r>
      <w:r w:rsidRPr="001739FD">
        <w:rPr>
          <w:sz w:val="20"/>
          <w:szCs w:val="20"/>
          <w:lang w:val="uk-UA"/>
        </w:rPr>
        <w:t xml:space="preserve"> </w:t>
      </w:r>
      <w:r w:rsidRPr="001739FD">
        <w:rPr>
          <w:sz w:val="20"/>
          <w:szCs w:val="20"/>
          <w:shd w:val="clear" w:color="auto" w:fill="FFFFFF"/>
        </w:rPr>
        <w:t>/</w:t>
      </w:r>
      <w:r w:rsidRPr="001739FD">
        <w:rPr>
          <w:sz w:val="20"/>
          <w:szCs w:val="20"/>
          <w:shd w:val="clear" w:color="auto" w:fill="FFFFFF"/>
          <w:lang w:val="uk-UA"/>
        </w:rPr>
        <w:t xml:space="preserve"> Клименко А.,  </w:t>
      </w:r>
      <w:r w:rsidRPr="001739FD">
        <w:rPr>
          <w:sz w:val="20"/>
          <w:szCs w:val="20"/>
          <w:shd w:val="clear" w:color="auto" w:fill="FFFFFF"/>
        </w:rPr>
        <w:t>Служавый Е. // [Електронний ресурс]. – Режим доступу:</w:t>
      </w:r>
      <w:r w:rsidRPr="001739FD">
        <w:rPr>
          <w:sz w:val="20"/>
          <w:szCs w:val="20"/>
          <w:shd w:val="clear" w:color="auto" w:fill="FFFFFF"/>
          <w:lang w:val="uk-UA"/>
        </w:rPr>
        <w:t xml:space="preserve"> http://polex.ua/press-centr/publikatsii/nalogovaya-mediatsiya-kompromiss-i-primirenie </w:t>
      </w:r>
    </w:p>
    <w:p w:rsidR="001739FD" w:rsidRPr="001739FD" w:rsidRDefault="001739FD">
      <w:pPr>
        <w:pStyle w:val="a8"/>
        <w:rPr>
          <w:lang w:val="uk-UA"/>
        </w:rPr>
      </w:pPr>
    </w:p>
  </w:footnote>
  <w:footnote w:id="6">
    <w:p w:rsidR="00FE1369" w:rsidRPr="00FE1369" w:rsidRDefault="00FE1369" w:rsidP="00FE1369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FE1369">
        <w:rPr>
          <w:sz w:val="20"/>
          <w:szCs w:val="20"/>
          <w:lang w:val="uk-UA"/>
        </w:rPr>
        <w:t xml:space="preserve">Гайдук А. В. Проблеми законодавчого забезпечення </w:t>
      </w:r>
      <w:r w:rsidRPr="00FE1369">
        <w:rPr>
          <w:sz w:val="20"/>
          <w:szCs w:val="20"/>
        </w:rPr>
        <w:t xml:space="preserve">медіації в </w:t>
      </w:r>
      <w:r w:rsidRPr="00FE1369">
        <w:rPr>
          <w:sz w:val="20"/>
          <w:szCs w:val="20"/>
          <w:lang w:val="uk-UA"/>
        </w:rPr>
        <w:t>У</w:t>
      </w:r>
      <w:r w:rsidRPr="00FE1369">
        <w:rPr>
          <w:sz w:val="20"/>
          <w:szCs w:val="20"/>
        </w:rPr>
        <w:t xml:space="preserve">країні </w:t>
      </w:r>
      <w:r w:rsidRPr="00FE1369">
        <w:rPr>
          <w:sz w:val="20"/>
          <w:szCs w:val="20"/>
          <w:shd w:val="clear" w:color="auto" w:fill="FFFFFF"/>
          <w:lang w:val="uk-UA"/>
        </w:rPr>
        <w:t>/</w:t>
      </w:r>
      <w:r w:rsidRPr="00FE1369">
        <w:rPr>
          <w:sz w:val="20"/>
          <w:szCs w:val="20"/>
          <w:lang w:val="uk-UA"/>
        </w:rPr>
        <w:t xml:space="preserve"> Гайдук А. В.  </w:t>
      </w:r>
      <w:r w:rsidRPr="00FE1369">
        <w:rPr>
          <w:sz w:val="20"/>
          <w:szCs w:val="20"/>
          <w:shd w:val="clear" w:color="auto" w:fill="FFFFFF"/>
          <w:lang w:val="uk-UA"/>
        </w:rPr>
        <w:t xml:space="preserve">// [Електронний ресурс]. – Режим доступу: </w:t>
      </w:r>
      <w:r w:rsidRPr="00FE1369">
        <w:rPr>
          <w:sz w:val="20"/>
          <w:szCs w:val="20"/>
          <w:shd w:val="clear" w:color="auto" w:fill="FFFFFF"/>
          <w:lang w:val="en-US"/>
        </w:rPr>
        <w:t>file</w:t>
      </w:r>
      <w:r w:rsidRPr="00FE1369">
        <w:rPr>
          <w:sz w:val="20"/>
          <w:szCs w:val="20"/>
          <w:shd w:val="clear" w:color="auto" w:fill="FFFFFF"/>
          <w:lang w:val="uk-UA"/>
        </w:rPr>
        <w:t>:///</w:t>
      </w:r>
      <w:r w:rsidRPr="00FE1369">
        <w:rPr>
          <w:sz w:val="20"/>
          <w:szCs w:val="20"/>
          <w:shd w:val="clear" w:color="auto" w:fill="FFFFFF"/>
          <w:lang w:val="en-US"/>
        </w:rPr>
        <w:t>C</w:t>
      </w:r>
      <w:r w:rsidRPr="00FE1369">
        <w:rPr>
          <w:sz w:val="20"/>
          <w:szCs w:val="20"/>
          <w:shd w:val="clear" w:color="auto" w:fill="FFFFFF"/>
          <w:lang w:val="uk-UA"/>
        </w:rPr>
        <w:t>:/</w:t>
      </w:r>
      <w:r w:rsidRPr="00FE1369">
        <w:rPr>
          <w:sz w:val="20"/>
          <w:szCs w:val="20"/>
          <w:shd w:val="clear" w:color="auto" w:fill="FFFFFF"/>
          <w:lang w:val="en-US"/>
        </w:rPr>
        <w:t>Users</w:t>
      </w:r>
      <w:r w:rsidRPr="00FE1369">
        <w:rPr>
          <w:sz w:val="20"/>
          <w:szCs w:val="20"/>
          <w:shd w:val="clear" w:color="auto" w:fill="FFFFFF"/>
          <w:lang w:val="uk-UA"/>
        </w:rPr>
        <w:t>/</w:t>
      </w:r>
      <w:r w:rsidRPr="00FE1369">
        <w:rPr>
          <w:sz w:val="20"/>
          <w:szCs w:val="20"/>
          <w:shd w:val="clear" w:color="auto" w:fill="FFFFFF"/>
          <w:lang w:val="en-US"/>
        </w:rPr>
        <w:t>pc</w:t>
      </w:r>
      <w:r w:rsidRPr="00FE1369">
        <w:rPr>
          <w:sz w:val="20"/>
          <w:szCs w:val="20"/>
          <w:shd w:val="clear" w:color="auto" w:fill="FFFFFF"/>
          <w:lang w:val="uk-UA"/>
        </w:rPr>
        <w:t>/</w:t>
      </w:r>
      <w:r w:rsidRPr="00FE1369">
        <w:rPr>
          <w:sz w:val="20"/>
          <w:szCs w:val="20"/>
          <w:shd w:val="clear" w:color="auto" w:fill="FFFFFF"/>
          <w:lang w:val="en-US"/>
        </w:rPr>
        <w:t>Downloads</w:t>
      </w:r>
      <w:r w:rsidRPr="00FE1369">
        <w:rPr>
          <w:sz w:val="20"/>
          <w:szCs w:val="20"/>
          <w:shd w:val="clear" w:color="auto" w:fill="FFFFFF"/>
          <w:lang w:val="uk-UA"/>
        </w:rPr>
        <w:t>/30-27-1-</w:t>
      </w:r>
      <w:r w:rsidRPr="00FE1369">
        <w:rPr>
          <w:sz w:val="20"/>
          <w:szCs w:val="20"/>
          <w:shd w:val="clear" w:color="auto" w:fill="FFFFFF"/>
          <w:lang w:val="en-US"/>
        </w:rPr>
        <w:t>PB</w:t>
      </w:r>
      <w:r w:rsidRPr="00FE1369">
        <w:rPr>
          <w:sz w:val="20"/>
          <w:szCs w:val="20"/>
          <w:shd w:val="clear" w:color="auto" w:fill="FFFFFF"/>
          <w:lang w:val="uk-UA"/>
        </w:rPr>
        <w:t>.</w:t>
      </w:r>
      <w:r w:rsidRPr="00FE1369">
        <w:rPr>
          <w:sz w:val="20"/>
          <w:szCs w:val="20"/>
          <w:shd w:val="clear" w:color="auto" w:fill="FFFFFF"/>
          <w:lang w:val="en-US"/>
        </w:rPr>
        <w:t>pdf</w:t>
      </w:r>
    </w:p>
    <w:p w:rsidR="00FE1369" w:rsidRPr="00FE1369" w:rsidRDefault="00FE1369">
      <w:pPr>
        <w:pStyle w:val="a8"/>
        <w:rPr>
          <w:lang w:val="uk-UA"/>
        </w:rPr>
      </w:pPr>
    </w:p>
  </w:footnote>
  <w:footnote w:id="7">
    <w:p w:rsidR="00FE1369" w:rsidRPr="00FE1369" w:rsidRDefault="00FE1369" w:rsidP="00FE1369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FE1369">
        <w:rPr>
          <w:sz w:val="20"/>
          <w:szCs w:val="20"/>
          <w:shd w:val="clear" w:color="auto" w:fill="FFFFFF"/>
        </w:rPr>
        <w:t>Дробязко С. І. Особливості нормативно-законодавчого забезпечення організації обліку колекторської діяльності /C. І. Дробязко // [Електронний ресурс]. – Режим доступу:</w:t>
      </w:r>
      <w:r w:rsidRPr="00FE1369">
        <w:rPr>
          <w:sz w:val="20"/>
          <w:szCs w:val="20"/>
          <w:shd w:val="clear" w:color="auto" w:fill="FFFFFF"/>
          <w:lang w:val="uk-UA"/>
        </w:rPr>
        <w:t xml:space="preserve"> </w:t>
      </w:r>
      <w:r w:rsidRPr="00FE1369">
        <w:rPr>
          <w:sz w:val="20"/>
          <w:szCs w:val="20"/>
          <w:shd w:val="clear" w:color="auto" w:fill="FFFFFF"/>
        </w:rPr>
        <w:t>http://archive.nbuv.gov.ua/portal/soc_gum/Vlca_Ekon/2011_36/29.pdf</w:t>
      </w:r>
      <w:r w:rsidRPr="00FE1369">
        <w:rPr>
          <w:sz w:val="20"/>
          <w:szCs w:val="20"/>
          <w:shd w:val="clear" w:color="auto" w:fill="FFFFFF"/>
          <w:lang w:val="uk-UA"/>
        </w:rPr>
        <w:t xml:space="preserve"> </w:t>
      </w:r>
    </w:p>
    <w:p w:rsidR="00FE1369" w:rsidRPr="00FE1369" w:rsidRDefault="00FE1369">
      <w:pPr>
        <w:pStyle w:val="a8"/>
        <w:rPr>
          <w:lang w:val="uk-UA"/>
        </w:rPr>
      </w:pPr>
    </w:p>
  </w:footnote>
  <w:footnote w:id="8">
    <w:p w:rsidR="00FE1369" w:rsidRPr="00FE1369" w:rsidRDefault="00FE1369" w:rsidP="00FE1369">
      <w:pPr>
        <w:pStyle w:val="a5"/>
        <w:tabs>
          <w:tab w:val="left" w:pos="993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E1369">
        <w:rPr>
          <w:rStyle w:val="aa"/>
          <w:sz w:val="20"/>
          <w:szCs w:val="20"/>
        </w:rPr>
        <w:footnoteRef/>
      </w:r>
      <w:r w:rsidRPr="00FE1369">
        <w:rPr>
          <w:sz w:val="20"/>
          <w:szCs w:val="20"/>
        </w:rPr>
        <w:t xml:space="preserve"> Інформаційний довідник (рейтингові агентства, кредитні бюро, колекторські компанії) [Електронний ресурс] / Інформаційно-аналітичний портал Українського</w:t>
      </w:r>
      <w:r w:rsidRPr="00FE1369">
        <w:rPr>
          <w:sz w:val="20"/>
          <w:szCs w:val="20"/>
          <w:lang w:val="uk-UA"/>
        </w:rPr>
        <w:t xml:space="preserve"> </w:t>
      </w:r>
      <w:r w:rsidRPr="00FE1369">
        <w:rPr>
          <w:sz w:val="20"/>
          <w:szCs w:val="20"/>
        </w:rPr>
        <w:t xml:space="preserve">агентства фінансового розвитку. – Режим доступу: http://www.ufin.com.ua/inf_dov-rakbkk.htm </w:t>
      </w:r>
      <w:r w:rsidRPr="00FE1369">
        <w:rPr>
          <w:sz w:val="20"/>
          <w:szCs w:val="20"/>
          <w:lang w:val="uk-UA"/>
        </w:rPr>
        <w:t xml:space="preserve"> </w:t>
      </w:r>
    </w:p>
    <w:p w:rsidR="00FE1369" w:rsidRPr="00FE1369" w:rsidRDefault="00FE1369" w:rsidP="00FE136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1369" w:rsidRPr="00FE1369" w:rsidRDefault="00FE1369">
      <w:pPr>
        <w:pStyle w:val="a8"/>
        <w:rPr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770"/>
    <w:multiLevelType w:val="hybridMultilevel"/>
    <w:tmpl w:val="7C508EAC"/>
    <w:lvl w:ilvl="0" w:tplc="F118D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0D"/>
    <w:rsid w:val="00033FD7"/>
    <w:rsid w:val="00086EB3"/>
    <w:rsid w:val="000A2136"/>
    <w:rsid w:val="000D2DC4"/>
    <w:rsid w:val="000D34FF"/>
    <w:rsid w:val="000D5670"/>
    <w:rsid w:val="000D5816"/>
    <w:rsid w:val="000D758A"/>
    <w:rsid w:val="000F571D"/>
    <w:rsid w:val="00103271"/>
    <w:rsid w:val="001208C8"/>
    <w:rsid w:val="00130D75"/>
    <w:rsid w:val="00161E59"/>
    <w:rsid w:val="001739FD"/>
    <w:rsid w:val="001B5FB7"/>
    <w:rsid w:val="001D20A4"/>
    <w:rsid w:val="002B67EA"/>
    <w:rsid w:val="002F4435"/>
    <w:rsid w:val="00326359"/>
    <w:rsid w:val="00353C0D"/>
    <w:rsid w:val="00376B93"/>
    <w:rsid w:val="00392042"/>
    <w:rsid w:val="003A6E04"/>
    <w:rsid w:val="003E179C"/>
    <w:rsid w:val="004010DD"/>
    <w:rsid w:val="004668B6"/>
    <w:rsid w:val="004B2534"/>
    <w:rsid w:val="004C6AE3"/>
    <w:rsid w:val="004D12B9"/>
    <w:rsid w:val="004D59DC"/>
    <w:rsid w:val="004F3F70"/>
    <w:rsid w:val="004F68AD"/>
    <w:rsid w:val="005E19AF"/>
    <w:rsid w:val="00667F59"/>
    <w:rsid w:val="006832C8"/>
    <w:rsid w:val="00741E7A"/>
    <w:rsid w:val="007946D4"/>
    <w:rsid w:val="007B71BD"/>
    <w:rsid w:val="007E176F"/>
    <w:rsid w:val="007E58EE"/>
    <w:rsid w:val="007F6BA5"/>
    <w:rsid w:val="00846497"/>
    <w:rsid w:val="00847D39"/>
    <w:rsid w:val="008E3481"/>
    <w:rsid w:val="008F4328"/>
    <w:rsid w:val="00935810"/>
    <w:rsid w:val="00987C05"/>
    <w:rsid w:val="009A5865"/>
    <w:rsid w:val="009A677E"/>
    <w:rsid w:val="009C2886"/>
    <w:rsid w:val="00A1117F"/>
    <w:rsid w:val="00A267DC"/>
    <w:rsid w:val="00AD5738"/>
    <w:rsid w:val="00AD63FE"/>
    <w:rsid w:val="00B26CD2"/>
    <w:rsid w:val="00B91338"/>
    <w:rsid w:val="00BA11A3"/>
    <w:rsid w:val="00BB462C"/>
    <w:rsid w:val="00BD2BCB"/>
    <w:rsid w:val="00C51AB4"/>
    <w:rsid w:val="00CB0C0D"/>
    <w:rsid w:val="00D2206B"/>
    <w:rsid w:val="00D45888"/>
    <w:rsid w:val="00E85DA5"/>
    <w:rsid w:val="00E9636F"/>
    <w:rsid w:val="00F24C37"/>
    <w:rsid w:val="00F571C8"/>
    <w:rsid w:val="00F91CBD"/>
    <w:rsid w:val="00FD226D"/>
    <w:rsid w:val="00FD72D4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D"/>
  </w:style>
  <w:style w:type="paragraph" w:styleId="1">
    <w:name w:val="heading 1"/>
    <w:basedOn w:val="a"/>
    <w:link w:val="10"/>
    <w:uiPriority w:val="9"/>
    <w:qFormat/>
    <w:rsid w:val="007E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0D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uiPriority w:val="99"/>
    <w:unhideWhenUsed/>
    <w:rsid w:val="00C5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58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A2136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739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39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3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податковий борг за податковими зобов’язаннями , млн. грн..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8803.7999999999975</c:v>
                </c:pt>
                <c:pt idx="1">
                  <c:v>9401.7999999999975</c:v>
                </c:pt>
                <c:pt idx="2">
                  <c:v>7783.3</c:v>
                </c:pt>
                <c:pt idx="3">
                  <c:v>6324.4</c:v>
                </c:pt>
                <c:pt idx="4">
                  <c:v>9130</c:v>
                </c:pt>
                <c:pt idx="5">
                  <c:v>11752.7</c:v>
                </c:pt>
                <c:pt idx="6">
                  <c:v>16721.5</c:v>
                </c:pt>
                <c:pt idx="7">
                  <c:v>17961.599999999995</c:v>
                </c:pt>
                <c:pt idx="8">
                  <c:v>15200</c:v>
                </c:pt>
                <c:pt idx="9">
                  <c:v>18510</c:v>
                </c:pt>
              </c:numCache>
            </c:numRef>
          </c:val>
        </c:ser>
        <c:marker val="1"/>
        <c:axId val="52393088"/>
        <c:axId val="52419200"/>
      </c:lineChart>
      <c:catAx>
        <c:axId val="52393088"/>
        <c:scaling>
          <c:orientation val="minMax"/>
        </c:scaling>
        <c:axPos val="b"/>
        <c:numFmt formatCode="General" sourceLinked="1"/>
        <c:tickLblPos val="nextTo"/>
        <c:crossAx val="52419200"/>
        <c:crosses val="autoZero"/>
        <c:auto val="1"/>
        <c:lblAlgn val="ctr"/>
        <c:lblOffset val="100"/>
      </c:catAx>
      <c:valAx>
        <c:axId val="52419200"/>
        <c:scaling>
          <c:orientation val="minMax"/>
        </c:scaling>
        <c:axPos val="l"/>
        <c:majorGridlines/>
        <c:numFmt formatCode="General" sourceLinked="1"/>
        <c:tickLblPos val="nextTo"/>
        <c:crossAx val="5239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0.11694061679790015"/>
          <c:y val="5.8201058201058045E-2"/>
          <c:w val="0.51890766258384891"/>
          <c:h val="0.754691080281636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Загальний обсяг списання, млн. грн.</c:v>
                </c:pt>
              </c:strCache>
            </c:strRef>
          </c:tx>
          <c:dLbls>
            <c:dLbl>
              <c:idx val="3"/>
              <c:layout>
                <c:manualLayout>
                  <c:x val="4.6296296296296406E-3"/>
                  <c:y val="-5.29100529100529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І кварт. 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11585.6</c:v>
                </c:pt>
                <c:pt idx="1">
                  <c:v>21937.3</c:v>
                </c:pt>
                <c:pt idx="2">
                  <c:v>36251.1</c:v>
                </c:pt>
                <c:pt idx="3">
                  <c:v>1500.4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Податковий борг, млн. грн</c:v>
                </c:pt>
              </c:strCache>
            </c:strRef>
          </c:tx>
          <c:dLbls>
            <c:dLbl>
              <c:idx val="3"/>
              <c:layout>
                <c:manualLayout>
                  <c:x val="2.0833333333333377E-2"/>
                  <c:y val="-3.703703703703708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І кварт. 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16721.5</c:v>
                </c:pt>
                <c:pt idx="1">
                  <c:v>17961.599999999973</c:v>
                </c:pt>
                <c:pt idx="2">
                  <c:v>15252.4</c:v>
                </c:pt>
                <c:pt idx="3">
                  <c:v>20221.2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Мобілізований податковий борг, млн. грн.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6.34920634920635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І кварт. 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5063</c:v>
                </c:pt>
                <c:pt idx="1">
                  <c:v>8006</c:v>
                </c:pt>
                <c:pt idx="2">
                  <c:v>11354.8</c:v>
                </c:pt>
                <c:pt idx="3">
                  <c:v>1449.4</c:v>
                </c:pt>
              </c:numCache>
            </c:numRef>
          </c:val>
        </c:ser>
        <c:shape val="box"/>
        <c:axId val="53949952"/>
        <c:axId val="53966336"/>
        <c:axId val="0"/>
      </c:bar3DChart>
      <c:catAx>
        <c:axId val="53949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</a:t>
                </a:r>
                <a:r>
                  <a:rPr lang="uk-UA"/>
                  <a:t>іод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61415773549139685"/>
              <c:y val="0.8166237553639128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966336"/>
        <c:crosses val="autoZero"/>
        <c:auto val="1"/>
        <c:lblAlgn val="ctr"/>
        <c:lblOffset val="100"/>
      </c:catAx>
      <c:valAx>
        <c:axId val="53966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грн.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9499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2647554806070818"/>
          <c:y val="5.2044609665427496E-2"/>
          <c:w val="0.54131534569983142"/>
          <c:h val="0.713754646840149"/>
        </c:manualLayout>
      </c:layout>
      <c:bar3DChart>
        <c:barDir val="col"/>
        <c:grouping val="stacked"/>
        <c:ser>
          <c:idx val="0"/>
          <c:order val="0"/>
          <c:tx>
            <c:strRef>
              <c:f>Лист1!$A$30</c:f>
              <c:strCache>
                <c:ptCount val="1"/>
                <c:pt idx="0">
                  <c:v>Податковий борг платників, щодо яких порушено справу про банкрутство, млн. грн.</c:v>
                </c:pt>
              </c:strCache>
            </c:strRef>
          </c:tx>
          <c:cat>
            <c:numRef>
              <c:f>Лист1!$B$29:$E$29</c:f>
              <c:numCache>
                <c:formatCode>dd/mm/yyyy</c:formatCode>
                <c:ptCount val="4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</c:numCache>
            </c:numRef>
          </c:cat>
          <c:val>
            <c:numRef>
              <c:f>Лист1!$B$30:$E$30</c:f>
              <c:numCache>
                <c:formatCode>General</c:formatCode>
                <c:ptCount val="4"/>
                <c:pt idx="0">
                  <c:v>4092.8</c:v>
                </c:pt>
                <c:pt idx="1">
                  <c:v>3982.7</c:v>
                </c:pt>
                <c:pt idx="2">
                  <c:v>7250.5</c:v>
                </c:pt>
                <c:pt idx="3">
                  <c:v>7659.7</c:v>
                </c:pt>
              </c:numCache>
            </c:numRef>
          </c:val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Мобілізований податковий борг підприємств-банкрутів, млн. грн.</c:v>
                </c:pt>
              </c:strCache>
            </c:strRef>
          </c:tx>
          <c:cat>
            <c:numRef>
              <c:f>Лист1!$B$29:$E$29</c:f>
              <c:numCache>
                <c:formatCode>dd/mm/yyyy</c:formatCode>
                <c:ptCount val="4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</c:numCache>
            </c:numRef>
          </c:cat>
          <c:val>
            <c:numRef>
              <c:f>Лист1!$B$31:$E$31</c:f>
              <c:numCache>
                <c:formatCode>General</c:formatCode>
                <c:ptCount val="4"/>
                <c:pt idx="0">
                  <c:v>2564.1</c:v>
                </c:pt>
                <c:pt idx="1">
                  <c:v>2237.1999999999998</c:v>
                </c:pt>
                <c:pt idx="2">
                  <c:v>5216.6000000000004</c:v>
                </c:pt>
                <c:pt idx="3">
                  <c:v>5063</c:v>
                </c:pt>
              </c:numCache>
            </c:numRef>
          </c:val>
        </c:ser>
        <c:dLbls>
          <c:showVal val="1"/>
        </c:dLbls>
        <c:shape val="box"/>
        <c:axId val="72917760"/>
        <c:axId val="72920064"/>
        <c:axId val="0"/>
      </c:bar3DChart>
      <c:dateAx>
        <c:axId val="72917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період</a:t>
                </a:r>
              </a:p>
            </c:rich>
          </c:tx>
          <c:layout>
            <c:manualLayout>
              <c:xMode val="edge"/>
              <c:yMode val="edge"/>
              <c:x val="0.5969645020948191"/>
              <c:y val="0.78438670874642646"/>
            </c:manualLayout>
          </c:layout>
        </c:title>
        <c:numFmt formatCode="yyyy" sourceLinked="0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2920064"/>
        <c:crosses val="autoZero"/>
        <c:auto val="1"/>
        <c:lblOffset val="100"/>
        <c:baseTimeUnit val="years"/>
        <c:majorUnit val="1"/>
        <c:majorTimeUnit val="years"/>
        <c:minorUnit val="1"/>
        <c:minorTimeUnit val="years"/>
      </c:dateAx>
      <c:valAx>
        <c:axId val="72920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грн.</a:t>
                </a:r>
              </a:p>
            </c:rich>
          </c:tx>
          <c:layout>
            <c:manualLayout>
              <c:xMode val="edge"/>
              <c:yMode val="edge"/>
              <c:x val="4.7217445349143981E-2"/>
              <c:y val="0.3568771717300522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2917760"/>
        <c:crosses val="autoZero"/>
        <c:crossBetween val="between"/>
      </c:valAx>
      <c:spPr>
        <a:noFill/>
        <a:ln w="25346">
          <a:noFill/>
        </a:ln>
      </c:spPr>
    </c:plotArea>
    <c:legend>
      <c:legendPos val="r"/>
      <c:layout>
        <c:manualLayout>
          <c:xMode val="edge"/>
          <c:yMode val="edge"/>
          <c:x val="0.65598644292121067"/>
          <c:y val="0.31598499580265055"/>
          <c:w val="0.33726810554132181"/>
          <c:h val="0.375464524424325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F76-53BD-4FC2-8BAE-8EB71E8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dcterms:created xsi:type="dcterms:W3CDTF">2014-09-11T16:08:00Z</dcterms:created>
  <dcterms:modified xsi:type="dcterms:W3CDTF">2014-09-13T20:10:00Z</dcterms:modified>
</cp:coreProperties>
</file>