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E2" w:rsidRDefault="00884BED">
      <w:pPr>
        <w:rPr>
          <w:rFonts w:ascii="Times New Roman" w:hAnsi="Times New Roman"/>
          <w:b/>
          <w:sz w:val="28"/>
          <w:lang w:val="uk-UA"/>
        </w:rPr>
      </w:pPr>
      <w:r w:rsidRPr="00884BED">
        <w:rPr>
          <w:rFonts w:ascii="Times New Roman" w:hAnsi="Times New Roman"/>
          <w:b/>
          <w:sz w:val="28"/>
          <w:lang w:val="uk-UA"/>
        </w:rPr>
        <w:t>Євроінтеграційні аспекти регулювання зайнятості молоді в умовах інституційних змін.</w:t>
      </w:r>
    </w:p>
    <w:p w:rsidR="0053033C" w:rsidRPr="0053033C" w:rsidRDefault="0053033C">
      <w:pPr>
        <w:rPr>
          <w:rFonts w:ascii="Times New Roman" w:hAnsi="Times New Roman"/>
          <w:i/>
          <w:sz w:val="28"/>
          <w:lang w:val="uk-UA"/>
        </w:rPr>
      </w:pPr>
      <w:r w:rsidRPr="0053033C">
        <w:rPr>
          <w:rFonts w:ascii="Times New Roman" w:hAnsi="Times New Roman"/>
          <w:i/>
          <w:sz w:val="28"/>
          <w:lang w:val="uk-UA"/>
        </w:rPr>
        <w:t>Здійснено аналіз механізму регулювання зайнятості молоді,розглянуто особливості його функціонування в умовах інституційних змін,вказано можливості його адаптування до європейських умов.</w:t>
      </w:r>
    </w:p>
    <w:p w:rsidR="0053033C" w:rsidRDefault="00560B7E" w:rsidP="0053033C">
      <w:pPr>
        <w:ind w:left="6372" w:firstLine="708"/>
        <w:rPr>
          <w:rFonts w:ascii="Times New Roman" w:hAnsi="Times New Roman"/>
          <w:b/>
          <w:sz w:val="28"/>
          <w:lang w:val="uk-UA"/>
        </w:rPr>
      </w:pPr>
      <w:r w:rsidRPr="00884BED">
        <w:rPr>
          <w:rFonts w:ascii="Times New Roman" w:hAnsi="Times New Roman"/>
          <w:b/>
          <w:sz w:val="28"/>
          <w:lang w:val="uk-UA"/>
        </w:rPr>
        <w:t>Теодозія Буда</w:t>
      </w:r>
    </w:p>
    <w:p w:rsidR="00D36CA3" w:rsidRPr="00D36CA3" w:rsidRDefault="00D36CA3" w:rsidP="00D36C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Вивчення теоретичних основ  регулювання зайнятості  показує, що для здійснення збалансованої та ефективної соціально-економічної політики держави необхідно створити таку регулятивну систему, яка зможе вирішувати не лише економічні питання, а й враховувати соціально-психологічні аспекти зайнятості молодої людини. У зв’язку з цим необхідно зазначити, що сучасна економічна ситуа</w:t>
      </w:r>
      <w:r w:rsidR="00C76FC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ція, у тому числі пошук виходу 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</w:t>
      </w:r>
      <w:r w:rsidR="00C76FC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всесвітньої економічної кризи, потребує нових методів та механізмів регулювання зайнятості, які опираються на нові економі</w:t>
      </w:r>
      <w:r w:rsidR="004E05E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чні теорії. Для розробки напрям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ів ефективного механізму регулювання зайнятості молод</w:t>
      </w:r>
      <w:r w:rsidR="004B563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і(</w:t>
      </w:r>
      <w:r w:rsidR="004E05E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МРЗМ) </w:t>
      </w:r>
      <w:r w:rsidR="004B563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вивчення проблем молоді на ринку праці у дослідженні використовується системний підхід на підставі економічної теорії інстит</w:t>
      </w:r>
      <w:r w:rsidR="004B563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уціоналізму,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яка дає змогу використовувати оптимальне співвідношення ринкових і державних механізмів регулювання та</w:t>
      </w:r>
      <w:r w:rsidR="004E05E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водночас значн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у увагу приділяє соціально-психологічним аспектам зайнятості, що є </w:t>
      </w:r>
      <w:r w:rsidR="004E05E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актуальним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 сучасних умовах.</w:t>
      </w:r>
    </w:p>
    <w:p w:rsidR="005600A2" w:rsidRPr="00D36CA3" w:rsidRDefault="00D36CA3" w:rsidP="005600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На основі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інституційних засад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механізм регулювання зайнятості молоді являє собою сукупність методів і напрямів</w:t>
      </w:r>
      <w:r w:rsidRPr="00D36CA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цілеспрямованого інституційного впливу держави на взаємодію регуляторів й взаємовідносин партнерів на молодіжному секторі ринку праці та освітніх послуг з метою досягнення продуктивної зайнятості молоді. </w:t>
      </w:r>
    </w:p>
    <w:p w:rsidR="00163ED8" w:rsidRPr="00C841AD" w:rsidRDefault="00D36CA3" w:rsidP="00C841A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Серед </w:t>
      </w:r>
      <w:r w:rsidR="00163ED8" w:rsidRPr="00163ED8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механізмів </w:t>
      </w:r>
      <w:r w:rsid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РЗМ у європейських країнах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найбільш цікавими для України є стимулювання роботодавців до створення додаткових робочих місць для молоді, програми проф</w:t>
      </w:r>
      <w:r w:rsid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есійного </w:t>
      </w:r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навчання та розширення можливостей зайнятості молоді шляхом </w:t>
      </w:r>
      <w:proofErr w:type="spellStart"/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самозайнятості</w:t>
      </w:r>
      <w:proofErr w:type="spellEnd"/>
      <w:r w:rsidRPr="00D36CA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  <w:r w:rsid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C841AD" w:rsidRPr="00C841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відповідь на </w:t>
      </w:r>
      <w:r w:rsidR="00C841AD" w:rsidRPr="00C841A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глобальні проблеми кожна країна створює власні механізми регулювання зайнятості молоді [</w:t>
      </w:r>
      <w:r w:rsidR="00C841A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C841AD" w:rsidRPr="00C841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 65]. </w:t>
      </w:r>
    </w:p>
    <w:p w:rsidR="002F6D6F" w:rsidRPr="002F6D6F" w:rsidRDefault="002F6D6F" w:rsidP="00C841A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ab/>
        <w:t>І</w:t>
      </w:r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нституційні зміни та сфера зайнятості – це нерозривно </w:t>
      </w:r>
      <w:proofErr w:type="spellStart"/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позв’язані</w:t>
      </w:r>
      <w:proofErr w:type="spellEnd"/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елементи єдиного механізму РЗМ. Саме інституційні зміни повинні сприяти розвитку продуктивної зайнятості</w:t>
      </w:r>
      <w:r w:rsidR="0053033C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молоді</w:t>
      </w:r>
      <w:r w:rsidR="005600A2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.</w:t>
      </w:r>
      <w:r w:rsidR="0053033C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Категорія продуктивної зайнятості дещо ширша, ніж ефективна чи повна зайнятість. Вона охоплює як кількісні, так і якісні характеристики зайнятості,  припускає продуктивне використання людських ресурсів, що призводить до економічного зростання та людського розвитку</w:t>
      </w:r>
      <w:r w:rsidR="00C841AD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.</w:t>
      </w:r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</w:p>
    <w:p w:rsidR="002F6D6F" w:rsidRPr="00D36CA3" w:rsidRDefault="002F6D6F" w:rsidP="00DD1C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Необхідність досягнення продуктивної зайнятості у суспільстві підкреслюється у Конвенції МОП №168 «Про сприяння зайнятості та захист від безробіття» </w:t>
      </w:r>
      <w:r w:rsidR="00DD1CD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[1</w:t>
      </w:r>
      <w:r w:rsidRPr="002F6D6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].</w:t>
      </w:r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У статті 2 Конвенції №168 зазначається, що кожна країна, яка ратифікує цю Конвенцію, повинна вживати заходів щодо координації системи захисту від безробіття та політики у галузі зайнятості. Для цього необхідно, щоб система захисту від безробіття сприяла створенню повної, продуктивної та вільно обраної зайнятості та мала такий характер, коли роботодавці були б зацікавлені у пропозиції продуктивної зайнятості, а робітники шукали таку зайнятість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.</w:t>
      </w:r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 w:rsidR="00DD1CD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[4</w:t>
      </w:r>
      <w:r w:rsidRPr="002F6D6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]</w:t>
      </w:r>
      <w:r w:rsidRPr="002F6D6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.       </w:t>
      </w:r>
    </w:p>
    <w:p w:rsidR="00163ED8" w:rsidRPr="00163ED8" w:rsidRDefault="00163ED8" w:rsidP="00163E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163ED8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Досягнення </w:t>
      </w:r>
      <w:r w:rsidR="00496EC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 w:rsidRPr="00163ED8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продуктивної зайнятості припускає використання активної державної політики, яка повинна здійснюватися за такими напрямами: </w:t>
      </w:r>
      <w:r w:rsidR="00496EC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с</w:t>
      </w:r>
      <w:r w:rsidRPr="00163ED8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творення регулювальних органів, які будуть стежити за дотриманням трудового законодавства;лібералізація законодавства у сфері підприємницької діяльності та </w:t>
      </w:r>
      <w:proofErr w:type="spellStart"/>
      <w:r w:rsidRPr="00163ED8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самозайнятості</w:t>
      </w:r>
      <w:proofErr w:type="spellEnd"/>
      <w:r w:rsidRPr="00163ED8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для активізації процесу створення робочих місць; залучення вітчизняних і зарубіжних інвестицій до розвитку стратегічно важливих галузей економіки (наукоємних, орієнтованих на експорт); допомога молоді у професійному виборі та отриманні освіти в закладах освіти та на виробництві для подальшої зайнятості у нових галузях економіки. По</w:t>
      </w:r>
      <w:r w:rsidRP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слідовність формування взаємозв’язків і взаємовідносин між інституційними атрибутами ринку праці та умотивованості поведінки молодої людини можна представити у </w:t>
      </w:r>
      <w:r w:rsidR="00496EC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вигляді схеми  (рис. 1</w:t>
      </w:r>
      <w:r w:rsidRP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).</w:t>
      </w:r>
    </w:p>
    <w:p w:rsidR="00163ED8" w:rsidRPr="00163ED8" w:rsidRDefault="00163ED8" w:rsidP="00163ED8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5430520" cy="6296025"/>
                <wp:effectExtent l="9525" t="9525" r="8255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8293" y="0"/>
                            <a:ext cx="3086498" cy="435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Прагнення щодо задоволення особистих потреб та інтересів молодої людини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545969"/>
                            <a:ext cx="2110834" cy="45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Симпатія у взаємовідносинах партнерів ринку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00663" y="2545969"/>
                            <a:ext cx="2229857" cy="45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Емпатія (обмін партнерів місцями на ринку праці)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0387" y="3600775"/>
                            <a:ext cx="2409606" cy="459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Узгодження взаємної утилітарності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708895"/>
                            <a:ext cx="1997479" cy="475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Раціональна інтерпретація взаємовідносин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00663" y="4708895"/>
                            <a:ext cx="2229857" cy="475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Обмін (продаж робочої сили, здійснення трудового процесу)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8293" y="5676757"/>
                            <a:ext cx="3201473" cy="520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Формування зворотного зв’язку залежно від задоволення молодої людини стимулами до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70387" y="1677354"/>
                            <a:ext cx="2314874" cy="525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Довіра між молодою людиною і </w:t>
                              </w:r>
                              <w:proofErr w:type="spellStart"/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роботодававцем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893222"/>
                            <a:ext cx="1829066" cy="455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Формування мотивів до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14828" y="893222"/>
                            <a:ext cx="2115692" cy="455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ED8" w:rsidRPr="00090249" w:rsidRDefault="00163ED8" w:rsidP="00163ED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90249">
                                <w:rPr>
                                  <w:rFonts w:ascii="Times New Roman" w:hAnsi="Times New Roman"/>
                                  <w:lang w:val="uk-UA"/>
                                </w:rPr>
                                <w:t>Доведення мотивів, зіставлення їх із стимулами до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1028293" y="435538"/>
                            <a:ext cx="1599927" cy="457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514864" y="435538"/>
                            <a:ext cx="1599927" cy="457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829066" y="1105659"/>
                            <a:ext cx="148576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800773" y="1334501"/>
                            <a:ext cx="1599117" cy="34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2514864" y="1334501"/>
                            <a:ext cx="1714901" cy="34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110834" y="2779733"/>
                            <a:ext cx="108982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914128" y="2203117"/>
                            <a:ext cx="1485762" cy="34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2399890" y="2203117"/>
                            <a:ext cx="1600736" cy="34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028293" y="3004474"/>
                            <a:ext cx="1484952" cy="596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2629029" y="3004474"/>
                            <a:ext cx="1600736" cy="596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9103" y="4060099"/>
                            <a:ext cx="1485762" cy="648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513245" y="4060099"/>
                            <a:ext cx="1600736" cy="648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2629029" y="5184624"/>
                            <a:ext cx="1513291" cy="492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 flipV="1">
                            <a:off x="914128" y="5184624"/>
                            <a:ext cx="1371597" cy="492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427.6pt;height:495.75pt;mso-position-horizontal-relative:char;mso-position-vertical-relative:line" coordsize="54305,6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305;height:62960;visibility:visible;mso-wrap-style:square">
                  <v:fill o:detectmouseclick="t"/>
                  <v:path o:connecttype="none"/>
                </v:shape>
                <v:rect id="Rectangle 4" o:spid="_x0000_s1028" style="position:absolute;left:10282;width:30865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Прагнення щодо задоволення особистих потреб та інтересів молодої людини</w:t>
                        </w:r>
                      </w:p>
                    </w:txbxContent>
                  </v:textbox>
                </v:rect>
                <v:rect id="Rectangle 5" o:spid="_x0000_s1029" style="position:absolute;top:25459;width:21108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Симпатія у взаємовідносинах партнерів ринку</w:t>
                        </w:r>
                      </w:p>
                    </w:txbxContent>
                  </v:textbox>
                </v:rect>
                <v:rect id="Rectangle 6" o:spid="_x0000_s1030" style="position:absolute;left:32006;top:25459;width:22299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proofErr w:type="spellStart"/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Емпатія</w:t>
                        </w:r>
                        <w:proofErr w:type="spellEnd"/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 xml:space="preserve"> (обмін партнерів місцями на ринку праці)</w:t>
                        </w:r>
                      </w:p>
                    </w:txbxContent>
                  </v:textbox>
                </v:rect>
                <v:rect id="Rectangle 7" o:spid="_x0000_s1031" style="position:absolute;left:12703;top:36007;width:24096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Узгодження взаємної утилітарності</w:t>
                        </w:r>
                      </w:p>
                    </w:txbxContent>
                  </v:textbox>
                </v:rect>
                <v:rect id="Rectangle 8" o:spid="_x0000_s1032" style="position:absolute;top:47088;width:19974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Раціональна інтерпретація взаємовідносин</w:t>
                        </w:r>
                      </w:p>
                    </w:txbxContent>
                  </v:textbox>
                </v:rect>
                <v:rect id="Rectangle 9" o:spid="_x0000_s1033" style="position:absolute;left:32006;top:47088;width:22299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Обмін (продаж робочої сили, здійснення трудового процесу)</w:t>
                        </w:r>
                      </w:p>
                    </w:txbxContent>
                  </v:textbox>
                </v:rect>
                <v:rect id="Rectangle 10" o:spid="_x0000_s1034" style="position:absolute;left:10282;top:56767;width:32015;height:5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Формування зворотного зв’язку залежно від задоволення молодої людини стимулами до праці</w:t>
                        </w:r>
                      </w:p>
                    </w:txbxContent>
                  </v:textbox>
                </v:rect>
                <v:rect id="Rectangle 11" o:spid="_x0000_s1035" style="position:absolute;left:12703;top:16773;width:23149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 xml:space="preserve">Довіра між молодою людиною і </w:t>
                        </w:r>
                        <w:proofErr w:type="spellStart"/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роботодававцем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top:8932;width:18290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Формування мотивів до праці</w:t>
                        </w:r>
                      </w:p>
                    </w:txbxContent>
                  </v:textbox>
                </v:rect>
                <v:rect id="Rectangle 13" o:spid="_x0000_s1037" style="position:absolute;left:33148;top:8932;width:21157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63ED8" w:rsidRPr="00090249" w:rsidRDefault="00163ED8" w:rsidP="00163ED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90249">
                          <w:rPr>
                            <w:rFonts w:ascii="Times New Roman" w:hAnsi="Times New Roman"/>
                            <w:lang w:val="uk-UA"/>
                          </w:rPr>
                          <w:t>Доведення мотивів, зіставлення їх із стимулами до праці</w:t>
                        </w:r>
                      </w:p>
                    </w:txbxContent>
                  </v:textbox>
                </v:rect>
                <v:line id="Line 14" o:spid="_x0000_s1038" style="position:absolute;flip:x;visibility:visible;mso-wrap-style:square" from="10282,4355" to="26282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5" o:spid="_x0000_s1039" style="position:absolute;visibility:visible;mso-wrap-style:square" from="25148,4355" to="41147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18290,11056" to="33148,1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8007,13345" to="23998,1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25148,13345" to="42297,1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21108,27797" to="32006,27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flip:x;visibility:visible;mso-wrap-style:square" from="9141,22031" to="23998,2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23998,22031" to="40006,2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10282,30044" to="25132,3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flip:x;visibility:visible;mso-wrap-style:square" from="26290,30044" to="42297,3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10291,40600" to="25148,4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25132,40600" to="41139,4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26290,51846" to="41423,5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flip:x y;visibility:visible;mso-wrap-style:square" from="9141,51846" to="22857,5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163ED8" w:rsidRPr="00163ED8" w:rsidRDefault="00163ED8" w:rsidP="00163ED8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163ED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Рис.</w:t>
      </w:r>
      <w:r w:rsidR="00496EC3" w:rsidRPr="00496EC3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1.</w:t>
      </w:r>
      <w:r w:rsidRPr="00163ED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Схема розвитку взаємовідносин між інституційними атрибутами та поведінкою молодої людини на ринку праці </w:t>
      </w:r>
    </w:p>
    <w:p w:rsidR="00163ED8" w:rsidRDefault="00163ED8" w:rsidP="00163E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Саме така схема відповідає нормальному розвитку взаємовідносин між інституційними атрибутами і мотивами поведінки молоді на ринку праці та спостерігається у країнах</w:t>
      </w:r>
      <w:r w:rsidR="00496EC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Європейського Союзу</w:t>
      </w:r>
      <w:r w:rsidRP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Неврахування його сутності з боку формально функціонуючих структур управління, а бажання «придушити» тіньову економіку нічого не дасть. У цій схемі як мінімум є довіра між партнерами і не враховувати цю обставину не можна. </w:t>
      </w:r>
    </w:p>
    <w:p w:rsidR="00163ED8" w:rsidRDefault="00496EC3" w:rsidP="005600A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Слід зазнач</w:t>
      </w:r>
      <w:r w:rsidR="00163ED8" w:rsidRPr="00163E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ити, що у країнах ЄС загалом багато уваги приділяється питанням соціаль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но-економічного розвитку, а саме: </w:t>
      </w:r>
      <w:r w:rsidR="00163ED8" w:rsidRPr="00496EC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розробці комплексних програм щодо регулювання зайнятості населення, зниженню негативних наслідків безробіття, створенню умов для самореалізації особистості через отримання необхідної освіти та допомога у працевлаштуванні та інше.</w:t>
      </w:r>
      <w:r w:rsidR="00C841AD" w:rsidRP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</w:t>
      </w:r>
      <w:r w:rsidR="00C841AD" w:rsidRP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рактично у кожній країні ЄС реалізують</w:t>
      </w:r>
      <w:r w:rsid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ся свої спеціальні програми, спрямовані на покращення становища</w:t>
      </w:r>
      <w:r w:rsidR="00C841AD" w:rsidRP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молоді на ринку праці та її соціальний захист. Цим програмам відповідають конкретні механізми</w:t>
      </w:r>
      <w:r w:rsidR="00560B7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C841AD" w:rsidRP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реалізації, що об’єктивно супроводжують їх у вигляді чинних нормативно-законодавчих актів, ринкових норм і правил, поведінки партнерів, а також створюються суб’єктами ринку праці [</w:t>
      </w:r>
      <w:r w:rsidR="00560B7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3,</w:t>
      </w:r>
      <w:r w:rsidR="00BB704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5</w:t>
      </w:r>
      <w:r w:rsidR="005B179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].</w:t>
      </w:r>
      <w:r w:rsidR="00163ED8" w:rsidRPr="00496EC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 огляду на євроінтеграційну орієнтацію вітчизняної державної політики актуальним є</w:t>
      </w:r>
      <w:r w:rsidR="00C841A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сьогодні</w:t>
      </w:r>
      <w:r w:rsidR="00163ED8" w:rsidRPr="00496EC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вивчення досвіду країн у сфері регулювання зайнятості молоді та адаптація відповідних регуляторних підходів до умов України.</w:t>
      </w:r>
    </w:p>
    <w:p w:rsidR="00560B7E" w:rsidRDefault="00560B7E" w:rsidP="005600A2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5600A2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Використана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560B7E" w:rsidRPr="005600A2" w:rsidRDefault="00560B7E" w:rsidP="005600A2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0B7E">
        <w:rPr>
          <w:rFonts w:ascii="Times New Roman" w:hAnsi="Times New Roman"/>
          <w:sz w:val="28"/>
          <w:szCs w:val="28"/>
          <w:lang w:val="uk-UA" w:eastAsia="ru-RU"/>
        </w:rPr>
        <w:t>1..</w:t>
      </w:r>
      <w:r w:rsidRPr="00560B7E">
        <w:rPr>
          <w:rFonts w:ascii="Times New Roman" w:hAnsi="Times New Roman"/>
          <w:sz w:val="28"/>
          <w:szCs w:val="28"/>
          <w:lang w:eastAsia="ru-RU"/>
        </w:rPr>
        <w:t>Доклад МОТ «Продуктивная занятость как средство сокращения бедности и обеспечения развития» Женева, март 2004</w:t>
      </w:r>
      <w:r w:rsidRPr="00560B7E">
        <w:rPr>
          <w:rFonts w:ascii="Times New Roman" w:hAnsi="Times New Roman"/>
          <w:sz w:val="28"/>
          <w:szCs w:val="28"/>
          <w:lang w:val="uk-UA" w:eastAsia="ru-RU"/>
        </w:rPr>
        <w:t xml:space="preserve"> [Електронний ресурс]. – Реж</w:t>
      </w:r>
      <w:bookmarkStart w:id="0" w:name="_GoBack"/>
      <w:bookmarkEnd w:id="0"/>
      <w:r w:rsidRPr="00560B7E">
        <w:rPr>
          <w:rFonts w:ascii="Times New Roman" w:hAnsi="Times New Roman"/>
          <w:sz w:val="28"/>
          <w:szCs w:val="28"/>
          <w:lang w:val="uk-UA" w:eastAsia="ru-RU"/>
        </w:rPr>
        <w:t>им доступу</w:t>
      </w:r>
      <w:r w:rsidRPr="0053033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:  </w:t>
      </w:r>
      <w:hyperlink r:id="rId6" w:tgtFrame="_blank" w:history="1">
        <w:r w:rsidRPr="0053033C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http://www.ilo.org/public/russian/standards/</w:t>
        </w:r>
      </w:hyperlink>
    </w:p>
    <w:p w:rsidR="00DD1CDC" w:rsidRPr="00560B7E" w:rsidRDefault="00560B7E" w:rsidP="0056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D1CDC" w:rsidRPr="00DD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Конвенція МОП №168 «Про сприяння зайнятості та захист від безробіття». Міжнародний документ. [Електронний ресурс] - Сайт «Законодавство України». -  Режим доступу до ресурсу: </w:t>
      </w:r>
      <w:r w:rsidR="00DD1CDC" w:rsidRPr="00DD1C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http://zakon1.rada.gov.ua/cgi-bin/laws/main.cgi</w:t>
      </w:r>
      <w:r w:rsidR="00DD1CDC" w:rsidRPr="00DD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600A2" w:rsidRDefault="00560B7E" w:rsidP="005600A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560B7E">
        <w:rPr>
          <w:rFonts w:ascii="Times New Roman" w:hAnsi="Times New Roman"/>
          <w:sz w:val="28"/>
          <w:szCs w:val="28"/>
          <w:lang w:eastAsia="ru-RU"/>
        </w:rPr>
        <w:t xml:space="preserve">Глобальные тенденции в сфере занятости: обновление. Май 2009 г. / подготовка материала к печати А. </w:t>
      </w:r>
      <w:proofErr w:type="spellStart"/>
      <w:r w:rsidRPr="00560B7E">
        <w:rPr>
          <w:rFonts w:ascii="Times New Roman" w:hAnsi="Times New Roman"/>
          <w:sz w:val="28"/>
          <w:szCs w:val="28"/>
          <w:lang w:eastAsia="ru-RU"/>
        </w:rPr>
        <w:t>Олифиров</w:t>
      </w:r>
      <w:proofErr w:type="spellEnd"/>
      <w:r w:rsidRPr="00560B7E">
        <w:rPr>
          <w:rFonts w:ascii="Times New Roman" w:hAnsi="Times New Roman"/>
          <w:sz w:val="28"/>
          <w:szCs w:val="28"/>
          <w:lang w:eastAsia="ru-RU"/>
        </w:rPr>
        <w:t xml:space="preserve"> // Труд за рубежом. – 2009. </w:t>
      </w:r>
      <w:r w:rsidRPr="00560B7E">
        <w:rPr>
          <w:rFonts w:ascii="Times New Roman" w:hAnsi="Times New Roman"/>
          <w:sz w:val="28"/>
          <w:szCs w:val="28"/>
          <w:lang w:val="uk-UA" w:eastAsia="ru-RU"/>
        </w:rPr>
        <w:t xml:space="preserve">– №3. – С. 123-143. </w:t>
      </w:r>
    </w:p>
    <w:p w:rsidR="005600A2" w:rsidRDefault="00560B7E" w:rsidP="005600A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0B7E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DD1CDC" w:rsidRPr="00560B7E">
        <w:rPr>
          <w:rFonts w:ascii="Times New Roman" w:hAnsi="Times New Roman"/>
          <w:sz w:val="28"/>
          <w:szCs w:val="28"/>
          <w:lang w:val="uk-UA" w:eastAsia="ru-RU"/>
        </w:rPr>
        <w:t xml:space="preserve">Гнибіденко І. Вплив світової фінансово-економічної кризи на соціальну сферу України / І. </w:t>
      </w:r>
      <w:proofErr w:type="spellStart"/>
      <w:r w:rsidR="00DD1CDC" w:rsidRPr="00560B7E">
        <w:rPr>
          <w:rFonts w:ascii="Times New Roman" w:hAnsi="Times New Roman"/>
          <w:sz w:val="28"/>
          <w:szCs w:val="28"/>
          <w:lang w:val="uk-UA" w:eastAsia="ru-RU"/>
        </w:rPr>
        <w:t>Гнибіденко</w:t>
      </w:r>
      <w:proofErr w:type="spellEnd"/>
      <w:r w:rsidR="00DD1CDC" w:rsidRPr="00560B7E">
        <w:rPr>
          <w:rFonts w:ascii="Times New Roman" w:hAnsi="Times New Roman"/>
          <w:sz w:val="28"/>
          <w:szCs w:val="28"/>
          <w:lang w:val="uk-UA" w:eastAsia="ru-RU"/>
        </w:rPr>
        <w:t xml:space="preserve"> // Економіка України. – 2009. – №7. –            С. 64-74.</w:t>
      </w:r>
    </w:p>
    <w:p w:rsidR="00560B7E" w:rsidRPr="00560B7E" w:rsidRDefault="005600A2" w:rsidP="005600A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560B7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60B7E" w:rsidRPr="00560B7E">
        <w:rPr>
          <w:rFonts w:ascii="Times New Roman" w:hAnsi="Times New Roman"/>
          <w:sz w:val="28"/>
          <w:szCs w:val="28"/>
          <w:lang w:val="uk-UA" w:eastAsia="ru-RU"/>
        </w:rPr>
        <w:t>Терещенко О. Аналіз антикризових заходів у різних країнах світу (за матеріалами МОП) / О. Терещенко // Україна: аспекти праці. – 2009. – №8. – С. 45-49.</w:t>
      </w:r>
    </w:p>
    <w:p w:rsidR="00560B7E" w:rsidRPr="00B35953" w:rsidRDefault="00560B7E" w:rsidP="00560B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84BED" w:rsidRPr="00884BED" w:rsidRDefault="00884BED" w:rsidP="00DD1CDC">
      <w:pPr>
        <w:ind w:left="360"/>
        <w:rPr>
          <w:rFonts w:ascii="Times New Roman" w:hAnsi="Times New Roman"/>
          <w:b/>
          <w:sz w:val="28"/>
          <w:lang w:val="uk-UA"/>
        </w:rPr>
      </w:pPr>
    </w:p>
    <w:sectPr w:rsidR="00884BED" w:rsidRPr="0088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3DB"/>
    <w:multiLevelType w:val="hybridMultilevel"/>
    <w:tmpl w:val="6546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E0436"/>
    <w:multiLevelType w:val="hybridMultilevel"/>
    <w:tmpl w:val="C49C3D44"/>
    <w:lvl w:ilvl="0" w:tplc="7FF8CB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ED"/>
    <w:rsid w:val="00163ED8"/>
    <w:rsid w:val="002F6D6F"/>
    <w:rsid w:val="00496EC3"/>
    <w:rsid w:val="004B563B"/>
    <w:rsid w:val="004E05E5"/>
    <w:rsid w:val="0053033C"/>
    <w:rsid w:val="005600A2"/>
    <w:rsid w:val="00560B7E"/>
    <w:rsid w:val="005B1796"/>
    <w:rsid w:val="00884BED"/>
    <w:rsid w:val="00BB7044"/>
    <w:rsid w:val="00C76FC2"/>
    <w:rsid w:val="00C841AD"/>
    <w:rsid w:val="00D36CA3"/>
    <w:rsid w:val="00D655E2"/>
    <w:rsid w:val="00DD1CDC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.org/public/russian/standards/relm/gb/docs/gb289/pdf/esp-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4035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2017-01-13T20:02:00Z</dcterms:created>
  <dcterms:modified xsi:type="dcterms:W3CDTF">2017-01-13T20:02:00Z</dcterms:modified>
</cp:coreProperties>
</file>