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6D" w:rsidRPr="00EB6A6D" w:rsidRDefault="00EB6A6D" w:rsidP="00EB6A6D">
      <w:pPr>
        <w:spacing w:before="100" w:beforeAutospacing="1" w:after="100" w:afterAutospacing="1" w:line="240" w:lineRule="auto"/>
        <w:jc w:val="center"/>
        <w:textAlignment w:val="top"/>
        <w:outlineLvl w:val="2"/>
        <w:rPr>
          <w:rFonts w:ascii="Verdana" w:eastAsia="Times New Roman" w:hAnsi="Verdana" w:cs="Times New Roman"/>
          <w:b/>
          <w:bCs/>
          <w:color w:val="333333"/>
          <w:sz w:val="17"/>
          <w:szCs w:val="17"/>
          <w:lang w:eastAsia="uk-UA"/>
        </w:rPr>
      </w:pPr>
      <w:r w:rsidRPr="00EB6A6D">
        <w:rPr>
          <w:rFonts w:ascii="Verdana" w:eastAsia="Times New Roman" w:hAnsi="Verdana" w:cs="Times New Roman"/>
          <w:b/>
          <w:bCs/>
          <w:color w:val="333333"/>
          <w:sz w:val="17"/>
          <w:szCs w:val="17"/>
          <w:lang w:eastAsia="uk-UA"/>
        </w:rPr>
        <w:t>Б. В. Кіндюк, Доктрини українського лісового права та їх відображення в нормативно - правових актах</w:t>
      </w:r>
    </w:p>
    <w:p w:rsidR="00EB6A6D" w:rsidRPr="00EB6A6D" w:rsidRDefault="00EB6A6D" w:rsidP="00EB6A6D">
      <w:pPr>
        <w:spacing w:after="0" w:line="240" w:lineRule="auto"/>
        <w:textAlignment w:val="top"/>
        <w:rPr>
          <w:rFonts w:ascii="Verdana" w:eastAsia="Times New Roman" w:hAnsi="Verdana" w:cs="Times New Roman"/>
          <w:color w:val="333333"/>
          <w:sz w:val="17"/>
          <w:szCs w:val="17"/>
          <w:lang w:eastAsia="uk-UA"/>
        </w:rPr>
      </w:pPr>
    </w:p>
    <w:p w:rsidR="00EB6A6D" w:rsidRPr="00EB6A6D" w:rsidRDefault="00EB6A6D" w:rsidP="00EB6A6D">
      <w:pPr>
        <w:spacing w:after="0" w:line="240" w:lineRule="auto"/>
        <w:textAlignment w:val="top"/>
        <w:rPr>
          <w:rFonts w:ascii="Verdana" w:eastAsia="Times New Roman" w:hAnsi="Verdana" w:cs="Times New Roman"/>
          <w:color w:val="333333"/>
          <w:sz w:val="17"/>
          <w:szCs w:val="17"/>
          <w:lang w:eastAsia="uk-UA"/>
        </w:rPr>
      </w:pPr>
      <w:r w:rsidRPr="00EB6A6D">
        <w:rPr>
          <w:rFonts w:ascii="Verdana" w:eastAsia="Times New Roman" w:hAnsi="Verdana" w:cs="Times New Roman"/>
          <w:color w:val="333333"/>
          <w:sz w:val="17"/>
          <w:szCs w:val="17"/>
          <w:lang w:eastAsia="uk-UA"/>
        </w:rPr>
        <w:t>У статті розглянуті ліберальна, еклектична, релігійна й інтервенціоністська доктрини, що діяли на різних історичних етапах становлення лісового права. Показано їх відображення в законодавчих актах. Запропоновано виділити три варіанти інтервенціоністської доктрини: жорсткий, помірний і м'який.</w:t>
      </w:r>
      <w:r w:rsidRPr="00EB6A6D">
        <w:rPr>
          <w:rFonts w:ascii="Verdana" w:eastAsia="Times New Roman" w:hAnsi="Verdana" w:cs="Times New Roman"/>
          <w:color w:val="333333"/>
          <w:sz w:val="17"/>
          <w:szCs w:val="17"/>
          <w:lang w:eastAsia="uk-UA"/>
        </w:rPr>
        <w:br/>
        <w:t>Ключові слова: джерело права, правова доктрина, лісове законодавство, нормативно-правовий акт.</w:t>
      </w:r>
      <w:r w:rsidRPr="00EB6A6D">
        <w:rPr>
          <w:rFonts w:ascii="Verdana" w:eastAsia="Times New Roman" w:hAnsi="Verdana" w:cs="Times New Roman"/>
          <w:color w:val="333333"/>
          <w:sz w:val="17"/>
          <w:szCs w:val="17"/>
          <w:lang w:eastAsia="uk-UA"/>
        </w:rPr>
        <w:br/>
        <w:t>В статье рассмотрены либеральная, эклектическая, религиозная и интервенционистская доктрины, действовавшие на различных исторических этапах становления лесного права. Показано их отражение в законодательных актах. Предложено выделить три варианта интервенционистской доктрины: жесткий, умеренный и мягкий.</w:t>
      </w:r>
      <w:r w:rsidRPr="00EB6A6D">
        <w:rPr>
          <w:rFonts w:ascii="Verdana" w:eastAsia="Times New Roman" w:hAnsi="Verdana" w:cs="Times New Roman"/>
          <w:color w:val="333333"/>
          <w:sz w:val="17"/>
          <w:szCs w:val="17"/>
          <w:lang w:eastAsia="uk-UA"/>
        </w:rPr>
        <w:br/>
        <w:t>Ключевые слова: источник права, правовая доктрина, лесное законодательство, нормативно-правовой акт.</w:t>
      </w:r>
      <w:r w:rsidRPr="00EB6A6D">
        <w:rPr>
          <w:rFonts w:ascii="Verdana" w:eastAsia="Times New Roman" w:hAnsi="Verdana" w:cs="Times New Roman"/>
          <w:color w:val="333333"/>
          <w:sz w:val="17"/>
          <w:szCs w:val="17"/>
          <w:lang w:eastAsia="uk-UA"/>
        </w:rPr>
        <w:br/>
        <w:t xml:space="preserve">Religious, liberal, eclectic and interventionist doctrines of the Forest Law for different historical stages are analyzed in the article.Its reflection in the legislation is revealed. It is proposed to identify three variants of the interventionist doctrine: the hard, moderate and mild. Keywords: source of law, legal doctrine, Forest law, legislation. </w:t>
      </w:r>
      <w:r w:rsidRPr="00EB6A6D">
        <w:rPr>
          <w:rFonts w:ascii="Verdana" w:eastAsia="Times New Roman" w:hAnsi="Verdana" w:cs="Times New Roman"/>
          <w:color w:val="333333"/>
          <w:sz w:val="17"/>
          <w:szCs w:val="17"/>
          <w:lang w:eastAsia="uk-UA"/>
        </w:rPr>
        <w:br/>
        <w:t>Актуальність теми дослідження пов'язана з посиленням значення доктрини права як одного з джерел сучасного права. По-перше, історичний розвиток правової доктрини в юридичній науці засвідчив наявність у неї низки особливостей. У радянському праві доктрина формально не розглядалась як джерело права, але фактично засновані на комуністичній ідеології док- тринальні положення про націоналізацію лісів, виключну державну власність, державний характер управління визначали спрямованість лісового законодавства.</w:t>
      </w:r>
      <w:r w:rsidRPr="00EB6A6D">
        <w:rPr>
          <w:rFonts w:ascii="Verdana" w:eastAsia="Times New Roman" w:hAnsi="Verdana" w:cs="Times New Roman"/>
          <w:color w:val="333333"/>
          <w:sz w:val="17"/>
          <w:szCs w:val="17"/>
          <w:lang w:eastAsia="uk-UA"/>
        </w:rPr>
        <w:br/>
        <w:t>По-друге, сьогодні українське лісове право перебуває не в кращому стані, відрізняючись як внутрішньою колізійністю, так і колізіями з нормами інших галузей права. Однією з причин такого стану речей є відсутність його національної доктрини.</w:t>
      </w:r>
      <w:r w:rsidRPr="00EB6A6D">
        <w:rPr>
          <w:rFonts w:ascii="Verdana" w:eastAsia="Times New Roman" w:hAnsi="Verdana" w:cs="Times New Roman"/>
          <w:color w:val="333333"/>
          <w:sz w:val="17"/>
          <w:szCs w:val="17"/>
          <w:lang w:eastAsia="uk-UA"/>
        </w:rPr>
        <w:br/>
        <w:t>По-третє, є багатовіковий історичний досвід розробки і використання різних доктрин у лісовому праві, що може бути використаний для вироблення сучасної національної лісової політики і національної доктрини лісового права.</w:t>
      </w:r>
      <w:r w:rsidRPr="00EB6A6D">
        <w:rPr>
          <w:rFonts w:ascii="Verdana" w:eastAsia="Times New Roman" w:hAnsi="Verdana" w:cs="Times New Roman"/>
          <w:color w:val="333333"/>
          <w:sz w:val="17"/>
          <w:szCs w:val="17"/>
          <w:lang w:eastAsia="uk-UA"/>
        </w:rPr>
        <w:br/>
        <w:t>Із загальнотеоретичних позицій проблема доктрини в праві досліджена в працях М. В. Баглая, С. В. Бошно, А. А. Васильєва, Р. Давида, С. А. Карапетяна,</w:t>
      </w:r>
      <w:r w:rsidRPr="00EB6A6D">
        <w:rPr>
          <w:rFonts w:ascii="Verdana" w:eastAsia="Times New Roman" w:hAnsi="Verdana" w:cs="Times New Roman"/>
          <w:color w:val="333333"/>
          <w:sz w:val="17"/>
          <w:szCs w:val="17"/>
          <w:lang w:eastAsia="uk-UA"/>
        </w:rPr>
        <w:br/>
        <w:t>С. І. Кобзевої, В. В. Лазарєва, С. А. Муромцева, В. С. Нерсесянца, Н. М. Пархоменко, Л. І. Петражицького, О. Ф. Скакун, Р. Давида і Ж. Спінози та інших учених. При цьому в науці лісового права питання доктринальних учень лише фрагментарно досліджувалися в працях Ю. О. Вовка,</w:t>
      </w:r>
      <w:r w:rsidRPr="00EB6A6D">
        <w:rPr>
          <w:rFonts w:ascii="Verdana" w:eastAsia="Times New Roman" w:hAnsi="Verdana" w:cs="Times New Roman"/>
          <w:color w:val="333333"/>
          <w:sz w:val="17"/>
          <w:szCs w:val="17"/>
          <w:lang w:eastAsia="uk-UA"/>
        </w:rPr>
        <w:br/>
        <w:t>В. Ф. Горбового, Л. І. Дембо, В. П. Непий- води. З огляду на це, питання дослідження правових доктрин, пов'язаних з лісами, є в юридичній науці своєрідною білою плямою і потребує подальшої розробки.</w:t>
      </w:r>
      <w:r w:rsidRPr="00EB6A6D">
        <w:rPr>
          <w:rFonts w:ascii="Verdana" w:eastAsia="Times New Roman" w:hAnsi="Verdana" w:cs="Times New Roman"/>
          <w:color w:val="333333"/>
          <w:sz w:val="17"/>
          <w:szCs w:val="17"/>
          <w:lang w:eastAsia="uk-UA"/>
        </w:rPr>
        <w:br/>
        <w:t>Метою цієї роботи є дослідження доктрин лісового права, що вплинули на спрямованість і зміст лісового законодавства.</w:t>
      </w:r>
      <w:r w:rsidRPr="00EB6A6D">
        <w:rPr>
          <w:rFonts w:ascii="Verdana" w:eastAsia="Times New Roman" w:hAnsi="Verdana" w:cs="Times New Roman"/>
          <w:color w:val="333333"/>
          <w:sz w:val="17"/>
          <w:szCs w:val="17"/>
          <w:lang w:eastAsia="uk-UA"/>
        </w:rPr>
        <w:br/>
        <w:t xml:space="preserve">У праці В. П. Непийводи ідеться про три правові доктрини, що стосуються лісів: ліберальну, еклектичну та інтервенціоністську [8, с. 100]. Аналіз джерел лісового права свідчить, що, по-перше, до них потрібно додати четверту - релігійну доктрину. Вірування людей, поклоніння силам природи, в тому числі лісам і деревам, уплинуло на становлення норм лісового права. По-друге, інтервенціоністська доктрина не є цільним монолітним ученням. Наприклад, у СРСР, де інтервенціоністська доктрина права була головною, існували стосовно лісів як досить м'які, так і дуже жорсткі ідеї. На рис. 1 подано класифікацію доктрин лісового права, яку ми пропонуємо. </w:t>
      </w:r>
      <w:r w:rsidRPr="00EB6A6D">
        <w:rPr>
          <w:rFonts w:ascii="Verdana" w:eastAsia="Times New Roman" w:hAnsi="Verdana" w:cs="Times New Roman"/>
          <w:color w:val="333333"/>
          <w:sz w:val="17"/>
          <w:szCs w:val="17"/>
          <w:lang w:eastAsia="uk-UA"/>
        </w:rPr>
        <w:br/>
        <w:t>Рис. 1. Класифікація доктрин лісового права</w:t>
      </w:r>
      <w:r w:rsidRPr="00EB6A6D">
        <w:rPr>
          <w:rFonts w:ascii="Verdana" w:eastAsia="Times New Roman" w:hAnsi="Verdana" w:cs="Times New Roman"/>
          <w:color w:val="333333"/>
          <w:sz w:val="17"/>
          <w:szCs w:val="17"/>
          <w:lang w:eastAsia="uk-UA"/>
        </w:rPr>
        <w:br/>
      </w:r>
      <w:r>
        <w:rPr>
          <w:rFonts w:ascii="Verdana" w:eastAsia="Times New Roman" w:hAnsi="Verdana" w:cs="Times New Roman"/>
          <w:noProof/>
          <w:color w:val="333333"/>
          <w:sz w:val="17"/>
          <w:szCs w:val="17"/>
          <w:lang w:eastAsia="uk-UA"/>
        </w:rPr>
        <w:drawing>
          <wp:inline distT="0" distB="0" distL="0" distR="0">
            <wp:extent cx="5050155" cy="2339340"/>
            <wp:effectExtent l="0" t="0" r="0" b="3810"/>
            <wp:docPr id="2" name="Рисунок 2" descr="http://pravoznavec.com.ua/images/referat/pravoznavez/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voznavec.com.ua/images/referat/pravoznavez/4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0155" cy="2339340"/>
                    </a:xfrm>
                    <a:prstGeom prst="rect">
                      <a:avLst/>
                    </a:prstGeom>
                    <a:noFill/>
                    <a:ln>
                      <a:noFill/>
                    </a:ln>
                  </pic:spPr>
                </pic:pic>
              </a:graphicData>
            </a:graphic>
          </wp:inline>
        </w:drawing>
      </w:r>
      <w:r w:rsidRPr="00EB6A6D">
        <w:rPr>
          <w:rFonts w:ascii="Verdana" w:eastAsia="Times New Roman" w:hAnsi="Verdana" w:cs="Times New Roman"/>
          <w:color w:val="333333"/>
          <w:sz w:val="17"/>
          <w:szCs w:val="17"/>
          <w:lang w:eastAsia="uk-UA"/>
        </w:rPr>
        <w:br/>
        <w:t>Релігійна правова доктрина</w:t>
      </w:r>
      <w:r w:rsidRPr="00EB6A6D">
        <w:rPr>
          <w:rFonts w:ascii="Verdana" w:eastAsia="Times New Roman" w:hAnsi="Verdana" w:cs="Times New Roman"/>
          <w:color w:val="333333"/>
          <w:sz w:val="17"/>
          <w:szCs w:val="17"/>
          <w:lang w:eastAsia="uk-UA"/>
        </w:rPr>
        <w:br/>
        <w:t>До числа найдавніших належить релігійна язичницька доктрина поклоніння природі. Основний її постулат - обожнення лісів, виділення особливих священних гаїв, у яких заборонялося рубати дерева, полювати, збирати плоди, будь- яке лісокористування і навіть рвати квіти [2, с. 217]. Частиною доктрини було обожнення окремих дерев, біля яких стародавні слов'яни провадили військові ради і приносили жертви - плоди дерев, квіти.</w:t>
      </w:r>
      <w:r w:rsidRPr="00EB6A6D">
        <w:rPr>
          <w:rFonts w:ascii="Verdana" w:eastAsia="Times New Roman" w:hAnsi="Verdana" w:cs="Times New Roman"/>
          <w:color w:val="333333"/>
          <w:sz w:val="17"/>
          <w:szCs w:val="17"/>
          <w:lang w:eastAsia="uk-UA"/>
        </w:rPr>
        <w:br/>
        <w:t xml:space="preserve">Як зазначає В. Є. Борейко, перші суди в стародавніх слов'ян відбувалися в хащах, де в тиші дерев приймалося справедливе рішення [3, с. 180]. Прикладом такого об'єкта вчений вважає старовинний </w:t>
      </w:r>
      <w:r w:rsidRPr="00EB6A6D">
        <w:rPr>
          <w:rFonts w:ascii="Verdana" w:eastAsia="Times New Roman" w:hAnsi="Verdana" w:cs="Times New Roman"/>
          <w:color w:val="333333"/>
          <w:sz w:val="17"/>
          <w:szCs w:val="17"/>
          <w:lang w:eastAsia="uk-UA"/>
        </w:rPr>
        <w:lastRenderedPageBreak/>
        <w:t>Шулявський гай на р. Либідь у м. Києві, що був вирубаний у період громадянської війни.</w:t>
      </w:r>
      <w:r w:rsidRPr="00EB6A6D">
        <w:rPr>
          <w:rFonts w:ascii="Verdana" w:eastAsia="Times New Roman" w:hAnsi="Verdana" w:cs="Times New Roman"/>
          <w:color w:val="333333"/>
          <w:sz w:val="17"/>
          <w:szCs w:val="17"/>
          <w:lang w:eastAsia="uk-UA"/>
        </w:rPr>
        <w:br/>
        <w:t>Прийняття християнства не змінило бережливого і поважного ставлення до лісів. В історії лісового права відомі випадки, коли природні об'єкти вдалося зберегти лише завдяки патронату та їх захисту з боку церкви. Найбільш характерним прикладом є Буковина, де до розпаду Австрійської імперії 50,2 % лісів належало церкві [4, с. 89]. Велика частина лісів збереглася дотепер, і лісистість Чернівецької області на сьогодні становить 30 %. Аналогічна ситуація склалася зі Святогір- ською лаврою, на території якої завдяки турботі ченців удалося зберегти унікальний природний об'єкт - нині Національний природний парк «Святі Гори».</w:t>
      </w:r>
      <w:r w:rsidRPr="00EB6A6D">
        <w:rPr>
          <w:rFonts w:ascii="Verdana" w:eastAsia="Times New Roman" w:hAnsi="Verdana" w:cs="Times New Roman"/>
          <w:color w:val="333333"/>
          <w:sz w:val="17"/>
          <w:szCs w:val="17"/>
          <w:lang w:eastAsia="uk-UA"/>
        </w:rPr>
        <w:br/>
        <w:t>Ця доктрина вплинула на сучасне правове регулювання статусу об'єктів природно-заповідного фонду, створення екологічної мережі, внесення в Червону книгу багатьох видів дерев.</w:t>
      </w:r>
      <w:r w:rsidRPr="00EB6A6D">
        <w:rPr>
          <w:rFonts w:ascii="Verdana" w:eastAsia="Times New Roman" w:hAnsi="Verdana" w:cs="Times New Roman"/>
          <w:color w:val="333333"/>
          <w:sz w:val="17"/>
          <w:szCs w:val="17"/>
          <w:lang w:eastAsia="uk-UA"/>
        </w:rPr>
        <w:br/>
        <w:t>Ліберальна доктрина</w:t>
      </w:r>
      <w:r w:rsidRPr="00EB6A6D">
        <w:rPr>
          <w:rFonts w:ascii="Verdana" w:eastAsia="Times New Roman" w:hAnsi="Verdana" w:cs="Times New Roman"/>
          <w:color w:val="333333"/>
          <w:sz w:val="17"/>
          <w:szCs w:val="17"/>
          <w:lang w:eastAsia="uk-UA"/>
        </w:rPr>
        <w:br/>
        <w:t>Лібералізм у своєму класичному вигляді ґрунтується на визнанні невтручання держави в економічні відносини. Стосовно лісової галузі ліберальні ідеї означали зняття будь-якого контролю з боку держави за станом і використанням лісів. У Росії ці ідеї знайшли підтримку в імператриці Катерини II. Їх практичною реалізацією стало видання 22 вересня 1782 р. імператорського указу, відповідно до якого приватні ліси виводилися з-під державного контролю і передавалися в повне розпорядження їхніх власників [5, с. 86]. При цьому законодавчий акт не ставив перед власниками лісів жодних умов з лісокористування, навіть у тих випадках, коли раніше такі ліси визнавалися заповідними.</w:t>
      </w:r>
      <w:r w:rsidRPr="00EB6A6D">
        <w:rPr>
          <w:rFonts w:ascii="Verdana" w:eastAsia="Times New Roman" w:hAnsi="Verdana" w:cs="Times New Roman"/>
          <w:color w:val="333333"/>
          <w:sz w:val="17"/>
          <w:szCs w:val="17"/>
          <w:lang w:eastAsia="uk-UA"/>
        </w:rPr>
        <w:br/>
        <w:t>Іншим прикладом використання в лісовому законодавстві цієї правової доктрини, як зазначає В. П. Непийвода, став прусський Лісовий закон 1811 р. [8, с. 101]. Його видання було багато в чому справою вимушеною. Переможена Наполеоном Пруссія повинна була виплачувати велику контрибуцію, кошти для якої було вирішено знайти від продажу державних лісів. Уряду довелося стимулювати потенційних покупців прийняттям закону про невтручання держави в експлуатацію приватних лісів.</w:t>
      </w:r>
      <w:r w:rsidRPr="00EB6A6D">
        <w:rPr>
          <w:rFonts w:ascii="Verdana" w:eastAsia="Times New Roman" w:hAnsi="Verdana" w:cs="Times New Roman"/>
          <w:color w:val="333333"/>
          <w:sz w:val="17"/>
          <w:szCs w:val="17"/>
          <w:lang w:eastAsia="uk-UA"/>
        </w:rPr>
        <w:br/>
        <w:t>В обох випадках ліберальне лісове законодавство призвело до тяжких наслідків. Російські поміщики почали без жалю вирубувати належні їм ліси і вивозити деревину на експорт. За словами українського лісівника Б. Г. Іваницького, указ від 22 вересня 1782 р. завершив історію охорони лісів у Росії і почав історію знищення приватних лісів їхніми власниками [5, с. 86]. Згодом російські імперські власті швидко зрозуміли негативні наслідки цього законодавчого акта й фактично призупинили його дію прийняттям у 1802 р. Лісового статуту. Аналогічним чином повелися німецькі власті, що в 1875 р. скасували закон 1811 р. і ввели новий закон, побудований на принципово іншій правовій доктрині.</w:t>
      </w:r>
      <w:r w:rsidRPr="00EB6A6D">
        <w:rPr>
          <w:rFonts w:ascii="Verdana" w:eastAsia="Times New Roman" w:hAnsi="Verdana" w:cs="Times New Roman"/>
          <w:color w:val="333333"/>
          <w:sz w:val="17"/>
          <w:szCs w:val="17"/>
          <w:lang w:eastAsia="uk-UA"/>
        </w:rPr>
        <w:br/>
        <w:t>Еклектична правова доктрина</w:t>
      </w:r>
      <w:r w:rsidRPr="00EB6A6D">
        <w:rPr>
          <w:rFonts w:ascii="Verdana" w:eastAsia="Times New Roman" w:hAnsi="Verdana" w:cs="Times New Roman"/>
          <w:color w:val="333333"/>
          <w:sz w:val="17"/>
          <w:szCs w:val="17"/>
          <w:lang w:eastAsia="uk-UA"/>
        </w:rPr>
        <w:br/>
        <w:t>Еклектична доктрина лісового права застосовувалася в країнах, де основна маса лісів перебувала в приватних руках. На українських землях у складі Російської імперії приватним власникам належало дві третини лісів, а в окупованій Австрією Галичині приватні ліси становили 80 % [4, с. 89]. Приватні власники лісів самостійно вели господарську діяльність, дотримуючись встановлених державою норм. Будь-які обмеження прав власників означали одержання ними компенсації з боку держави. Але і порушення норм власниками лісів своїм наслідком могло мати конфіскацію лісу.</w:t>
      </w:r>
      <w:r w:rsidRPr="00EB6A6D">
        <w:rPr>
          <w:rFonts w:ascii="Verdana" w:eastAsia="Times New Roman" w:hAnsi="Verdana" w:cs="Times New Roman"/>
          <w:color w:val="333333"/>
          <w:sz w:val="17"/>
          <w:szCs w:val="17"/>
          <w:lang w:eastAsia="uk-UA"/>
        </w:rPr>
        <w:br/>
        <w:t>Еклектична доктрина відображена в австрійському законі про ліси (Reichsforstgesetz) 1852 р., що діяв на західноукраїнських землях до розвалу Австро- Угорщини в 1918 р. [8, с. 103]. Галицький крайовий сейм на підставі цього закону мав право приймати місцеві норми з використання лісів. Другим прикладом реалізації цієї доктрини є російське «Положення про збереження лісів» 1888 р. [9]. Обидва закони досить м'яко регламентували втручання влади в дію власників приватних лісів. Так, згідно із статтею 12 російського положення 1888 р. лісовласник, що бажав розчистити ліс, повинен був одержати дозвіл губернського Лісоохоронного комітету. Передбачалася мовчазна згода комітету на ці дії, якщо протягом 6 місяців він не приймав ніякого рішення.</w:t>
      </w:r>
      <w:r w:rsidRPr="00EB6A6D">
        <w:rPr>
          <w:rFonts w:ascii="Verdana" w:eastAsia="Times New Roman" w:hAnsi="Verdana" w:cs="Times New Roman"/>
          <w:color w:val="333333"/>
          <w:sz w:val="17"/>
          <w:szCs w:val="17"/>
          <w:lang w:eastAsia="uk-UA"/>
        </w:rPr>
        <w:br/>
        <w:t>Більшість питань, пов'язаних з експлуатацією лісів, ст. 29 положення покладала на губернські органи управління, що називалися лісоохоронними комітетами: право на визнання лісів захисними, затвердження технічних планів, переведення лісових площ в інші, установлення термінів відновлення лісів тощо.</w:t>
      </w:r>
      <w:r w:rsidRPr="00EB6A6D">
        <w:rPr>
          <w:rFonts w:ascii="Verdana" w:eastAsia="Times New Roman" w:hAnsi="Verdana" w:cs="Times New Roman"/>
          <w:color w:val="333333"/>
          <w:sz w:val="17"/>
          <w:szCs w:val="17"/>
          <w:lang w:eastAsia="uk-UA"/>
        </w:rPr>
        <w:br/>
        <w:t>На підставі еклектичної правової доктрини побудував модель організаційно- правового регулювання лісової галузі міністр земельних справ УНР М. Ю. Шапо- вал [13, с. 32]. Наукові ідеї цього державного діяча знайшли відображення в законі «Про ліси в УНР», затвердженому Директорією 13 січня 1919 р. [6, с. 57]. Закон передбачав право приватної власності на лісові ділянки з площею до 15 га (ст. 5). Примітка до цієї статті давала змогу виплати компенсації колишнім власникам лісів при їх переході в державну власність. Закон зберігав право власності на ліси, що перебували в користуванні органів місцевого самоврядування, земств і селян. У таких випадках розмір лісової ділянки не обговорювався. Закон зобов'язував користувачів виконувати цілу низку вимог з охорони і захисту лісів, раціонального використання і розширення їхніх площ.</w:t>
      </w:r>
      <w:r w:rsidRPr="00EB6A6D">
        <w:rPr>
          <w:rFonts w:ascii="Verdana" w:eastAsia="Times New Roman" w:hAnsi="Verdana" w:cs="Times New Roman"/>
          <w:color w:val="333333"/>
          <w:sz w:val="17"/>
          <w:szCs w:val="17"/>
          <w:lang w:eastAsia="uk-UA"/>
        </w:rPr>
        <w:br/>
        <w:t>Інтервенціоністська правова доктрина</w:t>
      </w:r>
      <w:r w:rsidRPr="00EB6A6D">
        <w:rPr>
          <w:rFonts w:ascii="Verdana" w:eastAsia="Times New Roman" w:hAnsi="Verdana" w:cs="Times New Roman"/>
          <w:color w:val="333333"/>
          <w:sz w:val="17"/>
          <w:szCs w:val="17"/>
          <w:lang w:eastAsia="uk-UA"/>
        </w:rPr>
        <w:br/>
        <w:t>Сьогодні ця доктрина є найбільш поширеною, і на її основі будуються лісові правовідносини в більшості країн світу. Її характерні риси:</w:t>
      </w:r>
      <w:r w:rsidRPr="00EB6A6D">
        <w:rPr>
          <w:rFonts w:ascii="Verdana" w:eastAsia="Times New Roman" w:hAnsi="Verdana" w:cs="Times New Roman"/>
          <w:color w:val="333333"/>
          <w:sz w:val="17"/>
          <w:szCs w:val="17"/>
          <w:lang w:eastAsia="uk-UA"/>
        </w:rPr>
        <w:br/>
        <w:t>I. Пряме втручання держави в процес господарювання в лісах;</w:t>
      </w:r>
      <w:r w:rsidRPr="00EB6A6D">
        <w:rPr>
          <w:rFonts w:ascii="Verdana" w:eastAsia="Times New Roman" w:hAnsi="Verdana" w:cs="Times New Roman"/>
          <w:color w:val="333333"/>
          <w:sz w:val="17"/>
          <w:szCs w:val="17"/>
          <w:lang w:eastAsia="uk-UA"/>
        </w:rPr>
        <w:br/>
        <w:t>II. Розгляд лісів як економічно значимого для суспільства, державної влади чи правлячої еліти природного ресурсу;</w:t>
      </w:r>
      <w:r w:rsidRPr="00EB6A6D">
        <w:rPr>
          <w:rFonts w:ascii="Verdana" w:eastAsia="Times New Roman" w:hAnsi="Verdana" w:cs="Times New Roman"/>
          <w:color w:val="333333"/>
          <w:sz w:val="17"/>
          <w:szCs w:val="17"/>
          <w:lang w:eastAsia="uk-UA"/>
        </w:rPr>
        <w:br/>
        <w:t>III. Пріоритет публічних екологічних інтересів на шкоду інтересам індивіда. Як показує історія радянського лісового права, ігнорування приватного інтересу в остаточному підсумку призводить до повної зневаги інтересів суспільства;</w:t>
      </w:r>
      <w:r w:rsidRPr="00EB6A6D">
        <w:rPr>
          <w:rFonts w:ascii="Verdana" w:eastAsia="Times New Roman" w:hAnsi="Verdana" w:cs="Times New Roman"/>
          <w:color w:val="333333"/>
          <w:sz w:val="17"/>
          <w:szCs w:val="17"/>
          <w:lang w:eastAsia="uk-UA"/>
        </w:rPr>
        <w:br/>
        <w:t>IV. Широке використання адміністративного методу правового регулювання. Найбільш яскраво цей метод виявився в лісовому законодавстві Російської імперії і законодавстві СРСР. У той же час слід відзначити варіанти адміністративного регулювання, одним з яких був пріоритет лісокористування, другим - лісоохорона. Виділимо три варіанти цієї доктрини: жорсткий, помірний і м'який.</w:t>
      </w:r>
      <w:r w:rsidRPr="00EB6A6D">
        <w:rPr>
          <w:rFonts w:ascii="Verdana" w:eastAsia="Times New Roman" w:hAnsi="Verdana" w:cs="Times New Roman"/>
          <w:color w:val="333333"/>
          <w:sz w:val="17"/>
          <w:szCs w:val="17"/>
          <w:lang w:eastAsia="uk-UA"/>
        </w:rPr>
        <w:br/>
        <w:t xml:space="preserve">Жорстка інтервенціоністська доктрина відображена в лісовому законодавстві Петра І і в перших декретах радянської влади в Росії (радянські органи влади України багато в чому їх копіювали). Петровське законодавство встановлювало монополію держави на використання лісів незалежно від юридичного </w:t>
      </w:r>
      <w:r w:rsidRPr="00EB6A6D">
        <w:rPr>
          <w:rFonts w:ascii="Verdana" w:eastAsia="Times New Roman" w:hAnsi="Verdana" w:cs="Times New Roman"/>
          <w:color w:val="333333"/>
          <w:sz w:val="17"/>
          <w:szCs w:val="17"/>
          <w:lang w:eastAsia="uk-UA"/>
        </w:rPr>
        <w:lastRenderedPageBreak/>
        <w:t>оформлення права власності на них. Відповідно до указу від 19 листопада 1703 р. мав відбутися опис усіх лісів незалежно від того, кому вони належали [10, с. 39]. Указом від 29 квітня 1718 р. власники лісів зобов'язувалися повідомляти Адміралтейство про наявність у їхніх лісах щоглових дерев [10, с. 60]. На додаток до цього 14 листопада 1721 р. було прийняте рішення про премії за знаходження щоглових дерев [10, с. 60]. Приватні власники не одержували ніякої компенсації за вирубування таких дерев.</w:t>
      </w:r>
      <w:r w:rsidRPr="00EB6A6D">
        <w:rPr>
          <w:rFonts w:ascii="Verdana" w:eastAsia="Times New Roman" w:hAnsi="Verdana" w:cs="Times New Roman"/>
          <w:color w:val="333333"/>
          <w:sz w:val="17"/>
          <w:szCs w:val="17"/>
          <w:lang w:eastAsia="uk-UA"/>
        </w:rPr>
        <w:br/>
        <w:t>У законодавчих актах СРСР передбачалося вирубування лісу вздовж річок, шосе, залізниць на відстані 10 верст, потім ця смуга була розширена до 20 верст [7, с. 30].</w:t>
      </w:r>
      <w:r w:rsidRPr="00EB6A6D">
        <w:rPr>
          <w:rFonts w:ascii="Verdana" w:eastAsia="Times New Roman" w:hAnsi="Verdana" w:cs="Times New Roman"/>
          <w:color w:val="333333"/>
          <w:sz w:val="17"/>
          <w:szCs w:val="17"/>
          <w:lang w:eastAsia="uk-UA"/>
        </w:rPr>
        <w:br/>
        <w:t>Іншим прикладом жорсткої доктрини є акти, що регламентували знищення українських лісів у 1930 - 1940-х рр., післявоєнні масові вирубування в українських Карпатах. Ці законодавчі акти будувалися на псевдонаукових теоріях Т. Лисенка. Їхня суть зводилася до максимального використання природи з метою побудови соціалізму.</w:t>
      </w:r>
      <w:r w:rsidRPr="00EB6A6D">
        <w:rPr>
          <w:rFonts w:ascii="Verdana" w:eastAsia="Times New Roman" w:hAnsi="Verdana" w:cs="Times New Roman"/>
          <w:color w:val="333333"/>
          <w:sz w:val="17"/>
          <w:szCs w:val="17"/>
          <w:lang w:eastAsia="uk-UA"/>
        </w:rPr>
        <w:br/>
        <w:t>Жорстка правова доктрина для українських лісів мала катастрофічні наслідки. За даними відомого українського еколога В. Є. Борейка, дуже постраждали ліси Київщини, Черкащини, Поділля, а в українських Карпатах до 1956 р. було знищено 20 % усіх лісових площ [2, с. 276].</w:t>
      </w:r>
      <w:r w:rsidRPr="00EB6A6D">
        <w:rPr>
          <w:rFonts w:ascii="Verdana" w:eastAsia="Times New Roman" w:hAnsi="Verdana" w:cs="Times New Roman"/>
          <w:color w:val="333333"/>
          <w:sz w:val="17"/>
          <w:szCs w:val="17"/>
          <w:lang w:eastAsia="uk-UA"/>
        </w:rPr>
        <w:br/>
        <w:t>Другий варіант інтервенціоністської доктрини - помірний. На відміну від жорсткої доктрини він передбачає охорону і поновлення лісів з частковим збереженням важелів державного впливу на лісокористувачів і контролем за їхньою діяльністю. Помірний варіант інтервенціоністської доктрини відображений у т. зв. ленінському декреті «Про ліси» від 14(27) травня 1918 р. [7, с. 9], законі «Про ліси УРСР» 1923 р. [1, с. 3]. Ці акти регламентували переведення лісових земель в інші категорії, технічну об- лаштованість лісів, обмеження господарювання в захисних лісах, лісовідтворен- ня. Одночасно з цим обидва документи ґрунтувалися на принципах націоналізації лісів, виключній державній власності, державному способі управління.</w:t>
      </w:r>
      <w:r w:rsidRPr="00EB6A6D">
        <w:rPr>
          <w:rFonts w:ascii="Verdana" w:eastAsia="Times New Roman" w:hAnsi="Verdana" w:cs="Times New Roman"/>
          <w:color w:val="333333"/>
          <w:sz w:val="17"/>
          <w:szCs w:val="17"/>
          <w:lang w:eastAsia="uk-UA"/>
        </w:rPr>
        <w:br/>
        <w:t>Помірна інтервенціоністська доктрина, відображена в Лісовому кодексі УРСР 1979 р., передбачала елементи раціонального ведення лісового господарства, виділення особливо захисних ділянок лісу, обмеження вирубки і переведення лісових площ в інші види угідь.</w:t>
      </w:r>
      <w:r w:rsidRPr="00EB6A6D">
        <w:rPr>
          <w:rFonts w:ascii="Verdana" w:eastAsia="Times New Roman" w:hAnsi="Verdana" w:cs="Times New Roman"/>
          <w:color w:val="333333"/>
          <w:sz w:val="17"/>
          <w:szCs w:val="17"/>
          <w:lang w:eastAsia="uk-UA"/>
        </w:rPr>
        <w:br/>
        <w:t>Третій різновид інтервенціоністської доктрини - м'який варіант. Зразком втілення цієї доктрини є Лісовий кодекс України в редакції 2006 р. і чинне в країні лісове законодавство. Особливою рисою доктрини є гармонійний розвиток використання лісів з урахуванням екологічних, економічних й соціальних інтересів суспільства. Другий критерій - закріплення права громадськості впливати на прийняття рішень, пов'язаних з експлуатацією лісів, шляхом обговорення найбільш складних питань і участі в охороні, раціональному використанні й відновленні лісів.</w:t>
      </w:r>
      <w:r w:rsidRPr="00EB6A6D">
        <w:rPr>
          <w:rFonts w:ascii="Verdana" w:eastAsia="Times New Roman" w:hAnsi="Verdana" w:cs="Times New Roman"/>
          <w:color w:val="333333"/>
          <w:sz w:val="17"/>
          <w:szCs w:val="17"/>
          <w:lang w:eastAsia="uk-UA"/>
        </w:rPr>
        <w:br/>
        <w:t>На розвиток сучасного лісового законодавства впливають міжнародні зобов'язання України. Переважна кількість міжнародних правових актів ґрунтується на (м'яких) доктринах збалансованого обережного лісокористування, зразком цього є підписана Україною в 2003 р. «Рамкова конвенція про охорону та сталий розвиток Карпат» [12, с. 160].</w:t>
      </w:r>
      <w:r w:rsidRPr="00EB6A6D">
        <w:rPr>
          <w:rFonts w:ascii="Verdana" w:eastAsia="Times New Roman" w:hAnsi="Verdana" w:cs="Times New Roman"/>
          <w:color w:val="333333"/>
          <w:sz w:val="17"/>
          <w:szCs w:val="17"/>
          <w:lang w:eastAsia="uk-UA"/>
        </w:rPr>
        <w:br/>
        <w:t>Розгляд різних доктрин лісового права підтверджує висновок Є. В. Скурко про циклічну природу правових систем [11, с. 59]. Так, жорстка правова доктрина лісового права застосовувалася тричі: за часів Петра I, у період громадянської війни і в 30 - 50-х рр. минулого століття. Крім цього, дослідження історичної динаміки правових доктрин підтвердили неспроможність тези про те, що правова доктрина обов'язково повинна мати державну підтримку. Як свідчить історія розвитку лісового права, одна правова доктрина може змінити другу, а потім знову стати офіційним документом у модифікованому вигляді. Ці положення легко доводяться на прикладі релігійної правової доктрини. Стародавні традиції і правила обережного ставлення до лісів трансформувалися в правові доктрини збалансованого і раціонального використання лісів.</w:t>
      </w:r>
      <w:r w:rsidRPr="00EB6A6D">
        <w:rPr>
          <w:rFonts w:ascii="Verdana" w:eastAsia="Times New Roman" w:hAnsi="Verdana" w:cs="Times New Roman"/>
          <w:color w:val="333333"/>
          <w:sz w:val="17"/>
          <w:szCs w:val="17"/>
          <w:lang w:eastAsia="uk-UA"/>
        </w:rPr>
        <w:br/>
        <w:t>Отже, з огляду на вищевикладене, зробимо такі висновки:</w:t>
      </w:r>
      <w:r w:rsidRPr="00EB6A6D">
        <w:rPr>
          <w:rFonts w:ascii="Verdana" w:eastAsia="Times New Roman" w:hAnsi="Verdana" w:cs="Times New Roman"/>
          <w:color w:val="333333"/>
          <w:sz w:val="17"/>
          <w:szCs w:val="17"/>
          <w:lang w:eastAsia="uk-UA"/>
        </w:rPr>
        <w:br/>
        <w:t>1. В історії розвитку українського лісового законодавства діяли чотири правові доктрини: релігійна, ліберальна, еклектична й інтервенціоністська.</w:t>
      </w:r>
      <w:r w:rsidRPr="00EB6A6D">
        <w:rPr>
          <w:rFonts w:ascii="Verdana" w:eastAsia="Times New Roman" w:hAnsi="Verdana" w:cs="Times New Roman"/>
          <w:color w:val="333333"/>
          <w:sz w:val="17"/>
          <w:szCs w:val="17"/>
          <w:lang w:eastAsia="uk-UA"/>
        </w:rPr>
        <w:br/>
        <w:t>2. Релігійна доктрина будувалася на традиціях обережного ставлення до лісів, поклоніння священним гаям, окремим деревам. Прийняття християнства закріпило різні ідеї, пов'язані з охороною лісів. Вони вплинули на розвиток законодавства, що регламентує створення природного заповідного фонду, екологічної мережі, занесення особливо цінних дерев до Червоної і Зеленої книг.</w:t>
      </w:r>
      <w:r w:rsidRPr="00EB6A6D">
        <w:rPr>
          <w:rFonts w:ascii="Verdana" w:eastAsia="Times New Roman" w:hAnsi="Verdana" w:cs="Times New Roman"/>
          <w:color w:val="333333"/>
          <w:sz w:val="17"/>
          <w:szCs w:val="17"/>
          <w:lang w:eastAsia="uk-UA"/>
        </w:rPr>
        <w:br/>
        <w:t>3. Ліберальна доктрина, побудована на повному усуненні держави в процесі контролю над лісами, знайшла своє відображення в законодавчих актах, що були прийняті за часів Катерини ІІ і пруссько- го короля Фрідріха Вільгельма. Результати використання на практиці законів, побудованих на цій правовій доктрині, виявилися шкідливими для лісів, і їх довелося скасувати.</w:t>
      </w:r>
      <w:r w:rsidRPr="00EB6A6D">
        <w:rPr>
          <w:rFonts w:ascii="Verdana" w:eastAsia="Times New Roman" w:hAnsi="Verdana" w:cs="Times New Roman"/>
          <w:color w:val="333333"/>
          <w:sz w:val="17"/>
          <w:szCs w:val="17"/>
          <w:lang w:eastAsia="uk-UA"/>
        </w:rPr>
        <w:br/>
        <w:t>4. Еклектична доктрина, що передбачає обмежений вплив держави на лісову галузь, використовувалася в тих випадках, коли основна кількість лісів перебувала в приватних руках. У такому разі вплив держави є дуже обмежений і відбувається за участі органів місцевого самоврядування. Зразками правореалізації цієї доктрини є австрійський закон «Про ліси» 1852 р., що діяв на західноукраїнських землях, російське положення «Про зберігання лісів» 1888 р., закон «Про ліси УНР» 1919 р.</w:t>
      </w:r>
      <w:r w:rsidRPr="00EB6A6D">
        <w:rPr>
          <w:rFonts w:ascii="Verdana" w:eastAsia="Times New Roman" w:hAnsi="Verdana" w:cs="Times New Roman"/>
          <w:color w:val="333333"/>
          <w:sz w:val="17"/>
          <w:szCs w:val="17"/>
          <w:lang w:eastAsia="uk-UA"/>
        </w:rPr>
        <w:br/>
        <w:t>5. Аналіз законодавства, побудованого на інтервенціоністській доктрині, підтвердив доцільність виділення трьох варіантів - жорсткого, помірного та м'якого. Характерним прикладом законодавства, побудованого на жорсткій доктрині, є закони, що прийнято за часів Петра І, ленінські декрети в період громадянської війни, а також радянське законодавство 1930 - 1950-х рр. Помірний варіант доктрини, який передбачає поновлення лісів, раціональну систему рубок, технічну облаштованість лісів, виділення особливо цінних ділянок, знайшов відображення в ленінському декреті «Про ліси» 1918 р., законі «Про ліси УРСР» 1923 р., Лісовому кодексі УРСР 1979 р. М'яка інтервенціоністська доктрина була відображена в сучасному українському лісовому законодавстві, а також підписаних Україною міжнародних документах з експлуатації лісів.</w:t>
      </w:r>
      <w:r w:rsidRPr="00EB6A6D">
        <w:rPr>
          <w:rFonts w:ascii="Verdana" w:eastAsia="Times New Roman" w:hAnsi="Verdana" w:cs="Times New Roman"/>
          <w:color w:val="333333"/>
          <w:sz w:val="17"/>
          <w:szCs w:val="17"/>
          <w:lang w:eastAsia="uk-UA"/>
        </w:rPr>
        <w:br/>
        <w:t>6. Розгляд історичної динаміки правових доктрин, що застосовувалися в лісовій галузі, свідчить про їхню циклічність - вони змінюють одна одну і можуть існувати у двох формах: як визнані державою, так і такі, що не мають офіційного статусу.</w:t>
      </w:r>
      <w:r w:rsidRPr="00EB6A6D">
        <w:rPr>
          <w:rFonts w:ascii="Verdana" w:eastAsia="Times New Roman" w:hAnsi="Verdana" w:cs="Times New Roman"/>
          <w:color w:val="333333"/>
          <w:sz w:val="17"/>
          <w:szCs w:val="17"/>
          <w:lang w:eastAsia="uk-UA"/>
        </w:rPr>
        <w:br/>
        <w:t xml:space="preserve">Завданням подальших досліджень є вивчення принципів лісового права і їх вплив на становлення і </w:t>
      </w:r>
      <w:r w:rsidRPr="00EB6A6D">
        <w:rPr>
          <w:rFonts w:ascii="Verdana" w:eastAsia="Times New Roman" w:hAnsi="Verdana" w:cs="Times New Roman"/>
          <w:color w:val="333333"/>
          <w:sz w:val="17"/>
          <w:szCs w:val="17"/>
          <w:lang w:eastAsia="uk-UA"/>
        </w:rPr>
        <w:lastRenderedPageBreak/>
        <w:t xml:space="preserve">розвиток законодавства, що охороняє цей природний ресурс. </w:t>
      </w:r>
      <w:r w:rsidRPr="00EB6A6D">
        <w:rPr>
          <w:rFonts w:ascii="Verdana" w:eastAsia="Times New Roman" w:hAnsi="Verdana" w:cs="Times New Roman"/>
          <w:color w:val="333333"/>
          <w:sz w:val="17"/>
          <w:szCs w:val="17"/>
          <w:lang w:eastAsia="uk-UA"/>
        </w:rPr>
        <w:br/>
        <w:t>Література</w:t>
      </w:r>
      <w:r w:rsidRPr="00EB6A6D">
        <w:rPr>
          <w:rFonts w:ascii="Verdana" w:eastAsia="Times New Roman" w:hAnsi="Verdana" w:cs="Times New Roman"/>
          <w:color w:val="333333"/>
          <w:sz w:val="17"/>
          <w:szCs w:val="17"/>
          <w:lang w:eastAsia="uk-UA"/>
        </w:rPr>
        <w:br/>
        <w:t>1. Амчиславский Я. Л. Лесное законодательство Украины / Я. Л. Амчиславский,</w:t>
      </w:r>
      <w:r w:rsidRPr="00EB6A6D">
        <w:rPr>
          <w:rFonts w:ascii="Verdana" w:eastAsia="Times New Roman" w:hAnsi="Verdana" w:cs="Times New Roman"/>
          <w:color w:val="333333"/>
          <w:sz w:val="17"/>
          <w:szCs w:val="17"/>
          <w:lang w:eastAsia="uk-UA"/>
        </w:rPr>
        <w:br/>
        <w:t>С. С. Баталин. - X.: Изд-во Наркомюста УССР, 1926. - 531 с.</w:t>
      </w:r>
      <w:r w:rsidRPr="00EB6A6D">
        <w:rPr>
          <w:rFonts w:ascii="Verdana" w:eastAsia="Times New Roman" w:hAnsi="Verdana" w:cs="Times New Roman"/>
          <w:color w:val="333333"/>
          <w:sz w:val="17"/>
          <w:szCs w:val="17"/>
          <w:lang w:eastAsia="uk-UA"/>
        </w:rPr>
        <w:br/>
        <w:t>2. Борейко В. Е. История охраны природы Украины Х век - 1980 / В. Е. Борейко. - К.: Эколого-культурный центр, 2001. - 544 с.</w:t>
      </w:r>
      <w:r w:rsidRPr="00EB6A6D">
        <w:rPr>
          <w:rFonts w:ascii="Verdana" w:eastAsia="Times New Roman" w:hAnsi="Verdana" w:cs="Times New Roman"/>
          <w:color w:val="333333"/>
          <w:sz w:val="17"/>
          <w:szCs w:val="17"/>
          <w:lang w:eastAsia="uk-UA"/>
        </w:rPr>
        <w:br/>
        <w:t>3. Борейко В. Е. Лесной фольклор. Древа жизни и священные рощи / В. Е. Борейко. - К.: Эколого-культурный центр, 2003. - 224 с.</w:t>
      </w:r>
      <w:r w:rsidRPr="00EB6A6D">
        <w:rPr>
          <w:rFonts w:ascii="Verdana" w:eastAsia="Times New Roman" w:hAnsi="Verdana" w:cs="Times New Roman"/>
          <w:color w:val="333333"/>
          <w:sz w:val="17"/>
          <w:szCs w:val="17"/>
          <w:lang w:eastAsia="uk-UA"/>
        </w:rPr>
        <w:br/>
        <w:t>4. Генсірук С. А. Історія лісівництва в Україні / С. А. Генсірук, О. І. Фурдичко, В. С. Бондар. - Л.: Світ, 1995. - 422 с.</w:t>
      </w:r>
      <w:r w:rsidRPr="00EB6A6D">
        <w:rPr>
          <w:rFonts w:ascii="Verdana" w:eastAsia="Times New Roman" w:hAnsi="Verdana" w:cs="Times New Roman"/>
          <w:color w:val="333333"/>
          <w:sz w:val="17"/>
          <w:szCs w:val="17"/>
          <w:lang w:eastAsia="uk-UA"/>
        </w:rPr>
        <w:br/>
        <w:t>5. Іваницький Б. Г. Ліси і лісове господарство на Україні / Б. Г. Іваницький // Пр. Укр. наук. ін-ту. Серія: Економічна. - Варшава, 1936. - Т. XIV, кн. 11. - 186 с.</w:t>
      </w:r>
      <w:r w:rsidRPr="00EB6A6D">
        <w:rPr>
          <w:rFonts w:ascii="Verdana" w:eastAsia="Times New Roman" w:hAnsi="Verdana" w:cs="Times New Roman"/>
          <w:color w:val="333333"/>
          <w:sz w:val="17"/>
          <w:szCs w:val="17"/>
          <w:lang w:eastAsia="uk-UA"/>
        </w:rPr>
        <w:br/>
        <w:t>6. Там само. - 123 с.</w:t>
      </w:r>
      <w:r w:rsidRPr="00EB6A6D">
        <w:rPr>
          <w:rFonts w:ascii="Verdana" w:eastAsia="Times New Roman" w:hAnsi="Verdana" w:cs="Times New Roman"/>
          <w:color w:val="333333"/>
          <w:sz w:val="17"/>
          <w:szCs w:val="17"/>
          <w:lang w:eastAsia="uk-UA"/>
        </w:rPr>
        <w:br/>
        <w:t>7. Ленский Л. М. Материалы по истории социалистического лесного законодательства (1917 - 1945 гг.) / Л. М. Ленский. - М.; Л.: Изд-во Гослестехиздата, 1947. - 322 с.</w:t>
      </w:r>
      <w:r w:rsidRPr="00EB6A6D">
        <w:rPr>
          <w:rFonts w:ascii="Verdana" w:eastAsia="Times New Roman" w:hAnsi="Verdana" w:cs="Times New Roman"/>
          <w:color w:val="333333"/>
          <w:sz w:val="17"/>
          <w:szCs w:val="17"/>
          <w:lang w:eastAsia="uk-UA"/>
        </w:rPr>
        <w:br/>
        <w:t>8. Непийвода В. П. Правове регулювання в галузі лісів: доба утвердження підтримного розвитку / В. П. Непийвода. - К.: НДІ приватного права і підприємництва, 2004. - 339 с.</w:t>
      </w:r>
      <w:r w:rsidRPr="00EB6A6D">
        <w:rPr>
          <w:rFonts w:ascii="Verdana" w:eastAsia="Times New Roman" w:hAnsi="Verdana" w:cs="Times New Roman"/>
          <w:color w:val="333333"/>
          <w:sz w:val="17"/>
          <w:szCs w:val="17"/>
          <w:lang w:eastAsia="uk-UA"/>
        </w:rPr>
        <w:br/>
        <w:t>9. Положение о сбережении лесов // Полн. собр. законов Российской империи: собр. третье. - СПб.: Гос. Тип., № 5120. - Т. VIII. - С. 148-155.</w:t>
      </w:r>
      <w:r w:rsidRPr="00EB6A6D">
        <w:rPr>
          <w:rFonts w:ascii="Verdana" w:eastAsia="Times New Roman" w:hAnsi="Verdana" w:cs="Times New Roman"/>
          <w:color w:val="333333"/>
          <w:sz w:val="17"/>
          <w:szCs w:val="17"/>
          <w:lang w:eastAsia="uk-UA"/>
        </w:rPr>
        <w:br/>
        <w:t>10. Редько Г. И. Петр I об охране природы и использовании природных ресурсов /</w:t>
      </w:r>
      <w:r w:rsidRPr="00EB6A6D">
        <w:rPr>
          <w:rFonts w:ascii="Verdana" w:eastAsia="Times New Roman" w:hAnsi="Verdana" w:cs="Times New Roman"/>
          <w:color w:val="333333"/>
          <w:sz w:val="17"/>
          <w:szCs w:val="17"/>
          <w:lang w:eastAsia="uk-UA"/>
        </w:rPr>
        <w:br/>
        <w:t>Г. И. Редько, В. Л. Шлапак. - К.: Либідь, 1993. - 171 с.</w:t>
      </w:r>
      <w:r w:rsidRPr="00EB6A6D">
        <w:rPr>
          <w:rFonts w:ascii="Verdana" w:eastAsia="Times New Roman" w:hAnsi="Verdana" w:cs="Times New Roman"/>
          <w:color w:val="333333"/>
          <w:sz w:val="17"/>
          <w:szCs w:val="17"/>
          <w:lang w:eastAsia="uk-UA"/>
        </w:rPr>
        <w:br/>
        <w:t>11. Скурко Е. В. Правовые принципы в правовой системе, системе права и системе законодательства: теория и практика // Изв. высших учеб. заведений. Серия: Правоведение. - 2006. - № 2. - С. 55-61.</w:t>
      </w:r>
      <w:r w:rsidRPr="00EB6A6D">
        <w:rPr>
          <w:rFonts w:ascii="Verdana" w:eastAsia="Times New Roman" w:hAnsi="Verdana" w:cs="Times New Roman"/>
          <w:color w:val="333333"/>
          <w:sz w:val="17"/>
          <w:szCs w:val="17"/>
          <w:lang w:eastAsia="uk-UA"/>
        </w:rPr>
        <w:br/>
        <w:t>12. Фурдичко О. І. Лісова галузь України у контексті збалансованого розвитку: теоре- тико-методологічні, нормативно-правові та організаційні аспекти / О. І. Фурдичко,</w:t>
      </w:r>
      <w:r w:rsidRPr="00EB6A6D">
        <w:rPr>
          <w:rFonts w:ascii="Verdana" w:eastAsia="Times New Roman" w:hAnsi="Verdana" w:cs="Times New Roman"/>
          <w:color w:val="333333"/>
          <w:sz w:val="17"/>
          <w:szCs w:val="17"/>
          <w:lang w:eastAsia="uk-UA"/>
        </w:rPr>
        <w:br/>
        <w:t>В. В. Лавров. - К.: Основа, 2009. - 424 с.</w:t>
      </w:r>
      <w:r w:rsidRPr="00EB6A6D">
        <w:rPr>
          <w:rFonts w:ascii="Verdana" w:eastAsia="Times New Roman" w:hAnsi="Verdana" w:cs="Times New Roman"/>
          <w:color w:val="333333"/>
          <w:sz w:val="17"/>
          <w:szCs w:val="17"/>
          <w:lang w:eastAsia="uk-UA"/>
        </w:rPr>
        <w:br/>
        <w:t xml:space="preserve">13. Шаповал М. Ю. Лісова справа на Україні / М. Ю. Шаповал. - Вовча: Друкарня Каси дрібного кредиту, 1918. - 45 с. </w:t>
      </w:r>
    </w:p>
    <w:p w:rsidR="001E3A6E" w:rsidRDefault="00EB6A6D" w:rsidP="00EB6A6D">
      <w:r>
        <w:rPr>
          <w:rFonts w:ascii="Verdana" w:eastAsia="Times New Roman" w:hAnsi="Verdana" w:cs="Times New Roman"/>
          <w:noProof/>
          <w:color w:val="333333"/>
          <w:sz w:val="17"/>
          <w:szCs w:val="17"/>
          <w:lang w:eastAsia="uk-UA"/>
        </w:rPr>
        <w:drawing>
          <wp:inline distT="0" distB="0" distL="0" distR="0">
            <wp:extent cx="5560695" cy="106045"/>
            <wp:effectExtent l="0" t="0" r="1905" b="8255"/>
            <wp:docPr id="1" name="Рисунок 1" descr="http://www.pravoznavec.com.ua/images/sub_mid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oznavec.com.ua/images/sub_mid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0695" cy="106045"/>
                    </a:xfrm>
                    <a:prstGeom prst="rect">
                      <a:avLst/>
                    </a:prstGeom>
                    <a:noFill/>
                    <a:ln>
                      <a:noFill/>
                    </a:ln>
                  </pic:spPr>
                </pic:pic>
              </a:graphicData>
            </a:graphic>
          </wp:inline>
        </w:drawing>
      </w:r>
      <w:bookmarkStart w:id="0" w:name="_GoBack"/>
      <w:bookmarkEnd w:id="0"/>
    </w:p>
    <w:sectPr w:rsidR="001E3A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6D"/>
    <w:rsid w:val="0001249E"/>
    <w:rsid w:val="0001356D"/>
    <w:rsid w:val="0003770A"/>
    <w:rsid w:val="0004004F"/>
    <w:rsid w:val="000549B5"/>
    <w:rsid w:val="0006105B"/>
    <w:rsid w:val="000623F8"/>
    <w:rsid w:val="000745C8"/>
    <w:rsid w:val="000800C7"/>
    <w:rsid w:val="000810C5"/>
    <w:rsid w:val="0008768D"/>
    <w:rsid w:val="00092CB4"/>
    <w:rsid w:val="0009539C"/>
    <w:rsid w:val="000A1761"/>
    <w:rsid w:val="000A26C2"/>
    <w:rsid w:val="000B3AFE"/>
    <w:rsid w:val="000D1BA6"/>
    <w:rsid w:val="000E6E8C"/>
    <w:rsid w:val="000E7D16"/>
    <w:rsid w:val="000F25D6"/>
    <w:rsid w:val="00105AE8"/>
    <w:rsid w:val="0011062D"/>
    <w:rsid w:val="001315D6"/>
    <w:rsid w:val="001331D1"/>
    <w:rsid w:val="00137104"/>
    <w:rsid w:val="00144ED7"/>
    <w:rsid w:val="00147B07"/>
    <w:rsid w:val="0015093A"/>
    <w:rsid w:val="0015246A"/>
    <w:rsid w:val="001610AF"/>
    <w:rsid w:val="001752A8"/>
    <w:rsid w:val="001A3BF7"/>
    <w:rsid w:val="001C219F"/>
    <w:rsid w:val="001D572D"/>
    <w:rsid w:val="001E3A6E"/>
    <w:rsid w:val="001E7A49"/>
    <w:rsid w:val="001F77CE"/>
    <w:rsid w:val="002046C1"/>
    <w:rsid w:val="002055FD"/>
    <w:rsid w:val="00210E76"/>
    <w:rsid w:val="00217FCD"/>
    <w:rsid w:val="00225F96"/>
    <w:rsid w:val="00232F5E"/>
    <w:rsid w:val="00256D46"/>
    <w:rsid w:val="002644B8"/>
    <w:rsid w:val="0026619B"/>
    <w:rsid w:val="00290EF3"/>
    <w:rsid w:val="0029467D"/>
    <w:rsid w:val="00297F10"/>
    <w:rsid w:val="002A29F5"/>
    <w:rsid w:val="002A7CC5"/>
    <w:rsid w:val="002B1E44"/>
    <w:rsid w:val="002B22EF"/>
    <w:rsid w:val="002C05AB"/>
    <w:rsid w:val="002C187B"/>
    <w:rsid w:val="002C5819"/>
    <w:rsid w:val="002E18B9"/>
    <w:rsid w:val="002F6ACD"/>
    <w:rsid w:val="00303EC8"/>
    <w:rsid w:val="00304EE9"/>
    <w:rsid w:val="0031203C"/>
    <w:rsid w:val="00316773"/>
    <w:rsid w:val="00321C30"/>
    <w:rsid w:val="0032747A"/>
    <w:rsid w:val="00335569"/>
    <w:rsid w:val="00345A38"/>
    <w:rsid w:val="003471A1"/>
    <w:rsid w:val="003523FC"/>
    <w:rsid w:val="00354DA4"/>
    <w:rsid w:val="00356201"/>
    <w:rsid w:val="00362DDD"/>
    <w:rsid w:val="003634CC"/>
    <w:rsid w:val="0036358E"/>
    <w:rsid w:val="00363FF3"/>
    <w:rsid w:val="003867CF"/>
    <w:rsid w:val="00394F4D"/>
    <w:rsid w:val="003A395C"/>
    <w:rsid w:val="003A7243"/>
    <w:rsid w:val="003B35ED"/>
    <w:rsid w:val="003B3B10"/>
    <w:rsid w:val="003B3DF0"/>
    <w:rsid w:val="003C3058"/>
    <w:rsid w:val="003D01BE"/>
    <w:rsid w:val="003D49E7"/>
    <w:rsid w:val="003E2BF8"/>
    <w:rsid w:val="003F2F8E"/>
    <w:rsid w:val="004035B3"/>
    <w:rsid w:val="00405108"/>
    <w:rsid w:val="00411EE0"/>
    <w:rsid w:val="00413180"/>
    <w:rsid w:val="00425478"/>
    <w:rsid w:val="004257AC"/>
    <w:rsid w:val="00433B54"/>
    <w:rsid w:val="0043597D"/>
    <w:rsid w:val="0044146F"/>
    <w:rsid w:val="00445C90"/>
    <w:rsid w:val="00453CFE"/>
    <w:rsid w:val="004554CF"/>
    <w:rsid w:val="00463FC2"/>
    <w:rsid w:val="004A561B"/>
    <w:rsid w:val="004B2A37"/>
    <w:rsid w:val="004C0217"/>
    <w:rsid w:val="004D1081"/>
    <w:rsid w:val="004F18E7"/>
    <w:rsid w:val="004F1E56"/>
    <w:rsid w:val="004F55EC"/>
    <w:rsid w:val="004F5633"/>
    <w:rsid w:val="0051507C"/>
    <w:rsid w:val="00516003"/>
    <w:rsid w:val="00517E30"/>
    <w:rsid w:val="00520E6C"/>
    <w:rsid w:val="00523F5B"/>
    <w:rsid w:val="00534661"/>
    <w:rsid w:val="005529D5"/>
    <w:rsid w:val="005576F8"/>
    <w:rsid w:val="0057052A"/>
    <w:rsid w:val="005A1D5C"/>
    <w:rsid w:val="005A7ABD"/>
    <w:rsid w:val="005C64F4"/>
    <w:rsid w:val="005E453B"/>
    <w:rsid w:val="005F0081"/>
    <w:rsid w:val="005F1A47"/>
    <w:rsid w:val="005F3D93"/>
    <w:rsid w:val="005F591D"/>
    <w:rsid w:val="00610102"/>
    <w:rsid w:val="0061757C"/>
    <w:rsid w:val="00623223"/>
    <w:rsid w:val="00626303"/>
    <w:rsid w:val="0062771C"/>
    <w:rsid w:val="00633A69"/>
    <w:rsid w:val="00642519"/>
    <w:rsid w:val="0065202B"/>
    <w:rsid w:val="00667DF7"/>
    <w:rsid w:val="00670998"/>
    <w:rsid w:val="00671509"/>
    <w:rsid w:val="006720BF"/>
    <w:rsid w:val="006742A6"/>
    <w:rsid w:val="006767F9"/>
    <w:rsid w:val="00680476"/>
    <w:rsid w:val="00685E06"/>
    <w:rsid w:val="006A0E79"/>
    <w:rsid w:val="006C48F5"/>
    <w:rsid w:val="006C7F4D"/>
    <w:rsid w:val="006E3DDD"/>
    <w:rsid w:val="00710C30"/>
    <w:rsid w:val="007144C4"/>
    <w:rsid w:val="007157C5"/>
    <w:rsid w:val="00716463"/>
    <w:rsid w:val="0073451A"/>
    <w:rsid w:val="007357FF"/>
    <w:rsid w:val="007474D7"/>
    <w:rsid w:val="00752BCD"/>
    <w:rsid w:val="00753955"/>
    <w:rsid w:val="007568F2"/>
    <w:rsid w:val="00767636"/>
    <w:rsid w:val="00770C51"/>
    <w:rsid w:val="00776565"/>
    <w:rsid w:val="007773AD"/>
    <w:rsid w:val="00780D04"/>
    <w:rsid w:val="00784D6E"/>
    <w:rsid w:val="00790B7A"/>
    <w:rsid w:val="007912A8"/>
    <w:rsid w:val="00797D5F"/>
    <w:rsid w:val="007A5A8C"/>
    <w:rsid w:val="007B7016"/>
    <w:rsid w:val="007C09F2"/>
    <w:rsid w:val="007C588B"/>
    <w:rsid w:val="007D009A"/>
    <w:rsid w:val="007D7651"/>
    <w:rsid w:val="007E1305"/>
    <w:rsid w:val="007F0EFA"/>
    <w:rsid w:val="007F1950"/>
    <w:rsid w:val="00800CFE"/>
    <w:rsid w:val="00805E02"/>
    <w:rsid w:val="00832416"/>
    <w:rsid w:val="0083254D"/>
    <w:rsid w:val="00841796"/>
    <w:rsid w:val="008437A2"/>
    <w:rsid w:val="0084421B"/>
    <w:rsid w:val="008445D8"/>
    <w:rsid w:val="008606A3"/>
    <w:rsid w:val="008740D3"/>
    <w:rsid w:val="0087521C"/>
    <w:rsid w:val="00876E03"/>
    <w:rsid w:val="00884A41"/>
    <w:rsid w:val="008945D5"/>
    <w:rsid w:val="008B0999"/>
    <w:rsid w:val="008B5C38"/>
    <w:rsid w:val="008C5CEB"/>
    <w:rsid w:val="008D214A"/>
    <w:rsid w:val="008D3F91"/>
    <w:rsid w:val="008E4DB4"/>
    <w:rsid w:val="008E75F8"/>
    <w:rsid w:val="008F5F13"/>
    <w:rsid w:val="00914569"/>
    <w:rsid w:val="00920FEC"/>
    <w:rsid w:val="0092396D"/>
    <w:rsid w:val="00930008"/>
    <w:rsid w:val="0093044D"/>
    <w:rsid w:val="00934CA8"/>
    <w:rsid w:val="0094147F"/>
    <w:rsid w:val="00946433"/>
    <w:rsid w:val="0096108D"/>
    <w:rsid w:val="00963E45"/>
    <w:rsid w:val="00984B85"/>
    <w:rsid w:val="00984F17"/>
    <w:rsid w:val="00991DB9"/>
    <w:rsid w:val="009A05BA"/>
    <w:rsid w:val="009B1F39"/>
    <w:rsid w:val="009B597B"/>
    <w:rsid w:val="009C3D80"/>
    <w:rsid w:val="009C5F1A"/>
    <w:rsid w:val="009C66E0"/>
    <w:rsid w:val="009D0EAD"/>
    <w:rsid w:val="009D4FDD"/>
    <w:rsid w:val="009D63CB"/>
    <w:rsid w:val="009E1405"/>
    <w:rsid w:val="009E5FB1"/>
    <w:rsid w:val="009F23A2"/>
    <w:rsid w:val="00A306CB"/>
    <w:rsid w:val="00A33A7B"/>
    <w:rsid w:val="00A36732"/>
    <w:rsid w:val="00A40597"/>
    <w:rsid w:val="00A43350"/>
    <w:rsid w:val="00A73DB4"/>
    <w:rsid w:val="00A75BE0"/>
    <w:rsid w:val="00A823EB"/>
    <w:rsid w:val="00A96E1C"/>
    <w:rsid w:val="00AA7AD8"/>
    <w:rsid w:val="00AB479F"/>
    <w:rsid w:val="00AB6642"/>
    <w:rsid w:val="00AC1E08"/>
    <w:rsid w:val="00AC2169"/>
    <w:rsid w:val="00AE02A5"/>
    <w:rsid w:val="00AE3D4C"/>
    <w:rsid w:val="00AE3F0F"/>
    <w:rsid w:val="00AE70E4"/>
    <w:rsid w:val="00AF5151"/>
    <w:rsid w:val="00B04B5C"/>
    <w:rsid w:val="00B13DC6"/>
    <w:rsid w:val="00B26C7A"/>
    <w:rsid w:val="00B324C7"/>
    <w:rsid w:val="00B552B9"/>
    <w:rsid w:val="00B56D97"/>
    <w:rsid w:val="00B6657E"/>
    <w:rsid w:val="00B715BC"/>
    <w:rsid w:val="00B72265"/>
    <w:rsid w:val="00B73A16"/>
    <w:rsid w:val="00B77C76"/>
    <w:rsid w:val="00BA5E8D"/>
    <w:rsid w:val="00BA6A81"/>
    <w:rsid w:val="00BB2898"/>
    <w:rsid w:val="00BC4DEE"/>
    <w:rsid w:val="00BD1FA1"/>
    <w:rsid w:val="00BF0D1B"/>
    <w:rsid w:val="00BF0F9C"/>
    <w:rsid w:val="00BF692F"/>
    <w:rsid w:val="00C07083"/>
    <w:rsid w:val="00C11978"/>
    <w:rsid w:val="00C12444"/>
    <w:rsid w:val="00C13683"/>
    <w:rsid w:val="00C23670"/>
    <w:rsid w:val="00C2581B"/>
    <w:rsid w:val="00C31AAB"/>
    <w:rsid w:val="00C3338A"/>
    <w:rsid w:val="00C35A5B"/>
    <w:rsid w:val="00C61ACF"/>
    <w:rsid w:val="00C634F9"/>
    <w:rsid w:val="00C6639B"/>
    <w:rsid w:val="00C773A5"/>
    <w:rsid w:val="00C84AA1"/>
    <w:rsid w:val="00C90B72"/>
    <w:rsid w:val="00C95F2D"/>
    <w:rsid w:val="00CA30B8"/>
    <w:rsid w:val="00CD1515"/>
    <w:rsid w:val="00CD2986"/>
    <w:rsid w:val="00CE2548"/>
    <w:rsid w:val="00CE4E5E"/>
    <w:rsid w:val="00CE6AA0"/>
    <w:rsid w:val="00CF46A1"/>
    <w:rsid w:val="00CF4C61"/>
    <w:rsid w:val="00D072BD"/>
    <w:rsid w:val="00D15EB4"/>
    <w:rsid w:val="00D35EAA"/>
    <w:rsid w:val="00D3632E"/>
    <w:rsid w:val="00D414A7"/>
    <w:rsid w:val="00D4588B"/>
    <w:rsid w:val="00D82B42"/>
    <w:rsid w:val="00D91328"/>
    <w:rsid w:val="00D915E7"/>
    <w:rsid w:val="00D91A5B"/>
    <w:rsid w:val="00D94C80"/>
    <w:rsid w:val="00DA7F37"/>
    <w:rsid w:val="00DB5BB9"/>
    <w:rsid w:val="00DC68EB"/>
    <w:rsid w:val="00DD10E3"/>
    <w:rsid w:val="00DD5215"/>
    <w:rsid w:val="00DE1014"/>
    <w:rsid w:val="00E006EC"/>
    <w:rsid w:val="00E1251A"/>
    <w:rsid w:val="00E15083"/>
    <w:rsid w:val="00E21EC5"/>
    <w:rsid w:val="00E2204F"/>
    <w:rsid w:val="00E25F79"/>
    <w:rsid w:val="00E42ED3"/>
    <w:rsid w:val="00E43F50"/>
    <w:rsid w:val="00E50AB4"/>
    <w:rsid w:val="00E51DA1"/>
    <w:rsid w:val="00E600E0"/>
    <w:rsid w:val="00E710C9"/>
    <w:rsid w:val="00E7212B"/>
    <w:rsid w:val="00E75603"/>
    <w:rsid w:val="00E75F21"/>
    <w:rsid w:val="00E77344"/>
    <w:rsid w:val="00E8359E"/>
    <w:rsid w:val="00E92562"/>
    <w:rsid w:val="00EA404E"/>
    <w:rsid w:val="00EA4DC4"/>
    <w:rsid w:val="00EA7657"/>
    <w:rsid w:val="00EB6A6D"/>
    <w:rsid w:val="00EC1269"/>
    <w:rsid w:val="00EC4C84"/>
    <w:rsid w:val="00EF23DD"/>
    <w:rsid w:val="00F00562"/>
    <w:rsid w:val="00F16554"/>
    <w:rsid w:val="00F166D7"/>
    <w:rsid w:val="00F30023"/>
    <w:rsid w:val="00F343D4"/>
    <w:rsid w:val="00F35AE5"/>
    <w:rsid w:val="00F41ACA"/>
    <w:rsid w:val="00F4549D"/>
    <w:rsid w:val="00F47EFD"/>
    <w:rsid w:val="00F47F40"/>
    <w:rsid w:val="00F53D4A"/>
    <w:rsid w:val="00F55450"/>
    <w:rsid w:val="00F74B68"/>
    <w:rsid w:val="00F82A9D"/>
    <w:rsid w:val="00F848B2"/>
    <w:rsid w:val="00F85A16"/>
    <w:rsid w:val="00F91943"/>
    <w:rsid w:val="00FA009C"/>
    <w:rsid w:val="00FA156C"/>
    <w:rsid w:val="00FA4C5B"/>
    <w:rsid w:val="00FB078F"/>
    <w:rsid w:val="00FB5A9E"/>
    <w:rsid w:val="00FB5D2D"/>
    <w:rsid w:val="00FC7521"/>
    <w:rsid w:val="00FD5C58"/>
    <w:rsid w:val="00FD68CC"/>
    <w:rsid w:val="00FE1ABD"/>
    <w:rsid w:val="00FE64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6A6D"/>
    <w:pPr>
      <w:spacing w:before="100" w:beforeAutospacing="1" w:after="100" w:afterAutospacing="1" w:line="240" w:lineRule="auto"/>
      <w:outlineLvl w:val="2"/>
    </w:pPr>
    <w:rPr>
      <w:rFonts w:ascii="Verdana" w:eastAsia="Times New Roman" w:hAnsi="Verdana" w:cs="Times New Roman"/>
      <w:b/>
      <w:bCs/>
      <w:color w:val="333333"/>
      <w:sz w:val="17"/>
      <w:szCs w:val="1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6A6D"/>
    <w:rPr>
      <w:rFonts w:ascii="Verdana" w:eastAsia="Times New Roman" w:hAnsi="Verdana" w:cs="Times New Roman"/>
      <w:b/>
      <w:bCs/>
      <w:color w:val="333333"/>
      <w:sz w:val="17"/>
      <w:szCs w:val="17"/>
      <w:lang w:eastAsia="uk-UA"/>
    </w:rPr>
  </w:style>
  <w:style w:type="paragraph" w:styleId="a3">
    <w:name w:val="Balloon Text"/>
    <w:basedOn w:val="a"/>
    <w:link w:val="a4"/>
    <w:uiPriority w:val="99"/>
    <w:semiHidden/>
    <w:unhideWhenUsed/>
    <w:rsid w:val="00EB6A6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B6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6A6D"/>
    <w:pPr>
      <w:spacing w:before="100" w:beforeAutospacing="1" w:after="100" w:afterAutospacing="1" w:line="240" w:lineRule="auto"/>
      <w:outlineLvl w:val="2"/>
    </w:pPr>
    <w:rPr>
      <w:rFonts w:ascii="Verdana" w:eastAsia="Times New Roman" w:hAnsi="Verdana" w:cs="Times New Roman"/>
      <w:b/>
      <w:bCs/>
      <w:color w:val="333333"/>
      <w:sz w:val="17"/>
      <w:szCs w:val="1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6A6D"/>
    <w:rPr>
      <w:rFonts w:ascii="Verdana" w:eastAsia="Times New Roman" w:hAnsi="Verdana" w:cs="Times New Roman"/>
      <w:b/>
      <w:bCs/>
      <w:color w:val="333333"/>
      <w:sz w:val="17"/>
      <w:szCs w:val="17"/>
      <w:lang w:eastAsia="uk-UA"/>
    </w:rPr>
  </w:style>
  <w:style w:type="paragraph" w:styleId="a3">
    <w:name w:val="Balloon Text"/>
    <w:basedOn w:val="a"/>
    <w:link w:val="a4"/>
    <w:uiPriority w:val="99"/>
    <w:semiHidden/>
    <w:unhideWhenUsed/>
    <w:rsid w:val="00EB6A6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B6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12172</Words>
  <Characters>6939</Characters>
  <Application>Microsoft Office Word</Application>
  <DocSecurity>0</DocSecurity>
  <Lines>57</Lines>
  <Paragraphs>38</Paragraphs>
  <ScaleCrop>false</ScaleCrop>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Дмитрусь</dc:creator>
  <cp:lastModifiedBy>Дмитрусь</cp:lastModifiedBy>
  <cp:revision>1</cp:revision>
  <dcterms:created xsi:type="dcterms:W3CDTF">2017-01-04T09:43:00Z</dcterms:created>
  <dcterms:modified xsi:type="dcterms:W3CDTF">2017-01-04T09:44:00Z</dcterms:modified>
</cp:coreProperties>
</file>