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44749" w:rsidRPr="00644749" w:rsidRDefault="00644749" w:rsidP="00644749">
      <w:pPr>
        <w:shd w:val="clear" w:color="auto" w:fill="ECF0F4"/>
        <w:spacing w:before="75" w:after="75" w:line="240" w:lineRule="auto"/>
        <w:outlineLvl w:val="1"/>
        <w:rPr>
          <w:rFonts w:ascii="Verdana" w:eastAsia="Times New Roman" w:hAnsi="Verdana" w:cs="Tahoma"/>
          <w:b/>
          <w:bCs/>
          <w:color w:val="012296"/>
          <w:sz w:val="27"/>
          <w:szCs w:val="27"/>
          <w:lang w:eastAsia="ru-RU"/>
        </w:rPr>
      </w:pPr>
      <w:r w:rsidRPr="00644749">
        <w:rPr>
          <w:rFonts w:ascii="Verdana" w:eastAsia="Times New Roman" w:hAnsi="Verdana" w:cs="Tahoma"/>
          <w:b/>
          <w:bCs/>
          <w:color w:val="012296"/>
          <w:sz w:val="27"/>
          <w:szCs w:val="27"/>
          <w:lang w:eastAsia="ru-RU"/>
        </w:rPr>
        <w:t xml:space="preserve">МЕТОДОЛОГІЯ </w:t>
      </w:r>
      <w:proofErr w:type="gramStart"/>
      <w:r w:rsidRPr="00644749">
        <w:rPr>
          <w:rFonts w:ascii="Verdana" w:eastAsia="Times New Roman" w:hAnsi="Verdana" w:cs="Tahoma"/>
          <w:b/>
          <w:bCs/>
          <w:color w:val="012296"/>
          <w:sz w:val="27"/>
          <w:szCs w:val="27"/>
          <w:lang w:eastAsia="ru-RU"/>
        </w:rPr>
        <w:t>ДОСЛ</w:t>
      </w:r>
      <w:proofErr w:type="gramEnd"/>
      <w:r w:rsidRPr="00644749">
        <w:rPr>
          <w:rFonts w:ascii="Verdana" w:eastAsia="Times New Roman" w:hAnsi="Verdana" w:cs="Tahoma"/>
          <w:b/>
          <w:bCs/>
          <w:color w:val="012296"/>
          <w:sz w:val="27"/>
          <w:szCs w:val="27"/>
          <w:lang w:eastAsia="ru-RU"/>
        </w:rPr>
        <w:t>ІДЖЕННЯ ВЗАЄМОВІДНОСИН ДЕРЖАВИ І ЦЕРКВИ</w:t>
      </w:r>
    </w:p>
    <w:p w:rsidR="00644749" w:rsidRPr="00644749" w:rsidRDefault="00644749" w:rsidP="00644749">
      <w:pPr>
        <w:shd w:val="clear" w:color="auto" w:fill="ECF0F4"/>
        <w:spacing w:after="0" w:line="240" w:lineRule="auto"/>
        <w:rPr>
          <w:rFonts w:ascii="Tahoma" w:eastAsia="Times New Roman" w:hAnsi="Tahoma" w:cs="Tahoma"/>
          <w:color w:val="3F5469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3F5469"/>
          <w:sz w:val="20"/>
          <w:szCs w:val="20"/>
          <w:lang w:eastAsia="ru-RU"/>
        </w:rPr>
        <w:t>05.03.13 22:06 | Автор(и) КРАВЧУК МИКОЛА ВОЛОДИМИРОВИЧ, к.ю.н., доцент, доктор права УВУ, завідувач кафедри теорії та історії держави і права ТНЕУ; КУЗЬ ПАВЛО МИРОСЛАВОВИЧ, студент юридичного факультету ТНЕУ (м</w:t>
      </w:r>
      <w:proofErr w:type="gramStart"/>
      <w:r w:rsidRPr="00644749">
        <w:rPr>
          <w:rFonts w:ascii="Tahoma" w:eastAsia="Times New Roman" w:hAnsi="Tahoma" w:cs="Tahoma"/>
          <w:color w:val="3F5469"/>
          <w:sz w:val="20"/>
          <w:szCs w:val="20"/>
          <w:lang w:eastAsia="ru-RU"/>
        </w:rPr>
        <w:t>.Т</w:t>
      </w:r>
      <w:proofErr w:type="gramEnd"/>
      <w:r w:rsidRPr="00644749">
        <w:rPr>
          <w:rFonts w:ascii="Tahoma" w:eastAsia="Times New Roman" w:hAnsi="Tahoma" w:cs="Tahoma"/>
          <w:color w:val="3F5469"/>
          <w:sz w:val="20"/>
          <w:szCs w:val="20"/>
          <w:lang w:eastAsia="ru-RU"/>
        </w:rPr>
        <w:t>ернопіль) | </w:t>
      </w:r>
      <w:r w:rsidRPr="00644749">
        <w:rPr>
          <w:rFonts w:ascii="Tahoma" w:eastAsia="Times New Roman" w:hAnsi="Tahoma" w:cs="Tahoma"/>
          <w:i/>
          <w:iCs/>
          <w:noProof/>
          <w:color w:val="227A97"/>
          <w:sz w:val="20"/>
          <w:szCs w:val="20"/>
          <w:lang w:eastAsia="ru-RU"/>
        </w:rPr>
        <w:drawing>
          <wp:inline distT="0" distB="0" distL="0" distR="0" wp14:anchorId="47ECB3EA" wp14:editId="5EBEFC69">
            <wp:extent cx="133350" cy="133350"/>
            <wp:effectExtent l="0" t="0" r="0" b="0"/>
            <wp:docPr id="1" name="Рисунок 1" descr="Печать">
              <a:hlinkClick xmlns:a="http://schemas.openxmlformats.org/drawingml/2006/main" r:id="rId5" tooltip="&quot;Печать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ечать">
                      <a:hlinkClick r:id="rId5" tooltip="&quot;Печать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3350" cy="1333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644749">
        <w:rPr>
          <w:rFonts w:ascii="Tahoma" w:eastAsia="Times New Roman" w:hAnsi="Tahoma" w:cs="Tahoma"/>
          <w:color w:val="3F5469"/>
          <w:sz w:val="20"/>
          <w:szCs w:val="20"/>
          <w:lang w:eastAsia="ru-RU"/>
        </w:rPr>
        <w:t> | </w:t>
      </w:r>
      <w:r w:rsidRPr="00644749">
        <w:rPr>
          <w:rFonts w:ascii="Tahoma" w:eastAsia="Times New Roman" w:hAnsi="Tahoma" w:cs="Tahoma"/>
          <w:i/>
          <w:iCs/>
          <w:noProof/>
          <w:color w:val="227A97"/>
          <w:sz w:val="20"/>
          <w:szCs w:val="20"/>
          <w:lang w:eastAsia="ru-RU"/>
        </w:rPr>
        <w:drawing>
          <wp:inline distT="0" distB="0" distL="0" distR="0" wp14:anchorId="5FE63144" wp14:editId="1CFCF7D7">
            <wp:extent cx="104775" cy="76200"/>
            <wp:effectExtent l="0" t="0" r="9525" b="0"/>
            <wp:docPr id="2" name="Рисунок 2" descr="E-mail">
              <a:hlinkClick xmlns:a="http://schemas.openxmlformats.org/drawingml/2006/main" r:id="rId7" tooltip="&quot;E-mail&quot;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E-mail">
                      <a:hlinkClick r:id="rId7" tooltip="&quot;E-mail&quot;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4775" cy="76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tbl>
      <w:tblPr>
        <w:tblW w:w="0" w:type="dxa"/>
        <w:tblCellSpacing w:w="1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215"/>
      </w:tblGrid>
      <w:tr w:rsidR="00644749" w:rsidRPr="00644749" w:rsidTr="00644749">
        <w:trPr>
          <w:tblCellSpacing w:w="15" w:type="dxa"/>
        </w:trPr>
        <w:tc>
          <w:tcPr>
            <w:tcW w:w="0" w:type="auto"/>
            <w:vAlign w:val="center"/>
            <w:hideMark/>
          </w:tcPr>
          <w:p w:rsidR="00644749" w:rsidRPr="00644749" w:rsidRDefault="00644749" w:rsidP="00644749">
            <w:pPr>
              <w:spacing w:after="0" w:line="240" w:lineRule="auto"/>
              <w:jc w:val="both"/>
              <w:rPr>
                <w:rFonts w:ascii="Tahoma" w:eastAsia="Times New Roman" w:hAnsi="Tahoma" w:cs="Tahoma"/>
                <w:sz w:val="20"/>
                <w:szCs w:val="20"/>
                <w:lang w:eastAsia="ru-RU"/>
              </w:rPr>
            </w:pPr>
            <w:hyperlink r:id="rId9" w:history="1">
              <w:r w:rsidRPr="00644749">
                <w:rPr>
                  <w:rFonts w:ascii="Tahoma" w:eastAsia="Times New Roman" w:hAnsi="Tahoma" w:cs="Tahoma"/>
                  <w:color w:val="217692"/>
                  <w:sz w:val="20"/>
                  <w:szCs w:val="20"/>
                  <w:lang w:eastAsia="ru-RU"/>
                </w:rPr>
                <w:t>Науково-практична Інтернет-конференція 05.03.2013</w:t>
              </w:r>
            </w:hyperlink>
            <w:r w:rsidRPr="00644749">
              <w:rPr>
                <w:rFonts w:ascii="Tahoma" w:eastAsia="Times New Roman" w:hAnsi="Tahoma" w:cs="Tahoma"/>
                <w:sz w:val="20"/>
                <w:szCs w:val="20"/>
                <w:lang w:eastAsia="ru-RU"/>
              </w:rPr>
              <w:t> - </w:t>
            </w:r>
            <w:hyperlink r:id="rId10" w:history="1">
              <w:r w:rsidRPr="00644749">
                <w:rPr>
                  <w:rFonts w:ascii="Tahoma" w:eastAsia="Times New Roman" w:hAnsi="Tahoma" w:cs="Tahoma"/>
                  <w:color w:val="217692"/>
                  <w:sz w:val="20"/>
                  <w:szCs w:val="20"/>
                  <w:lang w:eastAsia="ru-RU"/>
                </w:rPr>
                <w:t>Секція №1</w:t>
              </w:r>
            </w:hyperlink>
          </w:p>
        </w:tc>
      </w:tr>
    </w:tbl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Відносини трьох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соц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іальних інститутів українського суспільства – права, держави та Церкви формувалися протягом досить тривалого часу, а динаміка розвитку цих відносин пов’язана зі всією історією Української держави. Церква у сучасному держав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о-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та правотворенні України, як і в минулі часи, відігравала і відіграє вагому роль. Розвиток взаємовідносин держави і Церкви, а також правове закріплення цих відносин у великій мі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 залежить від держави. Основу цих відносин закріплено у законодавчих актах про свободу сові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і, віросповідання та релігійні організації, тому цей взаємовплив цілком залежить від ефективності реалізації прав і свобод особи у цій сфері, в першу чергу конституційних.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Україна, будуючи правову державу, повинна всемірно забезпечити одну з ключових свобод – свободу сові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і, свободу віросповідання, що передбачена ст. 35 чинної Конституції України. Особливо актуальним для України стало дотримання прав людини, громадянина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ісля підписання нею в 1995 р. договору про приєднання до Конвенції про захист прав людини та основоположних свобод (прийнятої у Римі, 4 листопада 1950 р.), а в 1997 р. її ратифікації. Входження України в Раду Європи поставило перед нею зобов’язання гарантувати кожній людині, що перебуває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 українською юрисдикцією, права і свободи, визначені цією Конвенцією, в тому числі вказані у ст. 9 “Свобода думки, совісті і релігії”. Ця тенденція набула посиленого розвитку після схвалення 22 лютого 2013 року Верховною Радою України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З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аяви “Про реалізацію євроінтеграційних прагнень України та укладення Угоди про асоціацію між Україною та Європейським Союзом” [2].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Отже,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основ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 вищевказаних правових засад важливо позитивно розвивати взаємовідносини держави і Церкви, при чому єдиної Української Автокефальної Церкви, що є невід’ємним для формування громадянського суспільства.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З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цього приводу Блаженніший Любомир Гузар зазначив: “Держава не може об’єднати Церкви. Держава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може т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ільки створити певні передумови, абсолютно однаково трактуючи всі існуючі Церкви, які мають об’єднатися. Відтак вона має чекати і тішитися коли відбудеться справжнє об’єднання, бо воно слугує зміцненню держави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… А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ми, віруючі люди, не маємо вибору, нам даний чіткий Божий наказ – Божа заповідь: Єдність Церкви і ми повинні її виконувати… Не має сумніву, що минулі велич і слава Києва були безпосередньо пов’язані з його Церквою” [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3, с.36-37].</w:t>
      </w:r>
      <w:proofErr w:type="gramEnd"/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Про актуальність та значимість цієї проблеми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ідчать всезростаючий авторитет і довіра українського народу до Церкви. Це також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ідтверджує І. Мищак, посилаючись на результати соціологічних опитувань Київського міжнародного інституту соціології (лютий 2012 р.) і соціологічної служби Центру Разумкова (грудень 2011 р.). У першому випадку з’ясовано наскільки громадяни довіряють або не довіряють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ізним суспільним та політичним інституціям і встановлено, що позитивний баланс довіри респондентів є лише для двох інституцій: Церкви (баланс довіри +45%) та ЗМІ (+12%). У другому випадку, проведено порівняння показників недовіри до Церкви у грудні 2000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з груднем 2011 р., якими підтверджено зменшення повної недовіри респондентів з 14,5 % до 7,4 %, тобто у двічі. Отже зазначені дані підтверджують стабільно високий рівень довіри до Церкви на тлі зменшення довіри до влади та інших суспільних інститутів.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Кр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ім того, І. Мищак вказав на зростання “усвідомлення респондентами важливої ролі Церкви в суспільстві і визнання її заслуг у порівнянні з іншими інститутами. Водночас подібна позитивна динаміка певною мірою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ідтверджує і про збалансовані державно-церковні відносини та загалом ефективне нормативно-правове регулювання державно-церковних відносин, завдяки чому релігійні організації можуть вільно проводити свою діяльність” [9, с.304].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З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огляду на вищевказане, для успішного вирішення одного з основних завдань дослідження – аналізу й оцінки розвитку взаємовідносин держави і Церкви, в Україні доцільно обрати певну методологію, науковий інструментарій, що і визначило мету даної публікації. Саме масив, сукупність засобів, підходів, принципів, форм, способів, дієвих прийомів системи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ізнання і дослідницької діяльності суттєво підвищить її результативність.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Нажаль питання взаємовідносин держави і Церкви з точки зору обрання правильної методології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досл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ідження не достатньо висвітлені у наукових розробках, хоча є праці релігієзнавчо-історичного характеру, в яких простежується взаємозв’язок етнонаціональних та державотворчих процесів з релігійно-церковними. У даному контексті уваги заслуговують роботи М. Грушевського, А. Захарчука, А. Колодного, О. Лисенка, І. Луцького, Ю. Федорова, М.Чичеровського, де </w:t>
      </w: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lastRenderedPageBreak/>
        <w:t xml:space="preserve">проаналізовані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ізні підходи до суті феномену релігії, її ролі у процесі державотворення, впливу на духовно-культурний аспект відродження української нації у процесі переходу суспільства від тотального атеїзму до визнання релігії і Церкви. Значення Церкви у процесі трансформації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ітоглядних пріоритетів Української нації та творення якісно нової системи морально-етичних цінностей народу підкреслюють І. Луцький, О. Каленюк, В.Стецюк. Відносини між державою і Церквою в сучасній Україні розглядалися у працях В.Бондаренка, М. Горячої, О. Грицини, А. В.Ковбана, А. Колодного, А. Лесик, Т. Стефанчишина С. Максимчука та ін. На ролі Церкви у вирішенні суспільних проблем акцентують увагу О.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Гор’яч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єва, Н. Зайцева-Ціпок, О. Самойленко, М. Чировський, Л. Филипишин. Проте, розробок даної проблематики в обраній нами постановці є обмаль, що стимулює до ґрунтовного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досл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ідження цього питання.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Сучасна методологія – складне за змістом і формами вияву утворення, що характеризується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ізноманітними, подекуди протилежними підходами до вивчення історико-правового процесу, розбіжності між якими зумовлені відмінностями у світогляді дослідників й осягненні та розумінні ними правової матерії, умовами їх соціального та індивідуального буття, змінами соціально-політичної, культурологічної ситуації у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іті. Тут доречно цілком погодитись, з думкою відомого вченого А. Фурмана, що методологія – це, передусім, мистецтво осмисленого, майстерного, вишуканого й результативного мислення на предмет того, яким шляхом йти не лише до наукової істини, а й до життєвої правди та людської святості [8, с. 69].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Для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досл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ідження визначеної тематики доцільно використовувати всю гаму методів, які в сучасній науці класифікують по-різному. Однією з найбільш логічних класифікацій, на нашу думку, є поді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на: 1) філософсько-світоглядні методи (діалектики, метафізики); 2)загальнонаукові (системно-структурний, функціональний; формально логічний метод, методи дедукції, індукції, аналізу та синтезу, узагальнення та аналогії, порівняльний та синергетичний методи); 3) спеціальн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о-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або приватно-наукові (конкретно-соціологічний метод (опитування, анкетування, експерименти тощо), статистичний, прогностичний метод, моделювання; математичний метод тощо); 4) спеціально-юридичні методи (формально-догматичний, порівняльно-правовий, метод тлумачення (інтерпретації) правових норм та інші [14, с.12-13; 5, с.23-28; 4, с.12-17].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У процесі вироблення методології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досл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ідження доцільно використовувати комплексний підхід з максимальним застосовуванням загальнонаукових і спеціальних методів наукового пошуку. Діалектичний метод є результативним при проведені аналізу формування прав людини у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ітоглядній та релігійній сфері; здійснення наукової розвідки у царині взаємовпливу права та релігії, державних і релігійних інститутів, при вироблені державно-релігійних відносин, їхнє правове й організаційне забезпечення; при оцінці і визначені ролі правових,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ігійних та інших соціальних норм. На що звертає увагу А.В. Ковбан у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своїй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дисертації, що є прикладом ефективного використання методів у науковій розробці [6].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Також діалектичний метод є ефективний при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досл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ідженні взаємовідносин Церкви та релігійних організацій і держави як юридичних осіб, їх майнові відносини на різних стадіях суспільного розвитку. 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Діалектичний метод, розроблений і сформульований Г. Гегелем на ідеалістичному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ідґрунті, має всеохоплюючий характер і займає визначальне місце у науковому опрацюванні даної теми. Оскільки в основі цього методу лежать принципи всебічності наукового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ізнання, всезагальності, взаємовпливу, то й цінність його є незаперечна. Завдяки цьому методу державно-церковні явища науко обґрунтовуються й оцінюються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ізносторонньо, при цьому велика увага надається передумовам виникнення, їх змісту, визначальним особливостям, формам функціонування, взаємозв’язкам, закономірностям їхнього розвитку, з врахуванням схвального відношення до ідеалістичного світогляду суспільства. 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Історико-правовий метод забезпечує ефективність аналізу “еволюції прав людини в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ігійній сфері в різні історичні періоди державно-церковних відносин і правових систем на території України”. Завдяки цьому науковому інструменту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досл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ідник здатний висвітлити матеріал послідовно, в хронологічному порядку, по мірі їх виникнення, що забезпечить об’єктивність дослідження. Саме аналіз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ізних процесів у державно-церковній сфері на етапах історичного розвитку людства забезпечить виявлення тенденцій і закономірностей їхнього генезису.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Кр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ім того, на цій основі можна простежити наявність чи відсутність наступності в розвитку Церкви і права, і дійти висновку про доцільність або недоцільність використання відповідного історичного досвіду. Так, проаналізувавши розвиток прав і свобод людини, зокрема, свободу сові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 та віросповідання в незалежній Україні, можна зробити висновок про наявність тенденції їхнього постійного розширення і посилення їх захисту. Важливим етапом у цьому процесі було прийняття Конституції України та Закону України “Про свободу сові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 та релігійні організації” [1], які надали юридичної легітимності принципам і засадам, правовим засобам реалізації свободи релігії, її охорони і захисту, </w:t>
      </w: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lastRenderedPageBreak/>
        <w:t>законодавчо внормували окремі галузі державно-церковних відносин, визначили правовий статус діяльності релігійних організацій.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Використання порівняльно-правового методу здатне забезпечити виокремлення особливих рис “права на свободу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ітогляду та віросповідання, відносин держави та релігійних організацій у інших країнах світу в порівнянні з правовим досвідом України у цій сфері” [6].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Кр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ім того, цей метод допомагає провести зіставлення юридичних понять, явищ, процесів, виявлення спільностей і відмінностей у державно-церковних відносинах, їхньому правому регулюванню.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Також на те, що порівняльно-правовий метод є ефективний “при з’ясуванні праворозуміння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ізних світоглядних та релігійних концепцій, виявленні особливостей співвідношення правових та релігійних норм, відносин релігійних та державних інститутів у процесі правового й організаційного регулювання та забезпечення діяльності цього механізму” вказує А. В.Ковбан [6].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Системний метод є важливим для розгляду свободи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ітогляду і віросповідання як елемента системи прав і свобод людини та громадянина, а проведення характеристики Церкви і держави – в системі соціальних процесів . Використання цього методу забезпечує всебічний аналіз правового статусу Церкви та релігійних організацій як юридичних осіб, їх співвідношення з іншими державно-правовими інститутами.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Отож, для повноти наукової розвідки взаємовідносин держави і Церкви її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ідґрунтям мають стати фундаментальні ідеї, концептуальні засади, принципи, підходи та методи сучасної методології у поєднанні один з одним, що є запорукою дотримання основних методологічних вимог – всебічності, повноти, істинності наукового дослідження. Визначальною ж парадигмою є ствердження єдності розвитку державно-правової дійсності і Церкви.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Кр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ім того, важливим в ході дослідження проблем взаємовідносин держави і Церкви є використання такого методологічного засобу як розробка категорій та понять, “оскільки поняття і категорії є вузловими пунктами пізнання та слугують засобом практичного удосконалення держави-правових явищ” [12, с. 33]. Практично-теоретичний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івень кожного дослідження визначається належним рівнем розробки його понятійно-категоріального апарату, наявність якого власне й виділяє напрямок досліджень у самостійну наукову систему.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Понятійно-категоріальний апарат характеризується внутрішньою будовою, котра складається з окремих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ідструктур у вигляді категорій (понять і суджень), принципів, постулатів, які є підмурками в розробці концепцій, парадигм, виведенні закономірностей. За твердженням О.Ф. Скакун “поняття і категорії завдяки постійному своєму розвитку відкривають можливості для осмислення динаміки конкретних державно-правових явищ, проникнення в їх сутність, глибинні процеси, що відбуваються в них” [12, с. 33].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На думку багатьох вчених у юридичній літературі відсутня усталена термінологія стосовно відносин, які виникають між Церквою і державою, та між державою і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ігійними організаціями. Здебільшого, науковці вивчають державно-конфесійні відносини в межах богословського,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соц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іологічного, філософського, історичного, а не юридично-організаційного підходу.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Термін “Церква” набув широкого розповсюдження в історичній, філософській та богословській літературі, що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ідчить про його багатоаспектність. При цьому термін “Церква” </w:t>
      </w: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noBreakHyphen/>
        <w:t xml:space="preserve"> багатозначне поняття: по-перше, це об’єднання віруючих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основі спільного віровчення чи культу; по-друге, згідно з християнськими віровченнями – це містичне тіло Христа – спільнота віруючих у Бозі, сполучена словом божим, священоначалом і таїнствами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 невидимим керівництвом Бога для вічного життя і спасіння [15, с. 646].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Суворов Н. С. характеризував “Церкву” як союз людей, які сповідують християнську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ігію. На відміну від національних і політичних союзів Церква може розглядатися не тільки як спілкування або союз людей, які сповідують вчення Христа, збори або товариство, породжене вірою, але і як дім Божий тобто установа, яка повинна діяти з метою розповсюдження християнської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віри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і насадження християнського життя між людьми [13, с.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2].</w:t>
      </w:r>
      <w:proofErr w:type="gramEnd"/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На думку В. М. Шевченка,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 терміном “Церква” розуміється особливий тип релігійної організації, об’єднання послідовників тієї чи іншої релігії на основі спільності віровчення і культу; християнська культова споруда з вівтарем і приміщенням для проведення богослужінь [18, с. 397].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Досить розповсюджена точка зору, з позиції якої Церква є типом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ігійної організації з складною, чіткою централізованою та ієрархічною системою взаємодії між священиками і віруючими, що здійснює функції вироблення, збереження, передачі релігійної інформації, організації й координації релігійної діяльності та контролю за поведінкою віруючих [16, с.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37].</w:t>
      </w:r>
      <w:proofErr w:type="gramEnd"/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У ст. 5 та ст. 6 Закону України “Про свободу сові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 та релігійні організації” також відбувається ототожнення понять “Церква” та “релігійні організації” [1], що, на нашу думку, є не зовсім точним. Саме тому, до цього Закону як зазначив А. В.Ковбан, доречно внести зміни, “визначивши Церкву як самостійне централізоване й ієрархічне об’єднання віруючих із відповідним апаратом управління, створене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на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основі єдиного віровчення чи культу. Основними складовими </w:t>
      </w: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lastRenderedPageBreak/>
        <w:t>створеної дефініції мають стати ознаки: самостійність та структурованість, ієрархічний характер і централізація управління, поділ віруючих на служителі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культу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та мирян, визначена догматична та культова діяльність. Отже, запропоновано, і на нашу думку є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доц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ільним, це та інші поняття, які стосуються релігійних відносин, легітимізувати в окремому розділі Закону під назвою “Визначення основних термінів і понять” [6].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З’ясування змісту поняття «держава», потрібно почати з оцінки її неоднозначного сприйняття, що викликаний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ізним розумінням її суті і визначальних рис. Одні дослідники ототожнювали державу з країною, інші – із суспільством, треті – з колом осіб, що здійснюють владу, сприймаючи її як механізм влади [13, с.19-21]. Всі ці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ідходи відображають лише окремі аспекти функціонування держави – як засобу організації суспільного життя чи знаряддя примусу; як певної територіальної організації населення; як масштабної юридичної особи. Для розкриття обраної теми важливо з’ясувати сутність держави як інституту правового забезпечення взаємовідносин держави і Церкви, як гаранта реалізації свободи сові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 та віросповідання, як механізму влади, яка чітко визначила правовий статус релігійних та атеїстичних організацій і неухильно охороняє його. Сучасний правовий стан держави в основному відповідає вказаним вимогам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.</w:t>
      </w:r>
      <w:proofErr w:type="gramEnd"/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Аналіз джерел вказу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є,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що поняття «релігійна організація» також потребує деталізації, уніфікації і з врахуванням наукових пропозицій його сформулювати: як “добровільне, організаційно оформлене, постійно діюче об’єднання віруючих, що базується на єдності, спільній віросповідній парадигмі, культовій, ритуальній, обрядовій практиці, створене ними для задоволення своїх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ігійних і пов’язаних з ними потреб, інтересів та проведення необхідної для цього відповідної діяльності” [11, с. 69].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Таким чином, обґрунтування методологічних засад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досл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ідження взаємовідносин держави і Церкви, його принципів, підходів, системи категорій, встановлення змісту методології, з’ясування сутності основних методів та рівень їх застосування сприятиме оптимізації процесу наукового пізнання, підвищить рівень, результативність і якість спланованого пошуку в цілому. Тому вироблення методології даної наукової розвідки є її визначальним завданням визначеного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досл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ідження.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 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</w:r>
      <w:r w:rsidRPr="00644749">
        <w:rPr>
          <w:rFonts w:ascii="Tahoma" w:eastAsia="Times New Roman" w:hAnsi="Tahoma" w:cs="Tahoma"/>
          <w:b/>
          <w:bCs/>
          <w:color w:val="000000"/>
          <w:sz w:val="20"/>
          <w:szCs w:val="20"/>
          <w:lang w:eastAsia="ru-RU"/>
        </w:rPr>
        <w:t>Список використаних джерел: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1. Про свободу сові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 та релігійні організації: Закон України від 23 квітня 1991 року №987-XII. – [Електронний ресурс]. – Режим доступу: – http:// www.rada-gov.ua.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2. Про реалізацію євроінтеграційних прагнень України та укладення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У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годи про асоціацію між Україною та Європейським Союзом: Заява ВРУ від 22 лютого 2013р. № 30-VII. – [Електронний ресурс]. – Режим доступу: http://zakon4.rada.gov.ua/laws/show/30-18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3. Бути людиною: Збірник цитат Блаженнішого Любомира (Гузара) / Упорядник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о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. 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гор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Яців. – Львів: Друкарські куншти, 2011. – 96 с.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4. Волинка К.Г. Теорія держави і права: [навч.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пос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іб.] / К.Г. Волинка. – К.: МАУП, 2003. – 240 с.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5. Загальна теорія держави і права: [навч.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пос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іб.] / Р.А. Калюжний, С.М. Тимченко, Н.М.Пархоменко, С.М. Легуша. – К.: Вид. Паливода А.В., 2007. – 296 с.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6. Ковбан А.В. Конституційно-правова регламентація права людини на свободу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св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ітогляду та віросповідання в Україні: дис. канд. юр. наук: спец. 12.0002. / А.В. Ковбан.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-О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., 2010. – [Електронний ресурс]. – Режим доступу: http://mydisser.com/en/catalog/view/6/344/6990.html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7. Кохановский В.П. Философия и методология науки / В.П. Кохановский. </w:t>
      </w: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noBreakHyphen/>
        <w:t xml:space="preserve"> Ростов н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/Д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, 1999. </w:t>
      </w: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noBreakHyphen/>
        <w:t xml:space="preserve"> 576 с.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8. Кравчук М.В. Методичні засади проведення історико-правового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досл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ідження / М.В.Кравчук // Психологія і суспільство. – 2009. – №3. – С.69-80. 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9. Мищак І.М. Трансформація міжнародно-правових норм у сфері свободи сові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ст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 та віросповідання в конституційне законодавство України / І.М. Мищак // Конституційні засади модернізації України. – К.: Інститут законодавства Верховної Ради України, 2012. – С.303-311.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10. Петряев К.Д. Вопросы методологии исторической науки / К.Д. Петряев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. – </w:t>
      </w: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noBreakHyphen/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К., 1971. – 163с.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11. Подопригора Р.А. Государство и религиозные организации (административно-правовые вопросы) / Р.А. Подопригора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. –</w:t>
      </w: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noBreakHyphen/>
        <w:t xml:space="preserve"> 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Алматы, 2002. – 324 с.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12. Скакун О.Ф. Теорія держави і права. Енциклопедичний курс: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ідручник. / О.Ф. Скакун. – Х.: Еспада, 2006. – 776 c.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>13. Суворов Н.С. Учебник церковного права/ Н.С. Суворов. – М.: Зерцало, 2004. – 504с.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14. Теорія держави і права (опорні конспекти): [навч.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пос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ібник для студентів вищ. навч. закладів] / Авт.-упорядник Кравчук М.В. – К.: Атіка, 2008. – 288c.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lastRenderedPageBreak/>
        <w:tab/>
        <w:t xml:space="preserve">15. Філософський словник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соц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іальних термінів. – Вид. третє, доповнене. – Х.: Р. И. Ф., 2005 – 672 с.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16. Черній А.М.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ігієзнавство: [навч. посіб.] / А.М. Черній, А.І. Лахно. – К.: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Вид-во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 xml:space="preserve"> Європейського ун-ту, 2004. – 288 с.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17. Черній А.М.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ігієзнавство: [навч. посіб.]. – К.: Академвидав, 2003. – 351 c.</w:t>
      </w:r>
    </w:p>
    <w:p w:rsidR="00644749" w:rsidRPr="00644749" w:rsidRDefault="00644749" w:rsidP="00644749">
      <w:pPr>
        <w:shd w:val="clear" w:color="auto" w:fill="ECF0F4"/>
        <w:spacing w:after="0" w:line="240" w:lineRule="auto"/>
        <w:jc w:val="both"/>
        <w:rPr>
          <w:rFonts w:ascii="Tahoma" w:eastAsia="Times New Roman" w:hAnsi="Tahoma" w:cs="Tahoma"/>
          <w:color w:val="000000"/>
          <w:sz w:val="20"/>
          <w:szCs w:val="20"/>
          <w:lang w:eastAsia="ru-RU"/>
        </w:rPr>
      </w:pPr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ab/>
        <w:t xml:space="preserve">18. Шевченко В.М. Словник-довідник з </w:t>
      </w:r>
      <w:proofErr w:type="gramStart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рел</w:t>
      </w:r>
      <w:proofErr w:type="gramEnd"/>
      <w:r w:rsidRPr="00644749">
        <w:rPr>
          <w:rFonts w:ascii="Tahoma" w:eastAsia="Times New Roman" w:hAnsi="Tahoma" w:cs="Tahoma"/>
          <w:color w:val="000000"/>
          <w:sz w:val="20"/>
          <w:szCs w:val="20"/>
          <w:lang w:eastAsia="ru-RU"/>
        </w:rPr>
        <w:t>ігієзнавства / В.М. Шевченко. – К.: Наукова думка, 2004. – 560 с. </w:t>
      </w:r>
    </w:p>
    <w:p w:rsidR="00640372" w:rsidRDefault="00640372">
      <w:bookmarkStart w:id="0" w:name="_GoBack"/>
      <w:bookmarkEnd w:id="0"/>
    </w:p>
    <w:sectPr w:rsidR="00640372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44749"/>
    <w:rsid w:val="00043287"/>
    <w:rsid w:val="00050566"/>
    <w:rsid w:val="00054DB4"/>
    <w:rsid w:val="00061094"/>
    <w:rsid w:val="00073980"/>
    <w:rsid w:val="0007552B"/>
    <w:rsid w:val="000A16C9"/>
    <w:rsid w:val="000A310C"/>
    <w:rsid w:val="000B1ED1"/>
    <w:rsid w:val="000C45C4"/>
    <w:rsid w:val="000C4EAA"/>
    <w:rsid w:val="000C5294"/>
    <w:rsid w:val="000E2DEF"/>
    <w:rsid w:val="000E5207"/>
    <w:rsid w:val="000F143D"/>
    <w:rsid w:val="00100B0F"/>
    <w:rsid w:val="0016414C"/>
    <w:rsid w:val="001977EB"/>
    <w:rsid w:val="001B5647"/>
    <w:rsid w:val="001C0395"/>
    <w:rsid w:val="001C3B73"/>
    <w:rsid w:val="001C4D3E"/>
    <w:rsid w:val="001D4884"/>
    <w:rsid w:val="00243B37"/>
    <w:rsid w:val="00243F5A"/>
    <w:rsid w:val="00256C55"/>
    <w:rsid w:val="00276510"/>
    <w:rsid w:val="002D73B1"/>
    <w:rsid w:val="002F4F8D"/>
    <w:rsid w:val="003403C4"/>
    <w:rsid w:val="00343B35"/>
    <w:rsid w:val="00381B0A"/>
    <w:rsid w:val="003B5A75"/>
    <w:rsid w:val="003C281C"/>
    <w:rsid w:val="003D1055"/>
    <w:rsid w:val="003D713F"/>
    <w:rsid w:val="003D739D"/>
    <w:rsid w:val="003E1284"/>
    <w:rsid w:val="00410149"/>
    <w:rsid w:val="00445AD5"/>
    <w:rsid w:val="00475CE0"/>
    <w:rsid w:val="00490BFB"/>
    <w:rsid w:val="004A7CC8"/>
    <w:rsid w:val="004B2881"/>
    <w:rsid w:val="004B446F"/>
    <w:rsid w:val="004E0465"/>
    <w:rsid w:val="0051350D"/>
    <w:rsid w:val="0057518D"/>
    <w:rsid w:val="00577D9F"/>
    <w:rsid w:val="005819E8"/>
    <w:rsid w:val="00584A36"/>
    <w:rsid w:val="00585702"/>
    <w:rsid w:val="005858B1"/>
    <w:rsid w:val="00590E6D"/>
    <w:rsid w:val="00593FB8"/>
    <w:rsid w:val="005B5768"/>
    <w:rsid w:val="005D6707"/>
    <w:rsid w:val="005E5907"/>
    <w:rsid w:val="00640372"/>
    <w:rsid w:val="0064327A"/>
    <w:rsid w:val="00644749"/>
    <w:rsid w:val="00664581"/>
    <w:rsid w:val="006707A1"/>
    <w:rsid w:val="006C55CF"/>
    <w:rsid w:val="006C6B9C"/>
    <w:rsid w:val="00704E32"/>
    <w:rsid w:val="00731E19"/>
    <w:rsid w:val="00745FBD"/>
    <w:rsid w:val="00753310"/>
    <w:rsid w:val="0076022B"/>
    <w:rsid w:val="007822B5"/>
    <w:rsid w:val="007A3DF2"/>
    <w:rsid w:val="007C0411"/>
    <w:rsid w:val="007C212F"/>
    <w:rsid w:val="007C5A81"/>
    <w:rsid w:val="007C77AC"/>
    <w:rsid w:val="007E692D"/>
    <w:rsid w:val="007F3F8F"/>
    <w:rsid w:val="008027E2"/>
    <w:rsid w:val="008242D1"/>
    <w:rsid w:val="00854560"/>
    <w:rsid w:val="00893BC8"/>
    <w:rsid w:val="008A01BD"/>
    <w:rsid w:val="008A29B9"/>
    <w:rsid w:val="008A46F5"/>
    <w:rsid w:val="008C7F18"/>
    <w:rsid w:val="008D069D"/>
    <w:rsid w:val="008E4BC5"/>
    <w:rsid w:val="008E77EF"/>
    <w:rsid w:val="00923B8F"/>
    <w:rsid w:val="009363E7"/>
    <w:rsid w:val="009556E3"/>
    <w:rsid w:val="0098685F"/>
    <w:rsid w:val="009B606F"/>
    <w:rsid w:val="009C7427"/>
    <w:rsid w:val="009F7446"/>
    <w:rsid w:val="00A05993"/>
    <w:rsid w:val="00A31FF4"/>
    <w:rsid w:val="00A43907"/>
    <w:rsid w:val="00A536C3"/>
    <w:rsid w:val="00A77C0C"/>
    <w:rsid w:val="00A93172"/>
    <w:rsid w:val="00AA44F0"/>
    <w:rsid w:val="00AC7874"/>
    <w:rsid w:val="00AD41EB"/>
    <w:rsid w:val="00AD584B"/>
    <w:rsid w:val="00AD7ADD"/>
    <w:rsid w:val="00B04EF5"/>
    <w:rsid w:val="00B064C9"/>
    <w:rsid w:val="00B404F2"/>
    <w:rsid w:val="00B61D4D"/>
    <w:rsid w:val="00B717B7"/>
    <w:rsid w:val="00BB4139"/>
    <w:rsid w:val="00BE40E9"/>
    <w:rsid w:val="00C0642E"/>
    <w:rsid w:val="00C07E58"/>
    <w:rsid w:val="00C155F2"/>
    <w:rsid w:val="00C37892"/>
    <w:rsid w:val="00C44D45"/>
    <w:rsid w:val="00C86F81"/>
    <w:rsid w:val="00C9126F"/>
    <w:rsid w:val="00C92780"/>
    <w:rsid w:val="00CE1CFB"/>
    <w:rsid w:val="00CE3C94"/>
    <w:rsid w:val="00CE4660"/>
    <w:rsid w:val="00CE607A"/>
    <w:rsid w:val="00CF377C"/>
    <w:rsid w:val="00CF3A73"/>
    <w:rsid w:val="00CF47D1"/>
    <w:rsid w:val="00D11F1C"/>
    <w:rsid w:val="00D24D76"/>
    <w:rsid w:val="00D7668A"/>
    <w:rsid w:val="00D8309C"/>
    <w:rsid w:val="00D93784"/>
    <w:rsid w:val="00D967A8"/>
    <w:rsid w:val="00DA6B1C"/>
    <w:rsid w:val="00DB5C7D"/>
    <w:rsid w:val="00DB72A6"/>
    <w:rsid w:val="00DC6875"/>
    <w:rsid w:val="00DC7DD1"/>
    <w:rsid w:val="00DD351A"/>
    <w:rsid w:val="00E10691"/>
    <w:rsid w:val="00E355C6"/>
    <w:rsid w:val="00E67231"/>
    <w:rsid w:val="00E92101"/>
    <w:rsid w:val="00E96559"/>
    <w:rsid w:val="00EA46AA"/>
    <w:rsid w:val="00EA516E"/>
    <w:rsid w:val="00EB0FF9"/>
    <w:rsid w:val="00EC4A3C"/>
    <w:rsid w:val="00EC5149"/>
    <w:rsid w:val="00F4153D"/>
    <w:rsid w:val="00F657D8"/>
    <w:rsid w:val="00F70E7D"/>
    <w:rsid w:val="00FA571E"/>
    <w:rsid w:val="00FB1A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47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474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6447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644749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83908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7708217">
          <w:marLeft w:val="0"/>
          <w:marRight w:val="0"/>
          <w:marTop w:val="0"/>
          <w:marBottom w:val="0"/>
          <w:divBdr>
            <w:top w:val="single" w:sz="2" w:space="1" w:color="CBD5E0"/>
            <w:left w:val="single" w:sz="2" w:space="1" w:color="CBD5E0"/>
            <w:bottom w:val="single" w:sz="2" w:space="1" w:color="CBD5E0"/>
            <w:right w:val="single" w:sz="2" w:space="1" w:color="CBD5E0"/>
          </w:divBdr>
          <w:divsChild>
            <w:div w:id="98451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474004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9975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461291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4190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806595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714700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22097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406299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98283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304890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97971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04213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28517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577712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098452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803726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901115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425719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837951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506920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5129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435082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499809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80396564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688131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517704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272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018498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808471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8549355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4429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2089510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56031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4867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698235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55693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142126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796389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44693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959156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005634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075134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4263199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5754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2339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562300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371879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28663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hyperlink" Target="http://www.legalactivity.com.ua/index.php?option=com_mailto&amp;tmpl=component&amp;link=aHR0cDovL3d3dy5sZWdhbGFjdGl2aXR5LmNvbS51YS9pbmRleC5waHA/b3B0aW9uPWNvbV9jb250ZW50JnZpZXc9YXJ0aWNsZSZpZD01MDAlM0EyMjAzMTMtMDYmY2F0aWQ9NjAlM0ExLTAzMTMmSXRlbWlkPTc1Jmxhbmc9cnU%3D&amp;lang=ru" TargetMode="External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hyperlink" Target="http://www.legalactivity.com.ua/index.php?view=article&amp;catid=60:1-0313&amp;id=500:220313-06&amp;tmpl=component&amp;print=1&amp;layout=default&amp;page=&amp;option=com_content&amp;Itemid=75&amp;lang=ru" TargetMode="External"/><Relationship Id="rId10" Type="http://schemas.openxmlformats.org/officeDocument/2006/relationships/hyperlink" Target="http://www.legalactivity.com.ua/index.php?option=com_content&amp;view=category&amp;id=60%3A1-0313&amp;Itemid=75&amp;lang=ru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legalactivity.com.ua/index.php?option=com_content&amp;view=section&amp;id=17&amp;Itemid=74&amp;lang=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3038</Words>
  <Characters>17320</Characters>
  <Application>Microsoft Office Word</Application>
  <DocSecurity>0</DocSecurity>
  <Lines>144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20318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vmk</dc:creator>
  <cp:lastModifiedBy>vmk</cp:lastModifiedBy>
  <cp:revision>1</cp:revision>
  <dcterms:created xsi:type="dcterms:W3CDTF">2017-01-12T01:54:00Z</dcterms:created>
  <dcterms:modified xsi:type="dcterms:W3CDTF">2017-01-12T01:54:00Z</dcterms:modified>
</cp:coreProperties>
</file>