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66E" w:rsidRPr="0055766E" w:rsidRDefault="0055766E" w:rsidP="0055766E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5766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Адамів С.Є.</w:t>
      </w:r>
    </w:p>
    <w:p w:rsidR="0055766E" w:rsidRPr="0055766E" w:rsidRDefault="0055766E" w:rsidP="0055766E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</w:pPr>
      <w:r w:rsidRPr="0055766E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викладач кафедри ділової комунікації та організаційної поведінки </w:t>
      </w:r>
    </w:p>
    <w:p w:rsidR="0055766E" w:rsidRPr="0055766E" w:rsidRDefault="0055766E" w:rsidP="0055766E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</w:pPr>
      <w:r w:rsidRPr="0055766E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Тернопільського національного економічного університету</w:t>
      </w:r>
    </w:p>
    <w:p w:rsidR="0055766E" w:rsidRPr="0055766E" w:rsidRDefault="0055766E" w:rsidP="0055766E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</w:pPr>
      <w:r w:rsidRPr="0055766E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м. Тернопіль, Україна</w:t>
      </w:r>
    </w:p>
    <w:p w:rsidR="00C627A2" w:rsidRPr="00C627A2" w:rsidRDefault="00C627A2" w:rsidP="005576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ВИКОРИСТАННЯ</w:t>
      </w:r>
      <w:r w:rsidRPr="00C627A2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 xml:space="preserve"> ІНТЕРАКТИВНИХ ТЕХНОЛОГІЙ У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 xml:space="preserve">ПРОФЕСІЙНІЙ </w:t>
      </w:r>
      <w:r w:rsidRPr="00C627A2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ПІДГОТОВЦІ МАЙБУТНІХ МАРКЕТОЛОГІВ</w:t>
      </w:r>
    </w:p>
    <w:p w:rsidR="00C627A2" w:rsidRPr="00C627A2" w:rsidRDefault="00C627A2" w:rsidP="00BF1A1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en-GB"/>
        </w:rPr>
        <w:t xml:space="preserve"> </w:t>
      </w:r>
      <w:r w:rsidRPr="00C627A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 xml:space="preserve"> Психолого-педагогічне, інноваційно-методичне й організаційно-технологічне спрямування реалізації наукових підходів у навчанні студентів економічного профілю </w:t>
      </w:r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передбачає переосмислення традиційних способів підготовки майбутніх маркетологів. Це </w:t>
      </w:r>
      <w:r w:rsidR="00BF1A1B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потребує</w:t>
      </w:r>
      <w:r w:rsidR="00BF1A1B"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</w:t>
      </w:r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впровадження в освітнє середовище ВНЗ ефективних педагогічних технологій</w:t>
      </w:r>
      <w:r w:rsidR="00BF1A1B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на основі </w:t>
      </w:r>
      <w:r w:rsidRPr="00C627A2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>суттєвої корекції в організації навчального процесу.</w:t>
      </w:r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Особливого значення набувають педагогічні технології</w:t>
      </w:r>
      <w:r w:rsidRPr="00C627A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>, які базуються на активній діалогічній взаємодії суб’єктів освітньої діяльності.</w:t>
      </w:r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Загальне визнання в означеному контексті набули технології інтерактивного навчання. </w:t>
      </w:r>
    </w:p>
    <w:p w:rsidR="00C627A2" w:rsidRPr="00C627A2" w:rsidRDefault="00C627A2" w:rsidP="00C627A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C627A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 xml:space="preserve"> </w:t>
      </w:r>
      <w:r w:rsidRPr="00C627A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ab/>
      </w:r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У професійній підготовці майбутніх маркетологів засоби інтерактивних технологій доцільно структурувати в три групи складових навчального середовища: матеріальну, інформаційну та організаційну. </w:t>
      </w:r>
    </w:p>
    <w:p w:rsidR="00C627A2" w:rsidRPr="00C627A2" w:rsidRDefault="00C627A2" w:rsidP="00C627A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</w:pPr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До матеріальної та інформаційної складових інтерактивних технологій відносяться </w:t>
      </w:r>
      <w:r w:rsidRPr="00C627A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 xml:space="preserve">технічні й інформативні засоби навчання (інтерактивна дошка,  </w:t>
      </w:r>
      <w:proofErr w:type="spellStart"/>
      <w:r w:rsidRPr="00C627A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>мультимедіа</w:t>
      </w:r>
      <w:proofErr w:type="spellEnd"/>
      <w:r w:rsidRPr="00C627A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 xml:space="preserve">, комп’ютерна техніка, </w:t>
      </w:r>
      <w:proofErr w:type="spellStart"/>
      <w:r w:rsidRPr="00C627A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>Інтернет-ресурси</w:t>
      </w:r>
      <w:proofErr w:type="spellEnd"/>
      <w:r w:rsidRPr="00C627A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 xml:space="preserve"> тощо). Інтерактивне середовище у навчальному процесі вищої школи </w:t>
      </w:r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визначається засобами, які </w:t>
      </w:r>
      <w:r w:rsidRPr="00C627A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 xml:space="preserve">сприяють вирішенню завдань навчання, виховання і розвитку майбутнього фахівця на основі спільної діяльності викладача і студентів. </w:t>
      </w:r>
      <w:r w:rsidRPr="00C627A2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uk-UA" w:eastAsia="en-GB"/>
        </w:rPr>
        <w:t>Науковці стверджують, що засоби навчання завжди характеризуються різноманітністю форм реалізації та методик їх використання</w:t>
      </w:r>
      <w:r w:rsidRPr="00C627A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>, що потребує чіткого визначення і структурування</w:t>
      </w:r>
      <w:r w:rsidRPr="00C627A2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uk-UA" w:eastAsia="en-GB"/>
        </w:rPr>
        <w:t xml:space="preserve"> </w:t>
      </w:r>
      <w:r w:rsidRPr="00C627A2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val="uk-UA" w:eastAsia="en-GB"/>
        </w:rPr>
        <w:t xml:space="preserve">інтерактивних методів у професійній підготовці майбутніх маркетологів. </w:t>
      </w:r>
    </w:p>
    <w:p w:rsidR="00C627A2" w:rsidRPr="00C627A2" w:rsidRDefault="00C627A2" w:rsidP="00BF1A1B">
      <w:pPr>
        <w:tabs>
          <w:tab w:val="left" w:pos="-18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8"/>
          <w:lang w:val="uk-UA" w:eastAsia="en-GB"/>
        </w:rPr>
      </w:pPr>
      <w:r w:rsidRPr="00C627A2">
        <w:rPr>
          <w:rFonts w:ascii="Times New Roman" w:eastAsia="Times New Roman" w:hAnsi="Times New Roman" w:cs="Times New Roman"/>
          <w:iCs/>
          <w:spacing w:val="-2"/>
          <w:sz w:val="28"/>
          <w:szCs w:val="28"/>
          <w:lang w:val="uk-UA" w:eastAsia="en-GB"/>
        </w:rPr>
        <w:t xml:space="preserve">Найбільш поширеною у наукових колах є класифікація інтерактивних методів, яку розробив </w:t>
      </w:r>
      <w:proofErr w:type="spellStart"/>
      <w:r w:rsidR="0055766E">
        <w:rPr>
          <w:rFonts w:ascii="Times New Roman" w:eastAsia="Times New Roman" w:hAnsi="Times New Roman" w:cs="Times New Roman"/>
          <w:iCs/>
          <w:spacing w:val="-2"/>
          <w:sz w:val="28"/>
          <w:szCs w:val="28"/>
          <w:lang w:val="uk-UA" w:eastAsia="en-GB"/>
        </w:rPr>
        <w:t>С. Кашлєв</w:t>
      </w:r>
      <w:proofErr w:type="spellEnd"/>
      <w:r w:rsidR="0055766E" w:rsidRPr="0055766E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en-GB"/>
        </w:rPr>
        <w:t xml:space="preserve"> [</w:t>
      </w:r>
      <w:r w:rsidR="0055766E">
        <w:rPr>
          <w:rFonts w:ascii="Times New Roman" w:eastAsia="Times New Roman" w:hAnsi="Times New Roman" w:cs="Times New Roman"/>
          <w:iCs/>
          <w:spacing w:val="-2"/>
          <w:sz w:val="28"/>
          <w:szCs w:val="28"/>
          <w:lang w:val="uk-UA" w:eastAsia="en-GB"/>
        </w:rPr>
        <w:t>1</w:t>
      </w:r>
      <w:r w:rsidR="0055766E" w:rsidRPr="0055766E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en-GB"/>
        </w:rPr>
        <w:t>]</w:t>
      </w:r>
      <w:r w:rsidRPr="00C627A2">
        <w:rPr>
          <w:rFonts w:ascii="Times New Roman" w:eastAsia="Times New Roman" w:hAnsi="Times New Roman" w:cs="Times New Roman"/>
          <w:iCs/>
          <w:spacing w:val="-2"/>
          <w:sz w:val="28"/>
          <w:szCs w:val="28"/>
          <w:lang w:val="uk-UA" w:eastAsia="en-GB"/>
        </w:rPr>
        <w:t xml:space="preserve">. Основною ознакою у його класифікації є  </w:t>
      </w:r>
      <w:r w:rsidRPr="00C627A2">
        <w:rPr>
          <w:rFonts w:ascii="Times New Roman" w:eastAsia="Times New Roman" w:hAnsi="Times New Roman" w:cs="Times New Roman"/>
          <w:iCs/>
          <w:spacing w:val="-2"/>
          <w:sz w:val="28"/>
          <w:szCs w:val="28"/>
          <w:lang w:val="uk-UA" w:eastAsia="en-GB"/>
        </w:rPr>
        <w:lastRenderedPageBreak/>
        <w:t xml:space="preserve">провідна функція </w:t>
      </w:r>
      <w:proofErr w:type="spellStart"/>
      <w:r w:rsidRPr="00C627A2">
        <w:rPr>
          <w:rFonts w:ascii="Times New Roman" w:eastAsia="Times New Roman" w:hAnsi="Times New Roman" w:cs="Times New Roman"/>
          <w:iCs/>
          <w:spacing w:val="-2"/>
          <w:sz w:val="28"/>
          <w:szCs w:val="28"/>
          <w:lang w:val="uk-UA" w:eastAsia="en-GB"/>
        </w:rPr>
        <w:t>інтеракцій</w:t>
      </w:r>
      <w:proofErr w:type="spellEnd"/>
      <w:r w:rsidRPr="00C627A2">
        <w:rPr>
          <w:rFonts w:ascii="Times New Roman" w:eastAsia="Times New Roman" w:hAnsi="Times New Roman" w:cs="Times New Roman"/>
          <w:iCs/>
          <w:spacing w:val="-2"/>
          <w:sz w:val="28"/>
          <w:szCs w:val="28"/>
          <w:lang w:val="uk-UA" w:eastAsia="en-GB"/>
        </w:rPr>
        <w:t xml:space="preserve">, яку вони виконують у педагогічній взаємодії, а саме: методи створення сприятливої атмосфери й організації комунікації, обміну діяльностями, </w:t>
      </w:r>
      <w:proofErr w:type="spellStart"/>
      <w:r w:rsidRPr="00C627A2">
        <w:rPr>
          <w:rFonts w:ascii="Times New Roman" w:eastAsia="Times New Roman" w:hAnsi="Times New Roman" w:cs="Times New Roman"/>
          <w:iCs/>
          <w:spacing w:val="-2"/>
          <w:sz w:val="28"/>
          <w:szCs w:val="28"/>
          <w:lang w:val="uk-UA" w:eastAsia="en-GB"/>
        </w:rPr>
        <w:t>миследіяльності</w:t>
      </w:r>
      <w:proofErr w:type="spellEnd"/>
      <w:r w:rsidRPr="00C627A2">
        <w:rPr>
          <w:rFonts w:ascii="Times New Roman" w:eastAsia="Times New Roman" w:hAnsi="Times New Roman" w:cs="Times New Roman"/>
          <w:iCs/>
          <w:spacing w:val="-2"/>
          <w:sz w:val="28"/>
          <w:szCs w:val="28"/>
          <w:lang w:val="uk-UA" w:eastAsia="en-GB"/>
        </w:rPr>
        <w:t xml:space="preserve">, </w:t>
      </w:r>
      <w:proofErr w:type="spellStart"/>
      <w:r w:rsidRPr="00C627A2">
        <w:rPr>
          <w:rFonts w:ascii="Times New Roman" w:eastAsia="Times New Roman" w:hAnsi="Times New Roman" w:cs="Times New Roman"/>
          <w:iCs/>
          <w:spacing w:val="-2"/>
          <w:sz w:val="28"/>
          <w:szCs w:val="28"/>
          <w:lang w:val="uk-UA" w:eastAsia="en-GB"/>
        </w:rPr>
        <w:t>смислотворчості</w:t>
      </w:r>
      <w:proofErr w:type="spellEnd"/>
      <w:r w:rsidRPr="00C627A2">
        <w:rPr>
          <w:rFonts w:ascii="Times New Roman" w:eastAsia="Times New Roman" w:hAnsi="Times New Roman" w:cs="Times New Roman"/>
          <w:iCs/>
          <w:spacing w:val="-2"/>
          <w:sz w:val="28"/>
          <w:szCs w:val="28"/>
          <w:lang w:val="uk-UA" w:eastAsia="en-GB"/>
        </w:rPr>
        <w:t>, рефлексивної діял</w:t>
      </w:r>
      <w:r w:rsidR="00BF1A1B">
        <w:rPr>
          <w:rFonts w:ascii="Times New Roman" w:eastAsia="Times New Roman" w:hAnsi="Times New Roman" w:cs="Times New Roman"/>
          <w:iCs/>
          <w:spacing w:val="-2"/>
          <w:sz w:val="28"/>
          <w:szCs w:val="28"/>
          <w:lang w:val="uk-UA" w:eastAsia="en-GB"/>
        </w:rPr>
        <w:t>ьності, інтегративні методи [1</w:t>
      </w:r>
      <w:r w:rsidRPr="00C627A2">
        <w:rPr>
          <w:rFonts w:ascii="Times New Roman" w:eastAsia="Times New Roman" w:hAnsi="Times New Roman" w:cs="Times New Roman"/>
          <w:iCs/>
          <w:spacing w:val="-2"/>
          <w:sz w:val="28"/>
          <w:szCs w:val="28"/>
          <w:lang w:val="uk-UA" w:eastAsia="en-GB"/>
        </w:rPr>
        <w:t>, с. 23].</w:t>
      </w:r>
    </w:p>
    <w:p w:rsidR="00C627A2" w:rsidRPr="00C627A2" w:rsidRDefault="00C627A2" w:rsidP="00C627A2">
      <w:pPr>
        <w:tabs>
          <w:tab w:val="left" w:pos="-18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8"/>
          <w:lang w:val="uk-UA" w:eastAsia="en-GB"/>
        </w:rPr>
      </w:pPr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За допомогою використання означених груп інтерактивних методів  відбувається вияв особистісної та групової активності студентів на основі оптимальної взаємодії викладача і майбутніх фахівців. На думку дослідників, найбільш ефективними в цьому випадку є вправи на вміння слухати, передавати інформацію невербальними методами, вправи на прийняття групового рішення і завдання, зорієнтовані на одержання зворотного міжособистісного зв’язку.</w:t>
      </w:r>
    </w:p>
    <w:p w:rsidR="00C627A2" w:rsidRPr="00C627A2" w:rsidRDefault="00C627A2" w:rsidP="00C627A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ab/>
        <w:t xml:space="preserve">Для мобілізації творчого потенціалу кожного студента необхідна  сприятлива навчально-пізнавальна атмосфера, що розвиватиме позитивну мотивацію майбутніх маркетологів до опанування професією. Для активізації </w:t>
      </w:r>
      <w:proofErr w:type="spellStart"/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мисленнєвих</w:t>
      </w:r>
      <w:proofErr w:type="spellEnd"/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навчально-пізнавальних процесів у роботі студентів </w:t>
      </w:r>
      <w:proofErr w:type="spellStart"/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С. Кашлєв</w:t>
      </w:r>
      <w:proofErr w:type="spellEnd"/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рекомендує використовувати інтерактивні методи організації </w:t>
      </w:r>
      <w:proofErr w:type="spellStart"/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миследіяльності</w:t>
      </w:r>
      <w:proofErr w:type="spellEnd"/>
      <w:r w:rsidRPr="00C627A2"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  <w:t> </w:t>
      </w:r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за допомогою виконання студентами спеціальних інтерактивних вправ.</w:t>
      </w:r>
    </w:p>
    <w:p w:rsidR="00C627A2" w:rsidRPr="00C627A2" w:rsidRDefault="00C627A2" w:rsidP="00BF1A1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Важливого значення у підготовці майбутніх маркетологів відіграють інтерактивні методи організації </w:t>
      </w:r>
      <w:proofErr w:type="spellStart"/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смислотворчості</w:t>
      </w:r>
      <w:proofErr w:type="spellEnd"/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. Студенти продукують нові способи інтерактивної взаємодії в умовах навчального процесу, однак ці способи є відображенням кожним учасником </w:t>
      </w:r>
      <w:proofErr w:type="spellStart"/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інтеракції</w:t>
      </w:r>
      <w:proofErr w:type="spellEnd"/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власного розуміння змісту професійних дій. Під час </w:t>
      </w:r>
      <w:proofErr w:type="spellStart"/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діалогічно-полілогічної</w:t>
      </w:r>
      <w:proofErr w:type="spellEnd"/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взаємодії студентів у змодельованих фахових ситуаціях студенти мають змогу обмінюватися </w:t>
      </w:r>
      <w:r w:rsidR="0055766E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певними </w:t>
      </w:r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смислами та розумінням професійних процесів. Таким чином, відбувається збагачення індивідуального уявлення кожного </w:t>
      </w:r>
      <w:r w:rsidR="0055766E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студента </w:t>
      </w:r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про ті чи інші професійні явища. </w:t>
      </w:r>
      <w:r w:rsidR="0055766E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З цією метою використовуються</w:t>
      </w:r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вправи на діагностику комунікативної компетенції, розвиток навичок взаємодії в конфліктних ситуаціях, розвиток навичок </w:t>
      </w:r>
      <w:proofErr w:type="spellStart"/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асертивності</w:t>
      </w:r>
      <w:proofErr w:type="spellEnd"/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, виконання ролей, підготовки до типових і нестандартних комунікативних ситуацій.</w:t>
      </w:r>
    </w:p>
    <w:p w:rsidR="00C627A2" w:rsidRPr="00C627A2" w:rsidRDefault="00BF1A1B" w:rsidP="00C627A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lastRenderedPageBreak/>
        <w:tab/>
      </w:r>
      <w:r w:rsidR="00C627A2"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З метою самоаналізу та самооцінки </w:t>
      </w:r>
      <w:r w:rsidR="0055766E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майбутніми маркетологами своїх</w:t>
      </w:r>
      <w:r w:rsidR="00C627A2"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ді</w:t>
      </w:r>
      <w:r w:rsidR="0055766E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й</w:t>
      </w:r>
      <w:r w:rsidR="00C627A2"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використовуються методи організації рефлексивної діяльності</w:t>
      </w:r>
      <w:r w:rsidRPr="00BF1A1B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, які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 xml:space="preserve"> </w:t>
      </w:r>
      <w:r w:rsidR="00C627A2"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д</w:t>
      </w:r>
      <w:r w:rsidR="0055766E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ають змогу</w:t>
      </w:r>
      <w:r w:rsidR="00C627A2"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викладачу зафіксувати стан </w:t>
      </w:r>
      <w:proofErr w:type="spellStart"/>
      <w:r w:rsidR="00C627A2"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діяльнісної</w:t>
      </w:r>
      <w:proofErr w:type="spellEnd"/>
      <w:r w:rsidR="00C627A2"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активності студентів, продіагностувати і визначити причини й результативність цього процесу. </w:t>
      </w:r>
    </w:p>
    <w:p w:rsidR="00C627A2" w:rsidRPr="00C627A2" w:rsidRDefault="00C627A2" w:rsidP="00C627A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ab/>
        <w:t xml:space="preserve">За умови, коли комплексно використовуються різні способи </w:t>
      </w:r>
      <w:r w:rsidR="0055766E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навчальної </w:t>
      </w:r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взаємодії викладача і студентів, коли об’єднуються всі провідні функції зазначених методів, окреслені засоби інтерактивних технологій визначаються як </w:t>
      </w:r>
      <w:r w:rsidRPr="00C627A2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 xml:space="preserve">інтегративні </w:t>
      </w:r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(інтерактивні </w:t>
      </w:r>
      <w:r w:rsidR="0055766E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ділові та</w:t>
      </w:r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дидактичні ігри, навчальні тренінги).</w:t>
      </w:r>
    </w:p>
    <w:p w:rsidR="00BF1A1B" w:rsidRDefault="00C627A2" w:rsidP="00BF1A1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 w:rsidRPr="00C627A2">
        <w:rPr>
          <w:rFonts w:ascii="Times New Roman" w:eastAsia="Times New Roman" w:hAnsi="Times New Roman" w:cs="Times New Roman"/>
          <w:iCs/>
          <w:spacing w:val="-2"/>
          <w:sz w:val="28"/>
          <w:szCs w:val="28"/>
          <w:lang w:val="uk-UA" w:eastAsia="en-GB"/>
        </w:rPr>
        <w:t>Специфіка інтерактивних методів полягає в тому, що вони мають бінарний характер, тобто тотожні окремим формам організації навчання, що</w:t>
      </w:r>
      <w:r w:rsidR="00562E9D">
        <w:rPr>
          <w:rFonts w:ascii="Times New Roman" w:eastAsia="Times New Roman" w:hAnsi="Times New Roman" w:cs="Times New Roman"/>
          <w:iCs/>
          <w:spacing w:val="-2"/>
          <w:sz w:val="28"/>
          <w:szCs w:val="28"/>
          <w:lang w:val="uk-UA" w:eastAsia="en-GB"/>
        </w:rPr>
        <w:t xml:space="preserve"> пояснюється </w:t>
      </w:r>
      <w:r w:rsidRPr="00C627A2">
        <w:rPr>
          <w:rFonts w:ascii="Times New Roman" w:eastAsia="Times New Roman" w:hAnsi="Times New Roman" w:cs="Times New Roman"/>
          <w:iCs/>
          <w:spacing w:val="-2"/>
          <w:sz w:val="28"/>
          <w:szCs w:val="28"/>
          <w:lang w:val="uk-UA" w:eastAsia="en-GB"/>
        </w:rPr>
        <w:t>багатофункціональніс</w:t>
      </w:r>
      <w:r w:rsidR="00562E9D">
        <w:rPr>
          <w:rFonts w:ascii="Times New Roman" w:eastAsia="Times New Roman" w:hAnsi="Times New Roman" w:cs="Times New Roman"/>
          <w:iCs/>
          <w:spacing w:val="-2"/>
          <w:sz w:val="28"/>
          <w:szCs w:val="28"/>
          <w:lang w:val="uk-UA" w:eastAsia="en-GB"/>
        </w:rPr>
        <w:t>тю педагогічних явищ і процесів</w:t>
      </w:r>
      <w:r w:rsidRPr="00C627A2">
        <w:rPr>
          <w:rFonts w:ascii="Times New Roman" w:eastAsia="Times New Roman" w:hAnsi="Times New Roman" w:cs="Times New Roman"/>
          <w:iCs/>
          <w:spacing w:val="-2"/>
          <w:sz w:val="28"/>
          <w:szCs w:val="28"/>
          <w:lang w:val="uk-UA" w:eastAsia="en-GB"/>
        </w:rPr>
        <w:t>.</w:t>
      </w:r>
      <w:r w:rsidRPr="00C627A2">
        <w:rPr>
          <w:rFonts w:ascii="Times New Roman" w:eastAsia="Times New Roman" w:hAnsi="Times New Roman" w:cs="Times New Roman"/>
          <w:b/>
          <w:iCs/>
          <w:spacing w:val="-2"/>
          <w:sz w:val="28"/>
          <w:szCs w:val="28"/>
          <w:lang w:val="uk-UA" w:eastAsia="en-GB"/>
        </w:rPr>
        <w:t xml:space="preserve"> </w:t>
      </w:r>
      <w:r w:rsidRPr="00C627A2">
        <w:rPr>
          <w:rFonts w:ascii="Times New Roman" w:eastAsia="Times New Roman" w:hAnsi="Times New Roman" w:cs="Times New Roman"/>
          <w:iCs/>
          <w:spacing w:val="-2"/>
          <w:sz w:val="28"/>
          <w:szCs w:val="28"/>
          <w:lang w:val="uk-UA" w:eastAsia="en-GB"/>
        </w:rPr>
        <w:t>Наприклад, лекція водночас є методом і формою організації навчання. У зв’язку з цим актуалізується проблема визначення тих засобів інтерактивних технологій, які можна застосовувати в традиційній лекційно-семінарській формі навчання студентів у вищій школі</w:t>
      </w:r>
      <w:r w:rsidR="00BF1A1B">
        <w:rPr>
          <w:rFonts w:ascii="Times New Roman" w:eastAsia="Times New Roman" w:hAnsi="Times New Roman" w:cs="Times New Roman"/>
          <w:iCs/>
          <w:spacing w:val="-2"/>
          <w:sz w:val="28"/>
          <w:szCs w:val="28"/>
          <w:lang w:val="uk-UA" w:eastAsia="en-GB"/>
        </w:rPr>
        <w:t xml:space="preserve">. Так, </w:t>
      </w:r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лекції-бесіди («діалог з аудиторією»)</w:t>
      </w:r>
      <w:r w:rsidR="00BF1A1B" w:rsidRPr="00BF1A1B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, </w:t>
      </w:r>
      <w:r w:rsidR="00BF1A1B"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лекції-дискусії</w:t>
      </w:r>
      <w:r w:rsidR="00BF1A1B" w:rsidRPr="00BF1A1B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,</w:t>
      </w:r>
      <w:r w:rsidR="00BF1A1B"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</w:t>
      </w:r>
      <w:r w:rsidR="00BF1A1B" w:rsidRPr="00BF1A1B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лекції</w:t>
      </w:r>
      <w:r w:rsidR="00BF1A1B"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з використанням техніки зворотного зв’язку</w:t>
      </w:r>
      <w:r w:rsidR="00BF1A1B" w:rsidRPr="00BF1A1B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,</w:t>
      </w:r>
      <w:r w:rsidR="00BF1A1B"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лекції із заздалегідь запланованими помилками</w:t>
      </w:r>
      <w:r w:rsidR="00BF1A1B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,</w:t>
      </w:r>
      <w:r w:rsidR="00BF1A1B"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</w:t>
      </w:r>
      <w:r w:rsidR="00BF1A1B" w:rsidRPr="00BF1A1B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проблемні лекції</w:t>
      </w:r>
      <w:r w:rsidR="00BF1A1B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та ін. ґрунтую</w:t>
      </w:r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ться на тому, що успішність навчання </w:t>
      </w:r>
      <w:r w:rsidR="00BF1A1B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з</w:t>
      </w:r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умовлюється проблемністю навчального матеріалу, активністю студентів, виявленням зв’язку навчання з майбутньою професійною діяльністю. У ході зазначених лекцій використовуються різні види діалогу: </w:t>
      </w:r>
      <w:r w:rsidRPr="00C627A2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>внутрішнього</w:t>
      </w:r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(самостійне обмірковування студентом навчальної проблеми), який спонукає до переходу після завершення лекції до так званого </w:t>
      </w:r>
      <w:r w:rsidRPr="00C627A2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 xml:space="preserve">«діалогу культур» </w:t>
      </w:r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(аналізу та порівняння шляхів вирішення визначеної проблеми різними вченими, авторами монографій, підручників, дисертаційних досліджень і власного бачення розв’язання професійних завдань) і </w:t>
      </w:r>
      <w:r w:rsidRPr="00C627A2">
        <w:rPr>
          <w:rFonts w:ascii="Times New Roman" w:eastAsia="Times New Roman" w:hAnsi="Times New Roman" w:cs="Times New Roman"/>
          <w:i/>
          <w:sz w:val="28"/>
          <w:szCs w:val="28"/>
          <w:lang w:val="uk-UA" w:eastAsia="en-GB"/>
        </w:rPr>
        <w:t>зовнішнього</w:t>
      </w:r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діалогу, що є основою лекції-дискусії.</w:t>
      </w:r>
      <w:r w:rsidR="00BF1A1B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</w:t>
      </w:r>
      <w:r w:rsidR="00562E9D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</w:t>
      </w:r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</w:t>
      </w:r>
      <w:r w:rsidR="00BF1A1B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</w:t>
      </w:r>
    </w:p>
    <w:p w:rsidR="0055766E" w:rsidRDefault="00BF1A1B" w:rsidP="0055766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О</w:t>
      </w:r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сновою семінарських занять 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також </w:t>
      </w:r>
      <w:r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є інтерактивна діалогічна взаємодія,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що сприяє активізації</w:t>
      </w:r>
      <w:r w:rsidR="00C627A2"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студентів до самостійного набуття знань, формування професійних умінь і навичок, прагнення самоосвіти студентів, оволодіння ме</w:t>
      </w:r>
      <w:r w:rsidR="00562E9D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тодами аналізу явищ і фахових</w:t>
      </w:r>
      <w:r w:rsidR="0055766E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проблем,</w:t>
      </w:r>
      <w:r w:rsidR="00C627A2"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поглибленому засвоєнню </w:t>
      </w:r>
      <w:r w:rsidR="00C627A2"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lastRenderedPageBreak/>
        <w:t>майбутніми фахівцями найбільш складних питань навчального курсу, спонука</w:t>
      </w:r>
      <w:r w:rsidR="0055766E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є</w:t>
      </w:r>
      <w:r w:rsidR="00C627A2"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студентів до колективного </w:t>
      </w:r>
      <w:r w:rsidR="0055766E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творчого обговорення матеріалу. </w:t>
      </w:r>
      <w:r w:rsidR="00C627A2"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Інтерактивна взаємодія на семінарі у формі бесіди, дискусії, групового дослідження, </w:t>
      </w:r>
      <w:proofErr w:type="spellStart"/>
      <w:r w:rsidR="00C627A2"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взаємонавчання</w:t>
      </w:r>
      <w:proofErr w:type="spellEnd"/>
      <w:r w:rsidR="00C627A2"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передбачає колективний аналіз окреслених проблем, встановлення причинно-наслідкових зв’язків, пошук шляхів оптимального вирішення навчальних і професійних завдань. Таким чином, семін</w:t>
      </w:r>
      <w:r w:rsidR="00562E9D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ар є творчим поєднанням бесіди та</w:t>
      </w:r>
      <w:r w:rsidR="00C627A2" w:rsidRPr="00C627A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дискусії на більш високому методичному, науковому й теоретичному рівнях, що передбачає відповідну підготовленість студентів.</w:t>
      </w:r>
    </w:p>
    <w:p w:rsidR="00C627A2" w:rsidRPr="00C627A2" w:rsidRDefault="0055766E" w:rsidP="0055766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В</w:t>
      </w:r>
      <w:r w:rsidR="00C627A2" w:rsidRPr="00C627A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>икористання засобів</w:t>
      </w:r>
      <w:r w:rsidR="00C627A2" w:rsidRPr="00C627A2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val="uk-UA" w:eastAsia="en-GB"/>
        </w:rPr>
        <w:t xml:space="preserve"> </w:t>
      </w:r>
      <w:r w:rsidR="00C627A2" w:rsidRPr="00C627A2">
        <w:rPr>
          <w:rFonts w:ascii="Times New Roman" w:eastAsia="Times New Roman" w:hAnsi="Times New Roman" w:cs="Times New Roman"/>
          <w:iCs/>
          <w:spacing w:val="-2"/>
          <w:sz w:val="28"/>
          <w:szCs w:val="28"/>
          <w:lang w:val="uk-UA" w:eastAsia="en-GB"/>
        </w:rPr>
        <w:t>інтерактивних технологій у</w:t>
      </w:r>
      <w:r w:rsidR="00C627A2" w:rsidRPr="00C627A2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val="uk-UA" w:eastAsia="en-GB"/>
        </w:rPr>
        <w:t xml:space="preserve"> </w:t>
      </w:r>
      <w:r w:rsidR="00C627A2" w:rsidRPr="00C627A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>професійній підготовці майбутніх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 xml:space="preserve"> маркетологів </w:t>
      </w:r>
      <w:r w:rsidR="00562E9D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>базується на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 xml:space="preserve"> </w:t>
      </w:r>
      <w:r w:rsidR="00562E9D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>реалізації</w:t>
      </w:r>
      <w:r w:rsidR="00C627A2" w:rsidRPr="00C627A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 xml:space="preserve"> комплексу науково </w:t>
      </w:r>
      <w:r w:rsidR="00C627A2" w:rsidRPr="00C627A2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val="uk-UA" w:eastAsia="en-GB"/>
        </w:rPr>
        <w:t>обґрунтованих</w:t>
      </w:r>
      <w:r w:rsidR="00C627A2" w:rsidRPr="00C627A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 xml:space="preserve"> </w:t>
      </w:r>
      <w:r w:rsidR="00C627A2" w:rsidRPr="00C627A2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val="uk-UA" w:eastAsia="en-GB"/>
        </w:rPr>
        <w:t>педагогічних дій,</w:t>
      </w:r>
      <w:r w:rsidR="00C627A2" w:rsidRPr="00C627A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 xml:space="preserve"> спрямованих на організацію спеціальних інтерактивних форм проведення занять і використання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 xml:space="preserve">інтерактивних методів навчання, </w:t>
      </w:r>
      <w:r w:rsidR="00C627A2" w:rsidRPr="00C627A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 xml:space="preserve">реалізацію </w:t>
      </w:r>
      <w:r w:rsidR="00C627A2" w:rsidRPr="00C627A2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val="uk-UA" w:eastAsia="en-GB"/>
        </w:rPr>
        <w:t xml:space="preserve">способів діяльності студентів </w:t>
      </w:r>
      <w:r w:rsidR="00C627A2" w:rsidRPr="00C627A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 xml:space="preserve">(активної пізнавальної діяльності, активної участі в </w:t>
      </w:r>
      <w:proofErr w:type="spellStart"/>
      <w:r w:rsidR="00C627A2" w:rsidRPr="00C627A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>інтеракціях</w:t>
      </w:r>
      <w:proofErr w:type="spellEnd"/>
      <w:r w:rsidR="00C627A2" w:rsidRPr="00C627A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 xml:space="preserve">, вияву творчості, логіки, уяви, самостійної роботи, самоосвіти, професійної </w:t>
      </w:r>
      <w:proofErr w:type="spellStart"/>
      <w:r w:rsidR="00C627A2" w:rsidRPr="00C627A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>самоідентифікації</w:t>
      </w:r>
      <w:proofErr w:type="spellEnd"/>
      <w:r w:rsidR="00C627A2" w:rsidRPr="00C627A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 xml:space="preserve"> тощо).</w:t>
      </w:r>
    </w:p>
    <w:p w:rsidR="00C627A2" w:rsidRDefault="00C627A2" w:rsidP="0055766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</w:pPr>
      <w:r w:rsidRPr="00C627A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 xml:space="preserve">Отже, </w:t>
      </w:r>
      <w:r w:rsidR="00562E9D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>використання</w:t>
      </w:r>
      <w:r w:rsidRPr="00C627A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 xml:space="preserve"> інтерактивних технологій </w:t>
      </w:r>
      <w:r w:rsidR="00562E9D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>у професійній підготовці майбутніх маркетологів визначає</w:t>
      </w:r>
      <w:r w:rsidRPr="00C627A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>ться діяльністю викладачів і студентів та охоплю</w:t>
      </w:r>
      <w:r w:rsidR="00562E9D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>є в</w:t>
      </w:r>
      <w:r w:rsidRPr="00C627A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 xml:space="preserve">сі аспекти </w:t>
      </w:r>
      <w:r w:rsidR="00562E9D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>навчально-пізнавальної діяльності студентів.</w:t>
      </w:r>
      <w:r w:rsidRPr="00C627A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 xml:space="preserve"> Роль викладача полягає у творчому підході до вибору, адаптації </w:t>
      </w:r>
      <w:r w:rsidR="00562E9D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>для вищого навчального закладу та</w:t>
      </w:r>
      <w:r w:rsidRPr="00C627A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 xml:space="preserve"> застосуванні різних інтерактивних форм та</w:t>
      </w:r>
      <w:r w:rsidRPr="00C627A2">
        <w:rPr>
          <w:rFonts w:ascii="Times New Roman" w:eastAsia="Times New Roman" w:hAnsi="Times New Roman" w:cs="Times New Roman"/>
          <w:iCs/>
          <w:spacing w:val="-2"/>
          <w:sz w:val="28"/>
          <w:szCs w:val="28"/>
          <w:lang w:val="uk-UA" w:eastAsia="en-GB"/>
        </w:rPr>
        <w:t xml:space="preserve"> методів</w:t>
      </w:r>
      <w:r w:rsidRPr="00C627A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 xml:space="preserve"> проведення занять.</w:t>
      </w:r>
      <w:r w:rsidRPr="00C627A2">
        <w:rPr>
          <w:rFonts w:ascii="Times New Roman" w:eastAsia="Times New Roman" w:hAnsi="Times New Roman" w:cs="Times New Roman"/>
          <w:iCs/>
          <w:spacing w:val="-2"/>
          <w:sz w:val="28"/>
          <w:szCs w:val="28"/>
          <w:lang w:val="uk-UA" w:eastAsia="en-GB"/>
        </w:rPr>
        <w:t xml:space="preserve"> </w:t>
      </w:r>
      <w:r w:rsidR="0055766E">
        <w:rPr>
          <w:rFonts w:ascii="Times New Roman" w:eastAsia="Times New Roman" w:hAnsi="Times New Roman" w:cs="Times New Roman"/>
          <w:iCs/>
          <w:spacing w:val="-2"/>
          <w:sz w:val="28"/>
          <w:szCs w:val="28"/>
          <w:lang w:val="uk-UA" w:eastAsia="en-GB"/>
        </w:rPr>
        <w:t xml:space="preserve"> </w:t>
      </w:r>
      <w:r w:rsidRPr="00C627A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 xml:space="preserve"> </w:t>
      </w:r>
      <w:r w:rsidR="0055766E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 xml:space="preserve"> </w:t>
      </w:r>
    </w:p>
    <w:p w:rsidR="0055766E" w:rsidRPr="00C627A2" w:rsidRDefault="0055766E" w:rsidP="0055766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55766E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GB"/>
        </w:rPr>
        <w:t>Література:</w:t>
      </w:r>
    </w:p>
    <w:p w:rsidR="00C627A2" w:rsidRPr="0055766E" w:rsidRDefault="00C627A2" w:rsidP="0055766E">
      <w:pPr>
        <w:pStyle w:val="a3"/>
        <w:numPr>
          <w:ilvl w:val="0"/>
          <w:numId w:val="1"/>
        </w:numPr>
        <w:tabs>
          <w:tab w:val="clear" w:pos="750"/>
          <w:tab w:val="left" w:pos="7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proofErr w:type="spellStart"/>
      <w:r w:rsidRPr="0055766E">
        <w:rPr>
          <w:rFonts w:ascii="Times New Roman" w:eastAsia="Times New Roman" w:hAnsi="Times New Roman" w:cs="Times New Roman"/>
          <w:sz w:val="28"/>
          <w:szCs w:val="28"/>
          <w:lang w:eastAsia="en-GB"/>
        </w:rPr>
        <w:t>Кашлев</w:t>
      </w:r>
      <w:proofErr w:type="spellEnd"/>
      <w:r w:rsidRPr="0055766E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 </w:t>
      </w:r>
      <w:r w:rsidRPr="0055766E">
        <w:rPr>
          <w:rFonts w:ascii="Times New Roman" w:eastAsia="Times New Roman" w:hAnsi="Times New Roman" w:cs="Times New Roman"/>
          <w:sz w:val="28"/>
          <w:szCs w:val="28"/>
          <w:lang w:eastAsia="en-GB"/>
        </w:rPr>
        <w:t>С. С. Технология интерактивного обучения / С. С.</w:t>
      </w:r>
      <w:r w:rsidRPr="0055766E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 </w:t>
      </w:r>
      <w:proofErr w:type="spellStart"/>
      <w:r w:rsidR="00562E9D">
        <w:rPr>
          <w:rFonts w:ascii="Times New Roman" w:eastAsia="Times New Roman" w:hAnsi="Times New Roman" w:cs="Times New Roman"/>
          <w:sz w:val="28"/>
          <w:szCs w:val="28"/>
          <w:lang w:eastAsia="en-GB"/>
        </w:rPr>
        <w:t>Кашлев</w:t>
      </w:r>
      <w:proofErr w:type="spellEnd"/>
      <w:r w:rsidR="00562E9D">
        <w:rPr>
          <w:rFonts w:ascii="Times New Roman" w:eastAsia="Times New Roman" w:hAnsi="Times New Roman" w:cs="Times New Roman"/>
          <w:sz w:val="28"/>
          <w:szCs w:val="28"/>
          <w:lang w:eastAsia="en-GB"/>
        </w:rPr>
        <w:t>. – Мн.</w:t>
      </w:r>
      <w:r w:rsidR="00562E9D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 </w:t>
      </w:r>
      <w:bookmarkStart w:id="0" w:name="_GoBack"/>
      <w:bookmarkEnd w:id="0"/>
      <w:r w:rsidRPr="0055766E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: Белорусский </w:t>
      </w:r>
      <w:proofErr w:type="spellStart"/>
      <w:r w:rsidRPr="0055766E">
        <w:rPr>
          <w:rFonts w:ascii="Times New Roman" w:eastAsia="Times New Roman" w:hAnsi="Times New Roman" w:cs="Times New Roman"/>
          <w:sz w:val="28"/>
          <w:szCs w:val="28"/>
          <w:lang w:eastAsia="en-GB"/>
        </w:rPr>
        <w:t>верасень</w:t>
      </w:r>
      <w:proofErr w:type="spellEnd"/>
      <w:r w:rsidRPr="0055766E">
        <w:rPr>
          <w:rFonts w:ascii="Times New Roman" w:eastAsia="Times New Roman" w:hAnsi="Times New Roman" w:cs="Times New Roman"/>
          <w:sz w:val="28"/>
          <w:szCs w:val="28"/>
          <w:lang w:eastAsia="en-GB"/>
        </w:rPr>
        <w:t>, 2005. – 196 с. – (Педагогика, обращенная в завтра).</w:t>
      </w:r>
    </w:p>
    <w:sectPr w:rsidR="00C627A2" w:rsidRPr="0055766E" w:rsidSect="00C627A2">
      <w:pgSz w:w="11906" w:h="16838"/>
      <w:pgMar w:top="1135" w:right="1133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16A37"/>
    <w:multiLevelType w:val="hybridMultilevel"/>
    <w:tmpl w:val="C48829B4"/>
    <w:lvl w:ilvl="0" w:tplc="32067FA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141"/>
    <w:rsid w:val="0055766E"/>
    <w:rsid w:val="00562E9D"/>
    <w:rsid w:val="006C1A87"/>
    <w:rsid w:val="008478E4"/>
    <w:rsid w:val="00AE5141"/>
    <w:rsid w:val="00BF1A1B"/>
    <w:rsid w:val="00C6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6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ТДМУ</dc:creator>
  <cp:keywords/>
  <dc:description/>
  <cp:lastModifiedBy>ТДМУ</cp:lastModifiedBy>
  <cp:revision>3</cp:revision>
  <dcterms:created xsi:type="dcterms:W3CDTF">2015-10-13T08:39:00Z</dcterms:created>
  <dcterms:modified xsi:type="dcterms:W3CDTF">2015-10-13T09:35:00Z</dcterms:modified>
</cp:coreProperties>
</file>