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81D6A" w:rsidRPr="00D81D6A" w:rsidRDefault="00D81D6A" w:rsidP="00D81D6A">
      <w:pPr>
        <w:shd w:val="clear" w:color="auto" w:fill="ECF0F4"/>
        <w:spacing w:before="75" w:after="75" w:line="240" w:lineRule="auto"/>
        <w:outlineLvl w:val="1"/>
        <w:rPr>
          <w:rFonts w:ascii="Verdana" w:eastAsia="Times New Roman" w:hAnsi="Verdana" w:cs="Tahoma"/>
          <w:b/>
          <w:bCs/>
          <w:color w:val="012296"/>
          <w:sz w:val="27"/>
          <w:szCs w:val="27"/>
          <w:lang w:eastAsia="ru-RU"/>
        </w:rPr>
      </w:pPr>
      <w:r w:rsidRPr="00D81D6A">
        <w:rPr>
          <w:rFonts w:ascii="Verdana" w:eastAsia="Times New Roman" w:hAnsi="Verdana" w:cs="Tahoma"/>
          <w:b/>
          <w:bCs/>
          <w:color w:val="012296"/>
          <w:sz w:val="27"/>
          <w:szCs w:val="27"/>
          <w:lang w:eastAsia="ru-RU"/>
        </w:rPr>
        <w:t>НАЦІОНАЛЬНО-ВИЗВОЛЬНИЙ РУХ – ОСНОВА УКРАЇНСЬКОГО ДЕРЖАВОТВОРЕННЯ: ЛЕГІТИМНІСТЬ І ЗНАЧИМІСТЬ</w:t>
      </w:r>
    </w:p>
    <w:p w:rsidR="00D81D6A" w:rsidRPr="00D81D6A" w:rsidRDefault="00D81D6A" w:rsidP="00D81D6A">
      <w:pPr>
        <w:shd w:val="clear" w:color="auto" w:fill="ECF0F4"/>
        <w:spacing w:after="0" w:line="240" w:lineRule="auto"/>
        <w:rPr>
          <w:rFonts w:ascii="Tahoma" w:eastAsia="Times New Roman" w:hAnsi="Tahoma" w:cs="Tahoma"/>
          <w:color w:val="3F5469"/>
          <w:sz w:val="20"/>
          <w:szCs w:val="20"/>
          <w:lang w:eastAsia="ru-RU"/>
        </w:rPr>
      </w:pPr>
      <w:r w:rsidRPr="00D81D6A">
        <w:rPr>
          <w:rFonts w:ascii="Tahoma" w:eastAsia="Times New Roman" w:hAnsi="Tahoma" w:cs="Tahoma"/>
          <w:color w:val="3F5469"/>
          <w:sz w:val="20"/>
          <w:szCs w:val="20"/>
          <w:lang w:eastAsia="ru-RU"/>
        </w:rPr>
        <w:t>06.10.11 20:46 | Авто</w:t>
      </w:r>
      <w:proofErr w:type="gramStart"/>
      <w:r w:rsidRPr="00D81D6A">
        <w:rPr>
          <w:rFonts w:ascii="Tahoma" w:eastAsia="Times New Roman" w:hAnsi="Tahoma" w:cs="Tahoma"/>
          <w:color w:val="3F5469"/>
          <w:sz w:val="20"/>
          <w:szCs w:val="20"/>
          <w:lang w:eastAsia="ru-RU"/>
        </w:rPr>
        <w:t>р(</w:t>
      </w:r>
      <w:proofErr w:type="gramEnd"/>
      <w:r w:rsidRPr="00D81D6A">
        <w:rPr>
          <w:rFonts w:ascii="Tahoma" w:eastAsia="Times New Roman" w:hAnsi="Tahoma" w:cs="Tahoma"/>
          <w:color w:val="3F5469"/>
          <w:sz w:val="20"/>
          <w:szCs w:val="20"/>
          <w:lang w:eastAsia="ru-RU"/>
        </w:rPr>
        <w:t>и) КРАВЧУК МИКОЛА ВОЛОДИМИРОВИЧ, к.ю.н., доцент, доктор права Українського вільного університету, завідувач кафедри теорії та історії держави і права юридичного факультету Тернопільського національного економічного університету | </w:t>
      </w:r>
      <w:r w:rsidRPr="00D81D6A">
        <w:rPr>
          <w:rFonts w:ascii="Tahoma" w:eastAsia="Times New Roman" w:hAnsi="Tahoma" w:cs="Tahoma"/>
          <w:i/>
          <w:iCs/>
          <w:noProof/>
          <w:color w:val="227A97"/>
          <w:sz w:val="20"/>
          <w:szCs w:val="20"/>
          <w:lang w:eastAsia="ru-RU"/>
        </w:rPr>
        <w:drawing>
          <wp:inline distT="0" distB="0" distL="0" distR="0" wp14:anchorId="6E2408F4" wp14:editId="77787C97">
            <wp:extent cx="133350" cy="133350"/>
            <wp:effectExtent l="0" t="0" r="0" b="0"/>
            <wp:docPr id="1" name="Рисунок 1" descr="Печать">
              <a:hlinkClick xmlns:a="http://schemas.openxmlformats.org/drawingml/2006/main" r:id="rId5" tooltip="&quot;Печать&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Печать">
                      <a:hlinkClick r:id="rId5" tooltip="&quot;Печать&quot;"/>
                    </pic:cNvPr>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w:r>
      <w:r w:rsidRPr="00D81D6A">
        <w:rPr>
          <w:rFonts w:ascii="Tahoma" w:eastAsia="Times New Roman" w:hAnsi="Tahoma" w:cs="Tahoma"/>
          <w:color w:val="3F5469"/>
          <w:sz w:val="20"/>
          <w:szCs w:val="20"/>
          <w:lang w:eastAsia="ru-RU"/>
        </w:rPr>
        <w:t> | </w:t>
      </w:r>
      <w:r w:rsidRPr="00D81D6A">
        <w:rPr>
          <w:rFonts w:ascii="Tahoma" w:eastAsia="Times New Roman" w:hAnsi="Tahoma" w:cs="Tahoma"/>
          <w:i/>
          <w:iCs/>
          <w:noProof/>
          <w:color w:val="227A97"/>
          <w:sz w:val="20"/>
          <w:szCs w:val="20"/>
          <w:lang w:eastAsia="ru-RU"/>
        </w:rPr>
        <w:drawing>
          <wp:inline distT="0" distB="0" distL="0" distR="0" wp14:anchorId="645098AD" wp14:editId="02FE0D60">
            <wp:extent cx="104775" cy="76200"/>
            <wp:effectExtent l="0" t="0" r="9525" b="0"/>
            <wp:docPr id="2" name="Рисунок 2" descr="E-mail">
              <a:hlinkClick xmlns:a="http://schemas.openxmlformats.org/drawingml/2006/main" r:id="rId7" tooltip="&quot;E-mail&quo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E-mail">
                      <a:hlinkClick r:id="rId7" tooltip="&quot;E-mail&quot;"/>
                    </pic:cNvP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04775" cy="76200"/>
                    </a:xfrm>
                    <a:prstGeom prst="rect">
                      <a:avLst/>
                    </a:prstGeom>
                    <a:noFill/>
                    <a:ln>
                      <a:noFill/>
                    </a:ln>
                  </pic:spPr>
                </pic:pic>
              </a:graphicData>
            </a:graphic>
          </wp:inline>
        </w:drawing>
      </w:r>
    </w:p>
    <w:tbl>
      <w:tblPr>
        <w:tblW w:w="0" w:type="dxa"/>
        <w:tblCellSpacing w:w="15" w:type="dxa"/>
        <w:tblCellMar>
          <w:left w:w="0" w:type="dxa"/>
          <w:right w:w="0" w:type="dxa"/>
        </w:tblCellMar>
        <w:tblLook w:val="04A0" w:firstRow="1" w:lastRow="0" w:firstColumn="1" w:lastColumn="0" w:noHBand="0" w:noVBand="1"/>
      </w:tblPr>
      <w:tblGrid>
        <w:gridCol w:w="6215"/>
      </w:tblGrid>
      <w:tr w:rsidR="00D81D6A" w:rsidRPr="00D81D6A" w:rsidTr="00D81D6A">
        <w:trPr>
          <w:tblCellSpacing w:w="15" w:type="dxa"/>
        </w:trPr>
        <w:tc>
          <w:tcPr>
            <w:tcW w:w="0" w:type="auto"/>
            <w:vAlign w:val="center"/>
            <w:hideMark/>
          </w:tcPr>
          <w:p w:rsidR="00D81D6A" w:rsidRPr="00D81D6A" w:rsidRDefault="00D81D6A" w:rsidP="00D81D6A">
            <w:pPr>
              <w:spacing w:after="0" w:line="240" w:lineRule="auto"/>
              <w:jc w:val="both"/>
              <w:rPr>
                <w:rFonts w:ascii="Tahoma" w:eastAsia="Times New Roman" w:hAnsi="Tahoma" w:cs="Tahoma"/>
                <w:sz w:val="20"/>
                <w:szCs w:val="20"/>
                <w:lang w:eastAsia="ru-RU"/>
              </w:rPr>
            </w:pPr>
            <w:hyperlink r:id="rId9" w:history="1">
              <w:r w:rsidRPr="00D81D6A">
                <w:rPr>
                  <w:rFonts w:ascii="Tahoma" w:eastAsia="Times New Roman" w:hAnsi="Tahoma" w:cs="Tahoma"/>
                  <w:color w:val="217692"/>
                  <w:sz w:val="20"/>
                  <w:szCs w:val="20"/>
                  <w:lang w:eastAsia="ru-RU"/>
                </w:rPr>
                <w:t>Науково-практична Інтернет-конференція 04.10.2011</w:t>
              </w:r>
            </w:hyperlink>
            <w:r w:rsidRPr="00D81D6A">
              <w:rPr>
                <w:rFonts w:ascii="Tahoma" w:eastAsia="Times New Roman" w:hAnsi="Tahoma" w:cs="Tahoma"/>
                <w:sz w:val="20"/>
                <w:szCs w:val="20"/>
                <w:lang w:eastAsia="ru-RU"/>
              </w:rPr>
              <w:t> - </w:t>
            </w:r>
            <w:hyperlink r:id="rId10" w:history="1">
              <w:r w:rsidRPr="00D81D6A">
                <w:rPr>
                  <w:rFonts w:ascii="Tahoma" w:eastAsia="Times New Roman" w:hAnsi="Tahoma" w:cs="Tahoma"/>
                  <w:color w:val="217692"/>
                  <w:sz w:val="20"/>
                  <w:szCs w:val="20"/>
                  <w:lang w:eastAsia="ru-RU"/>
                </w:rPr>
                <w:t>Секція №1</w:t>
              </w:r>
            </w:hyperlink>
          </w:p>
        </w:tc>
      </w:tr>
    </w:tbl>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 xml:space="preserve">Держава є складним </w:t>
      </w:r>
      <w:proofErr w:type="gramStart"/>
      <w:r w:rsidRPr="00D81D6A">
        <w:rPr>
          <w:rFonts w:ascii="Tahoma" w:eastAsia="Times New Roman" w:hAnsi="Tahoma" w:cs="Tahoma"/>
          <w:color w:val="000000"/>
          <w:sz w:val="20"/>
          <w:szCs w:val="20"/>
          <w:lang w:eastAsia="ru-RU"/>
        </w:rPr>
        <w:t>соц</w:t>
      </w:r>
      <w:proofErr w:type="gramEnd"/>
      <w:r w:rsidRPr="00D81D6A">
        <w:rPr>
          <w:rFonts w:ascii="Tahoma" w:eastAsia="Times New Roman" w:hAnsi="Tahoma" w:cs="Tahoma"/>
          <w:color w:val="000000"/>
          <w:sz w:val="20"/>
          <w:szCs w:val="20"/>
          <w:lang w:eastAsia="ru-RU"/>
        </w:rPr>
        <w:t>іальним інститутом, який характеризується певними формами прояву, своєрідними типами, змістом та функціональним призначенням і покликаний бути організуючим засобом суспільства. Для управління державними справами необхідні висока організованість та взаємодія певних державних організацій, що забезпечується в процесі функціонування механізму держави.</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proofErr w:type="gramStart"/>
      <w:r w:rsidRPr="00D81D6A">
        <w:rPr>
          <w:rFonts w:ascii="Tahoma" w:eastAsia="Times New Roman" w:hAnsi="Tahoma" w:cs="Tahoma"/>
          <w:color w:val="000000"/>
          <w:sz w:val="20"/>
          <w:szCs w:val="20"/>
          <w:lang w:eastAsia="ru-RU"/>
        </w:rPr>
        <w:t>З</w:t>
      </w:r>
      <w:proofErr w:type="gramEnd"/>
      <w:r w:rsidRPr="00D81D6A">
        <w:rPr>
          <w:rFonts w:ascii="Tahoma" w:eastAsia="Times New Roman" w:hAnsi="Tahoma" w:cs="Tahoma"/>
          <w:color w:val="000000"/>
          <w:sz w:val="20"/>
          <w:szCs w:val="20"/>
          <w:lang w:eastAsia="ru-RU"/>
        </w:rPr>
        <w:t xml:space="preserve"> огляду на ключову роль держави у забезпеченні цілісності суспільства, соборності, незалежності, неподільності, недоторканості влади і території, по- іншому суверенітету держави, тому одним з головних державних інститутів виступають збройні сили. У цьому плані доктрина, стратегія і тактика, основні засади розбудови власної армії є важливим напрямком державотворення.</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Ще видатний мислитель середньовіччя Нікколо Мак’явеллі у своєму трактаті “Державець” вказав на значимість війська, що </w:t>
      </w:r>
      <w:r w:rsidRPr="00D81D6A">
        <w:rPr>
          <w:rFonts w:ascii="Tahoma" w:eastAsia="Times New Roman" w:hAnsi="Tahoma" w:cs="Tahoma"/>
          <w:i/>
          <w:iCs/>
          <w:color w:val="000000"/>
          <w:sz w:val="20"/>
          <w:szCs w:val="20"/>
          <w:lang w:eastAsia="ru-RU"/>
        </w:rPr>
        <w:t xml:space="preserve">…державцеві необхідні міцні </w:t>
      </w:r>
      <w:proofErr w:type="gramStart"/>
      <w:r w:rsidRPr="00D81D6A">
        <w:rPr>
          <w:rFonts w:ascii="Tahoma" w:eastAsia="Times New Roman" w:hAnsi="Tahoma" w:cs="Tahoma"/>
          <w:i/>
          <w:iCs/>
          <w:color w:val="000000"/>
          <w:sz w:val="20"/>
          <w:szCs w:val="20"/>
          <w:lang w:eastAsia="ru-RU"/>
        </w:rPr>
        <w:t>п</w:t>
      </w:r>
      <w:proofErr w:type="gramEnd"/>
      <w:r w:rsidRPr="00D81D6A">
        <w:rPr>
          <w:rFonts w:ascii="Tahoma" w:eastAsia="Times New Roman" w:hAnsi="Tahoma" w:cs="Tahoma"/>
          <w:i/>
          <w:iCs/>
          <w:color w:val="000000"/>
          <w:sz w:val="20"/>
          <w:szCs w:val="20"/>
          <w:lang w:eastAsia="ru-RU"/>
        </w:rPr>
        <w:t xml:space="preserve">ідвалини, інакше він неминуче загине. Головні </w:t>
      </w:r>
      <w:proofErr w:type="gramStart"/>
      <w:r w:rsidRPr="00D81D6A">
        <w:rPr>
          <w:rFonts w:ascii="Tahoma" w:eastAsia="Times New Roman" w:hAnsi="Tahoma" w:cs="Tahoma"/>
          <w:i/>
          <w:iCs/>
          <w:color w:val="000000"/>
          <w:sz w:val="20"/>
          <w:szCs w:val="20"/>
          <w:lang w:eastAsia="ru-RU"/>
        </w:rPr>
        <w:t>п</w:t>
      </w:r>
      <w:proofErr w:type="gramEnd"/>
      <w:r w:rsidRPr="00D81D6A">
        <w:rPr>
          <w:rFonts w:ascii="Tahoma" w:eastAsia="Times New Roman" w:hAnsi="Tahoma" w:cs="Tahoma"/>
          <w:i/>
          <w:iCs/>
          <w:color w:val="000000"/>
          <w:sz w:val="20"/>
          <w:szCs w:val="20"/>
          <w:lang w:eastAsia="ru-RU"/>
        </w:rPr>
        <w:t xml:space="preserve">ідвалини всіх держав, як нових, так і старих чи змішаних, — це добрі закони і сильне військо. А що не може бути добрих законів там, де нема </w:t>
      </w:r>
      <w:proofErr w:type="gramStart"/>
      <w:r w:rsidRPr="00D81D6A">
        <w:rPr>
          <w:rFonts w:ascii="Tahoma" w:eastAsia="Times New Roman" w:hAnsi="Tahoma" w:cs="Tahoma"/>
          <w:i/>
          <w:iCs/>
          <w:color w:val="000000"/>
          <w:sz w:val="20"/>
          <w:szCs w:val="20"/>
          <w:lang w:eastAsia="ru-RU"/>
        </w:rPr>
        <w:t>сильного</w:t>
      </w:r>
      <w:proofErr w:type="gramEnd"/>
      <w:r w:rsidRPr="00D81D6A">
        <w:rPr>
          <w:rFonts w:ascii="Tahoma" w:eastAsia="Times New Roman" w:hAnsi="Tahoma" w:cs="Tahoma"/>
          <w:i/>
          <w:iCs/>
          <w:color w:val="000000"/>
          <w:sz w:val="20"/>
          <w:szCs w:val="20"/>
          <w:lang w:eastAsia="ru-RU"/>
        </w:rPr>
        <w:t xml:space="preserve"> війська, а де є сильне військо, звісно, будуть добрі закони…</w:t>
      </w:r>
      <w:r w:rsidRPr="00D81D6A">
        <w:rPr>
          <w:rFonts w:ascii="Tahoma" w:eastAsia="Times New Roman" w:hAnsi="Tahoma" w:cs="Tahoma"/>
          <w:color w:val="000000"/>
          <w:sz w:val="20"/>
          <w:szCs w:val="20"/>
          <w:lang w:eastAsia="ru-RU"/>
        </w:rPr>
        <w:t> [5, с.448]. </w:t>
      </w:r>
      <w:r w:rsidRPr="00D81D6A">
        <w:rPr>
          <w:rFonts w:ascii="Tahoma" w:eastAsia="Times New Roman" w:hAnsi="Tahoma" w:cs="Tahoma"/>
          <w:i/>
          <w:iCs/>
          <w:color w:val="000000"/>
          <w:sz w:val="20"/>
          <w:szCs w:val="20"/>
          <w:lang w:eastAsia="ru-RU"/>
        </w:rPr>
        <w:t xml:space="preserve">…Державець не повинен мати іншої мети, іншої думки, ніякої справи, яка стала б його ремеслом, </w:t>
      </w:r>
      <w:proofErr w:type="gramStart"/>
      <w:r w:rsidRPr="00D81D6A">
        <w:rPr>
          <w:rFonts w:ascii="Tahoma" w:eastAsia="Times New Roman" w:hAnsi="Tahoma" w:cs="Tahoma"/>
          <w:i/>
          <w:iCs/>
          <w:color w:val="000000"/>
          <w:sz w:val="20"/>
          <w:szCs w:val="20"/>
          <w:lang w:eastAsia="ru-RU"/>
        </w:rPr>
        <w:t>окр</w:t>
      </w:r>
      <w:proofErr w:type="gramEnd"/>
      <w:r w:rsidRPr="00D81D6A">
        <w:rPr>
          <w:rFonts w:ascii="Tahoma" w:eastAsia="Times New Roman" w:hAnsi="Tahoma" w:cs="Tahoma"/>
          <w:i/>
          <w:iCs/>
          <w:color w:val="000000"/>
          <w:sz w:val="20"/>
          <w:szCs w:val="20"/>
          <w:lang w:eastAsia="ru-RU"/>
        </w:rPr>
        <w:t xml:space="preserve">ім війни, її порядків і правил, бо це – єдине ремесло, гідне властителя. У ньому така сила, яка не тільки тримає біля керма тих, хто народився монархом, але нерідко </w:t>
      </w:r>
      <w:proofErr w:type="gramStart"/>
      <w:r w:rsidRPr="00D81D6A">
        <w:rPr>
          <w:rFonts w:ascii="Tahoma" w:eastAsia="Times New Roman" w:hAnsi="Tahoma" w:cs="Tahoma"/>
          <w:i/>
          <w:iCs/>
          <w:color w:val="000000"/>
          <w:sz w:val="20"/>
          <w:szCs w:val="20"/>
          <w:lang w:eastAsia="ru-RU"/>
        </w:rPr>
        <w:t>п</w:t>
      </w:r>
      <w:proofErr w:type="gramEnd"/>
      <w:r w:rsidRPr="00D81D6A">
        <w:rPr>
          <w:rFonts w:ascii="Tahoma" w:eastAsia="Times New Roman" w:hAnsi="Tahoma" w:cs="Tahoma"/>
          <w:i/>
          <w:iCs/>
          <w:color w:val="000000"/>
          <w:sz w:val="20"/>
          <w:szCs w:val="20"/>
          <w:lang w:eastAsia="ru-RU"/>
        </w:rPr>
        <w:t>ідносить на трон простих людей. І навпаки, можна бачити, що коли монархи думають більше про життєві утіхи, ніж про зброю, вони позбуваються своїх володінь. Головна причина втрати ними держави — нехтування військового ремесла, а умова приходу до влади – мистецтво в цій справі</w:t>
      </w:r>
      <w:r w:rsidRPr="00D81D6A">
        <w:rPr>
          <w:rFonts w:ascii="Tahoma" w:eastAsia="Times New Roman" w:hAnsi="Tahoma" w:cs="Tahoma"/>
          <w:color w:val="000000"/>
          <w:sz w:val="20"/>
          <w:szCs w:val="20"/>
          <w:lang w:eastAsia="ru-RU"/>
        </w:rPr>
        <w:t> [5, с.455]. </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Велику увагу цій проблемі державознавства приділив український вчений Никифор Григоріїв. У своїх фундаментальних працях (шість праць з державознавства) він обґрунтував, що </w:t>
      </w:r>
      <w:r w:rsidRPr="00D81D6A">
        <w:rPr>
          <w:rFonts w:ascii="Tahoma" w:eastAsia="Times New Roman" w:hAnsi="Tahoma" w:cs="Tahoma"/>
          <w:i/>
          <w:iCs/>
          <w:color w:val="000000"/>
          <w:sz w:val="20"/>
          <w:szCs w:val="20"/>
          <w:lang w:eastAsia="ru-RU"/>
        </w:rPr>
        <w:t xml:space="preserve">держава – це </w:t>
      </w:r>
      <w:proofErr w:type="gramStart"/>
      <w:r w:rsidRPr="00D81D6A">
        <w:rPr>
          <w:rFonts w:ascii="Tahoma" w:eastAsia="Times New Roman" w:hAnsi="Tahoma" w:cs="Tahoma"/>
          <w:i/>
          <w:iCs/>
          <w:color w:val="000000"/>
          <w:sz w:val="20"/>
          <w:szCs w:val="20"/>
          <w:lang w:eastAsia="ru-RU"/>
        </w:rPr>
        <w:t>соц</w:t>
      </w:r>
      <w:proofErr w:type="gramEnd"/>
      <w:r w:rsidRPr="00D81D6A">
        <w:rPr>
          <w:rFonts w:ascii="Tahoma" w:eastAsia="Times New Roman" w:hAnsi="Tahoma" w:cs="Tahoma"/>
          <w:i/>
          <w:iCs/>
          <w:color w:val="000000"/>
          <w:sz w:val="20"/>
          <w:szCs w:val="20"/>
          <w:lang w:eastAsia="ru-RU"/>
        </w:rPr>
        <w:t xml:space="preserve">іальна організація, що виконує вище (домініальне) право володіння на певну територію, організовує в межах її серед населення порядок, захищає й використовує цю територію за </w:t>
      </w:r>
      <w:proofErr w:type="gramStart"/>
      <w:r w:rsidRPr="00D81D6A">
        <w:rPr>
          <w:rFonts w:ascii="Tahoma" w:eastAsia="Times New Roman" w:hAnsi="Tahoma" w:cs="Tahoma"/>
          <w:i/>
          <w:iCs/>
          <w:color w:val="000000"/>
          <w:sz w:val="20"/>
          <w:szCs w:val="20"/>
          <w:lang w:eastAsia="ru-RU"/>
        </w:rPr>
        <w:t>своєю</w:t>
      </w:r>
      <w:proofErr w:type="gramEnd"/>
      <w:r w:rsidRPr="00D81D6A">
        <w:rPr>
          <w:rFonts w:ascii="Tahoma" w:eastAsia="Times New Roman" w:hAnsi="Tahoma" w:cs="Tahoma"/>
          <w:i/>
          <w:iCs/>
          <w:color w:val="000000"/>
          <w:sz w:val="20"/>
          <w:szCs w:val="20"/>
          <w:lang w:eastAsia="ru-RU"/>
        </w:rPr>
        <w:t xml:space="preserve"> волею. За його твердженням найважливішою та єдиною для держави була функція – захоплення, захист та розпорядження певною територією з її скарбами й населенням. Невиконання цієї функції знищує державу </w:t>
      </w:r>
      <w:r w:rsidRPr="00D81D6A">
        <w:rPr>
          <w:rFonts w:ascii="Tahoma" w:eastAsia="Times New Roman" w:hAnsi="Tahoma" w:cs="Tahoma"/>
          <w:color w:val="000000"/>
          <w:sz w:val="20"/>
          <w:szCs w:val="20"/>
          <w:lang w:eastAsia="ru-RU"/>
        </w:rPr>
        <w:t xml:space="preserve">[1, с.38-42]. Такий </w:t>
      </w:r>
      <w:proofErr w:type="gramStart"/>
      <w:r w:rsidRPr="00D81D6A">
        <w:rPr>
          <w:rFonts w:ascii="Tahoma" w:eastAsia="Times New Roman" w:hAnsi="Tahoma" w:cs="Tahoma"/>
          <w:color w:val="000000"/>
          <w:sz w:val="20"/>
          <w:szCs w:val="20"/>
          <w:lang w:eastAsia="ru-RU"/>
        </w:rPr>
        <w:t>п</w:t>
      </w:r>
      <w:proofErr w:type="gramEnd"/>
      <w:r w:rsidRPr="00D81D6A">
        <w:rPr>
          <w:rFonts w:ascii="Tahoma" w:eastAsia="Times New Roman" w:hAnsi="Tahoma" w:cs="Tahoma"/>
          <w:color w:val="000000"/>
          <w:sz w:val="20"/>
          <w:szCs w:val="20"/>
          <w:lang w:eastAsia="ru-RU"/>
        </w:rPr>
        <w:t>ідхід вченого до розуміння сутності держави та виокремлення ним базової її функції (захоплення, захисту та розпорядження певною територією) виділяє розбудову збройних сил у її головне, пріоритетне завдання. Нехтування цим завданням неминуче приведе до занепаду держави.</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 xml:space="preserve">Проблема формування власного війська чітко прослідковується в історії українського державотворення. Генезис Української армії в </w:t>
      </w:r>
      <w:proofErr w:type="gramStart"/>
      <w:r w:rsidRPr="00D81D6A">
        <w:rPr>
          <w:rFonts w:ascii="Tahoma" w:eastAsia="Times New Roman" w:hAnsi="Tahoma" w:cs="Tahoma"/>
          <w:color w:val="000000"/>
          <w:sz w:val="20"/>
          <w:szCs w:val="20"/>
          <w:lang w:eastAsia="ru-RU"/>
        </w:rPr>
        <w:t>р</w:t>
      </w:r>
      <w:proofErr w:type="gramEnd"/>
      <w:r w:rsidRPr="00D81D6A">
        <w:rPr>
          <w:rFonts w:ascii="Tahoma" w:eastAsia="Times New Roman" w:hAnsi="Tahoma" w:cs="Tahoma"/>
          <w:color w:val="000000"/>
          <w:sz w:val="20"/>
          <w:szCs w:val="20"/>
          <w:lang w:eastAsia="ru-RU"/>
        </w:rPr>
        <w:t>ізні періоди національного державотворення є досить суперечливим. Так, у період Козацької держави військові формування Запорізької січі стали базисом створення Української держави, в основу якої була покладена військово-демократична організація. Опертям й джерелом усього ладу було військо, зі</w:t>
      </w:r>
      <w:proofErr w:type="gramStart"/>
      <w:r w:rsidRPr="00D81D6A">
        <w:rPr>
          <w:rFonts w:ascii="Tahoma" w:eastAsia="Times New Roman" w:hAnsi="Tahoma" w:cs="Tahoma"/>
          <w:color w:val="000000"/>
          <w:sz w:val="20"/>
          <w:szCs w:val="20"/>
          <w:lang w:eastAsia="ru-RU"/>
        </w:rPr>
        <w:t>бране на</w:t>
      </w:r>
      <w:proofErr w:type="gramEnd"/>
      <w:r w:rsidRPr="00D81D6A">
        <w:rPr>
          <w:rFonts w:ascii="Tahoma" w:eastAsia="Times New Roman" w:hAnsi="Tahoma" w:cs="Tahoma"/>
          <w:color w:val="000000"/>
          <w:sz w:val="20"/>
          <w:szCs w:val="20"/>
          <w:lang w:eastAsia="ru-RU"/>
        </w:rPr>
        <w:t xml:space="preserve"> раді. У вказаний період армія виступила творцем самої держави. </w:t>
      </w:r>
      <w:r w:rsidRPr="00D81D6A">
        <w:rPr>
          <w:rFonts w:ascii="Tahoma" w:eastAsia="Times New Roman" w:hAnsi="Tahoma" w:cs="Tahoma"/>
          <w:color w:val="000000"/>
          <w:sz w:val="20"/>
          <w:szCs w:val="20"/>
          <w:lang w:eastAsia="ru-RU"/>
        </w:rPr>
        <w:tab/>
        <w:t>Особливо контроверсійною була розбудова держави та армії в Україні на початку ХХ ст., в добу Української Центрально</w:t>
      </w:r>
      <w:proofErr w:type="gramStart"/>
      <w:r w:rsidRPr="00D81D6A">
        <w:rPr>
          <w:rFonts w:ascii="Tahoma" w:eastAsia="Times New Roman" w:hAnsi="Tahoma" w:cs="Tahoma"/>
          <w:color w:val="000000"/>
          <w:sz w:val="20"/>
          <w:szCs w:val="20"/>
          <w:lang w:eastAsia="ru-RU"/>
        </w:rPr>
        <w:t>ї Р</w:t>
      </w:r>
      <w:proofErr w:type="gramEnd"/>
      <w:r w:rsidRPr="00D81D6A">
        <w:rPr>
          <w:rFonts w:ascii="Tahoma" w:eastAsia="Times New Roman" w:hAnsi="Tahoma" w:cs="Tahoma"/>
          <w:color w:val="000000"/>
          <w:sz w:val="20"/>
          <w:szCs w:val="20"/>
          <w:lang w:eastAsia="ru-RU"/>
        </w:rPr>
        <w:t xml:space="preserve">ади, Гетьманату П. Скоропадського, Директорії, Загальноукраїнської Народної Республіки. Становлення третьої Української держави </w:t>
      </w:r>
      <w:proofErr w:type="gramStart"/>
      <w:r w:rsidRPr="00D81D6A">
        <w:rPr>
          <w:rFonts w:ascii="Tahoma" w:eastAsia="Times New Roman" w:hAnsi="Tahoma" w:cs="Tahoma"/>
          <w:color w:val="000000"/>
          <w:sz w:val="20"/>
          <w:szCs w:val="20"/>
          <w:lang w:eastAsia="ru-RU"/>
        </w:rPr>
        <w:t>п</w:t>
      </w:r>
      <w:proofErr w:type="gramEnd"/>
      <w:r w:rsidRPr="00D81D6A">
        <w:rPr>
          <w:rFonts w:ascii="Tahoma" w:eastAsia="Times New Roman" w:hAnsi="Tahoma" w:cs="Tahoma"/>
          <w:color w:val="000000"/>
          <w:sz w:val="20"/>
          <w:szCs w:val="20"/>
          <w:lang w:eastAsia="ru-RU"/>
        </w:rPr>
        <w:t>ісля двох попередніх - княжої та козацької - окреслюється періодом 1917-1921 рр., що тісно пов’язаний з Першою світовою війною, й основне - з українською революцією, національним і демократичним розвоєм. Перша світова війна стала тим вагомим каталізатором, який відновив національно-визвольний дух української  народу і спрямував його на розбудову власної держави. </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 xml:space="preserve">Досвід державотворення цього періоду, на думку багатьох науковців є надзвичайно цінним і злободенним. Завдячуючи революційному пориву українського народу, були організовані </w:t>
      </w:r>
      <w:proofErr w:type="gramStart"/>
      <w:r w:rsidRPr="00D81D6A">
        <w:rPr>
          <w:rFonts w:ascii="Tahoma" w:eastAsia="Times New Roman" w:hAnsi="Tahoma" w:cs="Tahoma"/>
          <w:color w:val="000000"/>
          <w:sz w:val="20"/>
          <w:szCs w:val="20"/>
          <w:lang w:eastAsia="ru-RU"/>
        </w:rPr>
        <w:t>р</w:t>
      </w:r>
      <w:proofErr w:type="gramEnd"/>
      <w:r w:rsidRPr="00D81D6A">
        <w:rPr>
          <w:rFonts w:ascii="Tahoma" w:eastAsia="Times New Roman" w:hAnsi="Tahoma" w:cs="Tahoma"/>
          <w:color w:val="000000"/>
          <w:sz w:val="20"/>
          <w:szCs w:val="20"/>
          <w:lang w:eastAsia="ru-RU"/>
        </w:rPr>
        <w:t>ізні за формою державні утворення: парламентарна, демократична, правова республіка УНР та президентська, демократична, правова республіка ЗУНР, які 22 січня 1919 р. об’єдналися в єдину Українську Народну Республіку; монархічна Українська Держава. Військові дії проти Української Держави з боку</w:t>
      </w:r>
      <w:proofErr w:type="gramStart"/>
      <w:r w:rsidRPr="00D81D6A">
        <w:rPr>
          <w:rFonts w:ascii="Tahoma" w:eastAsia="Times New Roman" w:hAnsi="Tahoma" w:cs="Tahoma"/>
          <w:color w:val="000000"/>
          <w:sz w:val="20"/>
          <w:szCs w:val="20"/>
          <w:lang w:eastAsia="ru-RU"/>
        </w:rPr>
        <w:t xml:space="preserve"> Р</w:t>
      </w:r>
      <w:proofErr w:type="gramEnd"/>
      <w:r w:rsidRPr="00D81D6A">
        <w:rPr>
          <w:rFonts w:ascii="Tahoma" w:eastAsia="Times New Roman" w:hAnsi="Tahoma" w:cs="Tahoma"/>
          <w:color w:val="000000"/>
          <w:sz w:val="20"/>
          <w:szCs w:val="20"/>
          <w:lang w:eastAsia="ru-RU"/>
        </w:rPr>
        <w:t>осії, білогвардійців, Польщі, Румунії змусили перейти до нової форми держави - Директорії в УНР та надати Президентові диктаторського статусу в ЗУНР.</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lastRenderedPageBreak/>
        <w:tab/>
        <w:t xml:space="preserve">Перша </w:t>
      </w:r>
      <w:proofErr w:type="gramStart"/>
      <w:r w:rsidRPr="00D81D6A">
        <w:rPr>
          <w:rFonts w:ascii="Tahoma" w:eastAsia="Times New Roman" w:hAnsi="Tahoma" w:cs="Tahoma"/>
          <w:color w:val="000000"/>
          <w:sz w:val="20"/>
          <w:szCs w:val="20"/>
          <w:lang w:eastAsia="ru-RU"/>
        </w:rPr>
        <w:t>св</w:t>
      </w:r>
      <w:proofErr w:type="gramEnd"/>
      <w:r w:rsidRPr="00D81D6A">
        <w:rPr>
          <w:rFonts w:ascii="Tahoma" w:eastAsia="Times New Roman" w:hAnsi="Tahoma" w:cs="Tahoma"/>
          <w:color w:val="000000"/>
          <w:sz w:val="20"/>
          <w:szCs w:val="20"/>
          <w:lang w:eastAsia="ru-RU"/>
        </w:rPr>
        <w:t>ітова війна, розбурхавши національну свідомість українців, детонувала їхні віковічні мрії, прагнення до свободи, незалежності, до самовизначення нації, що вилилося у довготривалий непримиримий національно-визвольний рух, Українську революцію. Вона стала вагомим фактором розвитку української нації, хоча кінцевої мети – побудови Української держави – на той час так і не досягла.</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proofErr w:type="gramStart"/>
      <w:r w:rsidRPr="00D81D6A">
        <w:rPr>
          <w:rFonts w:ascii="Tahoma" w:eastAsia="Times New Roman" w:hAnsi="Tahoma" w:cs="Tahoma"/>
          <w:color w:val="000000"/>
          <w:sz w:val="20"/>
          <w:szCs w:val="20"/>
          <w:lang w:eastAsia="ru-RU"/>
        </w:rPr>
        <w:t>З</w:t>
      </w:r>
      <w:proofErr w:type="gramEnd"/>
      <w:r w:rsidRPr="00D81D6A">
        <w:rPr>
          <w:rFonts w:ascii="Tahoma" w:eastAsia="Times New Roman" w:hAnsi="Tahoma" w:cs="Tahoma"/>
          <w:color w:val="000000"/>
          <w:sz w:val="20"/>
          <w:szCs w:val="20"/>
          <w:lang w:eastAsia="ru-RU"/>
        </w:rPr>
        <w:t xml:space="preserve"> цього приводу В. Солдатенко вказує: незважаючи на те, що отаманщина є </w:t>
      </w:r>
      <w:r w:rsidRPr="00D81D6A">
        <w:rPr>
          <w:rFonts w:ascii="Tahoma" w:eastAsia="Times New Roman" w:hAnsi="Tahoma" w:cs="Tahoma"/>
          <w:i/>
          <w:iCs/>
          <w:color w:val="000000"/>
          <w:sz w:val="20"/>
          <w:szCs w:val="20"/>
          <w:lang w:eastAsia="ru-RU"/>
        </w:rPr>
        <w:t xml:space="preserve">“найуразливіша вада державного ладу”, …однак з розвитком подій цей феномен виявляв себе дедалі масштабніше і по-новому. Одним з </w:t>
      </w:r>
      <w:proofErr w:type="gramStart"/>
      <w:r w:rsidRPr="00D81D6A">
        <w:rPr>
          <w:rFonts w:ascii="Tahoma" w:eastAsia="Times New Roman" w:hAnsi="Tahoma" w:cs="Tahoma"/>
          <w:i/>
          <w:iCs/>
          <w:color w:val="000000"/>
          <w:sz w:val="20"/>
          <w:szCs w:val="20"/>
          <w:lang w:eastAsia="ru-RU"/>
        </w:rPr>
        <w:t>таких</w:t>
      </w:r>
      <w:proofErr w:type="gramEnd"/>
      <w:r w:rsidRPr="00D81D6A">
        <w:rPr>
          <w:rFonts w:ascii="Tahoma" w:eastAsia="Times New Roman" w:hAnsi="Tahoma" w:cs="Tahoma"/>
          <w:i/>
          <w:iCs/>
          <w:color w:val="000000"/>
          <w:sz w:val="20"/>
          <w:szCs w:val="20"/>
          <w:lang w:eastAsia="ru-RU"/>
        </w:rPr>
        <w:t xml:space="preserve"> проявів була реакція на анархізм і безладдя – наростання авторитарних тенденцій. …Згадана тенденція поширилася і стала багато в чому визначальною в усьому </w:t>
      </w:r>
      <w:proofErr w:type="gramStart"/>
      <w:r w:rsidRPr="00D81D6A">
        <w:rPr>
          <w:rFonts w:ascii="Tahoma" w:eastAsia="Times New Roman" w:hAnsi="Tahoma" w:cs="Tahoma"/>
          <w:i/>
          <w:iCs/>
          <w:color w:val="000000"/>
          <w:sz w:val="20"/>
          <w:szCs w:val="20"/>
          <w:lang w:eastAsia="ru-RU"/>
        </w:rPr>
        <w:t>державному</w:t>
      </w:r>
      <w:proofErr w:type="gramEnd"/>
      <w:r w:rsidRPr="00D81D6A">
        <w:rPr>
          <w:rFonts w:ascii="Tahoma" w:eastAsia="Times New Roman" w:hAnsi="Tahoma" w:cs="Tahoma"/>
          <w:i/>
          <w:iCs/>
          <w:color w:val="000000"/>
          <w:sz w:val="20"/>
          <w:szCs w:val="20"/>
          <w:lang w:eastAsia="ru-RU"/>
        </w:rPr>
        <w:t xml:space="preserve"> будівництві, зумовлювала сутність функціонування Української Народної Республіки в той період”</w:t>
      </w:r>
      <w:r w:rsidRPr="00D81D6A">
        <w:rPr>
          <w:rFonts w:ascii="Tahoma" w:eastAsia="Times New Roman" w:hAnsi="Tahoma" w:cs="Tahoma"/>
          <w:color w:val="000000"/>
          <w:sz w:val="20"/>
          <w:szCs w:val="20"/>
          <w:lang w:eastAsia="ru-RU"/>
        </w:rPr>
        <w:t> [6, с.738-744].</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 xml:space="preserve">Доречно звернути увагу на те, що український військово-селянський рух був масовим і всенародним. Це </w:t>
      </w:r>
      <w:proofErr w:type="gramStart"/>
      <w:r w:rsidRPr="00D81D6A">
        <w:rPr>
          <w:rFonts w:ascii="Tahoma" w:eastAsia="Times New Roman" w:hAnsi="Tahoma" w:cs="Tahoma"/>
          <w:color w:val="000000"/>
          <w:sz w:val="20"/>
          <w:szCs w:val="20"/>
          <w:lang w:eastAsia="ru-RU"/>
        </w:rPr>
        <w:t>п</w:t>
      </w:r>
      <w:proofErr w:type="gramEnd"/>
      <w:r w:rsidRPr="00D81D6A">
        <w:rPr>
          <w:rFonts w:ascii="Tahoma" w:eastAsia="Times New Roman" w:hAnsi="Tahoma" w:cs="Tahoma"/>
          <w:color w:val="000000"/>
          <w:sz w:val="20"/>
          <w:szCs w:val="20"/>
          <w:lang w:eastAsia="ru-RU"/>
        </w:rPr>
        <w:t>ідтверджує Д. Соловей, який вказав: </w:t>
      </w:r>
      <w:r w:rsidRPr="00D81D6A">
        <w:rPr>
          <w:rFonts w:ascii="Tahoma" w:eastAsia="Times New Roman" w:hAnsi="Tahoma" w:cs="Tahoma"/>
          <w:i/>
          <w:iCs/>
          <w:color w:val="000000"/>
          <w:sz w:val="20"/>
          <w:szCs w:val="20"/>
          <w:lang w:eastAsia="ru-RU"/>
        </w:rPr>
        <w:t>“Цей повстанський рух на Україні інтенсивно продовжувався протягом усього періоду 1919 р.–1920 рр. За даними офіційного радянського видання 1921 р., на Україні було тоді нараховано близько 40.000 повстанців проти московського більшовицького окупаційного режиму”</w:t>
      </w:r>
      <w:r w:rsidRPr="00D81D6A">
        <w:rPr>
          <w:rFonts w:ascii="Tahoma" w:eastAsia="Times New Roman" w:hAnsi="Tahoma" w:cs="Tahoma"/>
          <w:color w:val="000000"/>
          <w:sz w:val="20"/>
          <w:szCs w:val="20"/>
          <w:lang w:eastAsia="ru-RU"/>
        </w:rPr>
        <w:t> [7, с.23]. А за іншими даними </w:t>
      </w:r>
      <w:r w:rsidRPr="00D81D6A">
        <w:rPr>
          <w:rFonts w:ascii="Tahoma" w:eastAsia="Times New Roman" w:hAnsi="Tahoma" w:cs="Tahoma"/>
          <w:i/>
          <w:iCs/>
          <w:color w:val="000000"/>
          <w:sz w:val="20"/>
          <w:szCs w:val="20"/>
          <w:lang w:eastAsia="ru-RU"/>
        </w:rPr>
        <w:t xml:space="preserve">протягом 1921 року було викрито й ліквідовано 6.000 повстанських організацій! ...Більшовицькі збройні сили протягом 1920–1921 років </w:t>
      </w:r>
      <w:proofErr w:type="gramStart"/>
      <w:r w:rsidRPr="00D81D6A">
        <w:rPr>
          <w:rFonts w:ascii="Tahoma" w:eastAsia="Times New Roman" w:hAnsi="Tahoma" w:cs="Tahoma"/>
          <w:i/>
          <w:iCs/>
          <w:color w:val="000000"/>
          <w:sz w:val="20"/>
          <w:szCs w:val="20"/>
          <w:lang w:eastAsia="ru-RU"/>
        </w:rPr>
        <w:t>в</w:t>
      </w:r>
      <w:proofErr w:type="gramEnd"/>
      <w:r w:rsidRPr="00D81D6A">
        <w:rPr>
          <w:rFonts w:ascii="Tahoma" w:eastAsia="Times New Roman" w:hAnsi="Tahoma" w:cs="Tahoma"/>
          <w:i/>
          <w:iCs/>
          <w:color w:val="000000"/>
          <w:sz w:val="20"/>
          <w:szCs w:val="20"/>
          <w:lang w:eastAsia="ru-RU"/>
        </w:rPr>
        <w:t>ідбили в боях з повстанцями України: 43 гармати, 1812 скорострілів, 31788 рушниць, 2312 шабель, 3902 револьвери”</w:t>
      </w:r>
      <w:r w:rsidRPr="00D81D6A">
        <w:rPr>
          <w:rFonts w:ascii="Tahoma" w:eastAsia="Times New Roman" w:hAnsi="Tahoma" w:cs="Tahoma"/>
          <w:color w:val="000000"/>
          <w:sz w:val="20"/>
          <w:szCs w:val="20"/>
          <w:lang w:eastAsia="ru-RU"/>
        </w:rPr>
        <w:t> [4, с.23].</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proofErr w:type="gramStart"/>
      <w:r w:rsidRPr="00D81D6A">
        <w:rPr>
          <w:rFonts w:ascii="Tahoma" w:eastAsia="Times New Roman" w:hAnsi="Tahoma" w:cs="Tahoma"/>
          <w:color w:val="000000"/>
          <w:sz w:val="20"/>
          <w:szCs w:val="20"/>
          <w:lang w:eastAsia="ru-RU"/>
        </w:rPr>
        <w:t>З</w:t>
      </w:r>
      <w:proofErr w:type="gramEnd"/>
      <w:r w:rsidRPr="00D81D6A">
        <w:rPr>
          <w:rFonts w:ascii="Tahoma" w:eastAsia="Times New Roman" w:hAnsi="Tahoma" w:cs="Tahoma"/>
          <w:color w:val="000000"/>
          <w:sz w:val="20"/>
          <w:szCs w:val="20"/>
          <w:lang w:eastAsia="ru-RU"/>
        </w:rPr>
        <w:t xml:space="preserve"> приводу загальної оцінки військово-селянського руху В. Солдатенко стверджує: </w:t>
      </w:r>
      <w:r w:rsidRPr="00D81D6A">
        <w:rPr>
          <w:rFonts w:ascii="Tahoma" w:eastAsia="Times New Roman" w:hAnsi="Tahoma" w:cs="Tahoma"/>
          <w:i/>
          <w:iCs/>
          <w:color w:val="000000"/>
          <w:sz w:val="20"/>
          <w:szCs w:val="20"/>
          <w:lang w:eastAsia="ru-RU"/>
        </w:rPr>
        <w:t>“Стихійний опі</w:t>
      </w:r>
      <w:proofErr w:type="gramStart"/>
      <w:r w:rsidRPr="00D81D6A">
        <w:rPr>
          <w:rFonts w:ascii="Tahoma" w:eastAsia="Times New Roman" w:hAnsi="Tahoma" w:cs="Tahoma"/>
          <w:i/>
          <w:iCs/>
          <w:color w:val="000000"/>
          <w:sz w:val="20"/>
          <w:szCs w:val="20"/>
          <w:lang w:eastAsia="ru-RU"/>
        </w:rPr>
        <w:t>р</w:t>
      </w:r>
      <w:proofErr w:type="gramEnd"/>
      <w:r w:rsidRPr="00D81D6A">
        <w:rPr>
          <w:rFonts w:ascii="Tahoma" w:eastAsia="Times New Roman" w:hAnsi="Tahoma" w:cs="Tahoma"/>
          <w:i/>
          <w:iCs/>
          <w:color w:val="000000"/>
          <w:sz w:val="20"/>
          <w:szCs w:val="20"/>
          <w:lang w:eastAsia="ru-RU"/>
        </w:rPr>
        <w:t xml:space="preserve"> селянства був приречений на поразку. Але неминучі селянські збройні повстання викликали співчуття, повагу прогресивних сил. Одними з причин невдач селянської боротьби були неорганізованість, роз’єднаність повстанських операцій. Не існувало єдиного керівного центру, не було широких, точно визначених </w:t>
      </w:r>
      <w:proofErr w:type="gramStart"/>
      <w:r w:rsidRPr="00D81D6A">
        <w:rPr>
          <w:rFonts w:ascii="Tahoma" w:eastAsia="Times New Roman" w:hAnsi="Tahoma" w:cs="Tahoma"/>
          <w:i/>
          <w:iCs/>
          <w:color w:val="000000"/>
          <w:sz w:val="20"/>
          <w:szCs w:val="20"/>
          <w:lang w:eastAsia="ru-RU"/>
        </w:rPr>
        <w:t>соц</w:t>
      </w:r>
      <w:proofErr w:type="gramEnd"/>
      <w:r w:rsidRPr="00D81D6A">
        <w:rPr>
          <w:rFonts w:ascii="Tahoma" w:eastAsia="Times New Roman" w:hAnsi="Tahoma" w:cs="Tahoma"/>
          <w:i/>
          <w:iCs/>
          <w:color w:val="000000"/>
          <w:sz w:val="20"/>
          <w:szCs w:val="20"/>
          <w:lang w:eastAsia="ru-RU"/>
        </w:rPr>
        <w:t xml:space="preserve">іально-політичних гасел. </w:t>
      </w:r>
      <w:proofErr w:type="gramStart"/>
      <w:r w:rsidRPr="00D81D6A">
        <w:rPr>
          <w:rFonts w:ascii="Tahoma" w:eastAsia="Times New Roman" w:hAnsi="Tahoma" w:cs="Tahoma"/>
          <w:i/>
          <w:iCs/>
          <w:color w:val="000000"/>
          <w:sz w:val="20"/>
          <w:szCs w:val="20"/>
          <w:lang w:eastAsia="ru-RU"/>
        </w:rPr>
        <w:t>Та й</w:t>
      </w:r>
      <w:proofErr w:type="gramEnd"/>
      <w:r w:rsidRPr="00D81D6A">
        <w:rPr>
          <w:rFonts w:ascii="Tahoma" w:eastAsia="Times New Roman" w:hAnsi="Tahoma" w:cs="Tahoma"/>
          <w:i/>
          <w:iCs/>
          <w:color w:val="000000"/>
          <w:sz w:val="20"/>
          <w:szCs w:val="20"/>
          <w:lang w:eastAsia="ru-RU"/>
        </w:rPr>
        <w:t xml:space="preserve"> австро-німецьке військо перемагало чисельно, було міцне і дисципліноване. 19 дивізій, 2 кавалерійські бригади, тобто 6 німецьких корпусів та 3 австро-угорських корпуси (9 дивізій) були розпорошені по всіх українських губерніях. Вони надійно блокували селянські виступи, не давали їм змоги з’єднатися в єдине </w:t>
      </w:r>
      <w:proofErr w:type="gramStart"/>
      <w:r w:rsidRPr="00D81D6A">
        <w:rPr>
          <w:rFonts w:ascii="Tahoma" w:eastAsia="Times New Roman" w:hAnsi="Tahoma" w:cs="Tahoma"/>
          <w:i/>
          <w:iCs/>
          <w:color w:val="000000"/>
          <w:sz w:val="20"/>
          <w:szCs w:val="20"/>
          <w:lang w:eastAsia="ru-RU"/>
        </w:rPr>
        <w:t>р</w:t>
      </w:r>
      <w:proofErr w:type="gramEnd"/>
      <w:r w:rsidRPr="00D81D6A">
        <w:rPr>
          <w:rFonts w:ascii="Tahoma" w:eastAsia="Times New Roman" w:hAnsi="Tahoma" w:cs="Tahoma"/>
          <w:i/>
          <w:iCs/>
          <w:color w:val="000000"/>
          <w:sz w:val="20"/>
          <w:szCs w:val="20"/>
          <w:lang w:eastAsia="ru-RU"/>
        </w:rPr>
        <w:t xml:space="preserve">ічище…” [6, с.744]. </w:t>
      </w:r>
      <w:proofErr w:type="gramStart"/>
      <w:r w:rsidRPr="00D81D6A">
        <w:rPr>
          <w:rFonts w:ascii="Tahoma" w:eastAsia="Times New Roman" w:hAnsi="Tahoma" w:cs="Tahoma"/>
          <w:i/>
          <w:iCs/>
          <w:color w:val="000000"/>
          <w:sz w:val="20"/>
          <w:szCs w:val="20"/>
          <w:lang w:eastAsia="ru-RU"/>
        </w:rPr>
        <w:t>Ц</w:t>
      </w:r>
      <w:proofErr w:type="gramEnd"/>
      <w:r w:rsidRPr="00D81D6A">
        <w:rPr>
          <w:rFonts w:ascii="Tahoma" w:eastAsia="Times New Roman" w:hAnsi="Tahoma" w:cs="Tahoma"/>
          <w:i/>
          <w:iCs/>
          <w:color w:val="000000"/>
          <w:sz w:val="20"/>
          <w:szCs w:val="20"/>
          <w:lang w:eastAsia="ru-RU"/>
        </w:rPr>
        <w:t>ілком можна погодитися з думкою, що “не поталанило в час Національно-визвольної революції 1917-1920-х років українцям, ...в особах польових командирів Гайдамаччини ХХ століття Україна програла, не скорившись” </w:t>
      </w:r>
      <w:r w:rsidRPr="00D81D6A">
        <w:rPr>
          <w:rFonts w:ascii="Tahoma" w:eastAsia="Times New Roman" w:hAnsi="Tahoma" w:cs="Tahoma"/>
          <w:color w:val="000000"/>
          <w:sz w:val="20"/>
          <w:szCs w:val="20"/>
          <w:lang w:eastAsia="ru-RU"/>
        </w:rPr>
        <w:t>[4, с.29].</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proofErr w:type="gramStart"/>
      <w:r w:rsidRPr="00D81D6A">
        <w:rPr>
          <w:rFonts w:ascii="Tahoma" w:eastAsia="Times New Roman" w:hAnsi="Tahoma" w:cs="Tahoma"/>
          <w:color w:val="000000"/>
          <w:sz w:val="20"/>
          <w:szCs w:val="20"/>
          <w:lang w:eastAsia="ru-RU"/>
        </w:rPr>
        <w:t>Ц</w:t>
      </w:r>
      <w:proofErr w:type="gramEnd"/>
      <w:r w:rsidRPr="00D81D6A">
        <w:rPr>
          <w:rFonts w:ascii="Tahoma" w:eastAsia="Times New Roman" w:hAnsi="Tahoma" w:cs="Tahoma"/>
          <w:color w:val="000000"/>
          <w:sz w:val="20"/>
          <w:szCs w:val="20"/>
          <w:lang w:eastAsia="ru-RU"/>
        </w:rPr>
        <w:t>інною для встановлення об’єктивної значимості військово-селянської боротьби є думка Д.Соловея, який підкреслив: </w:t>
      </w:r>
      <w:proofErr w:type="gramStart"/>
      <w:r w:rsidRPr="00D81D6A">
        <w:rPr>
          <w:rFonts w:ascii="Tahoma" w:eastAsia="Times New Roman" w:hAnsi="Tahoma" w:cs="Tahoma"/>
          <w:i/>
          <w:iCs/>
          <w:color w:val="000000"/>
          <w:sz w:val="20"/>
          <w:szCs w:val="20"/>
          <w:lang w:eastAsia="ru-RU"/>
        </w:rPr>
        <w:t>“Біда українського руху в тім, що маси не йшли за одним національним проводом, а розпорошували свої сили в повстанській несконсолідованій боротьбі. Коли б українській народ зумів пролити на організованім фронті хоч сотенну частину тієї крови, що лилася по всій Україні в повстанській боротьбі 1919 р</w:t>
      </w:r>
      <w:proofErr w:type="gramEnd"/>
      <w:r w:rsidRPr="00D81D6A">
        <w:rPr>
          <w:rFonts w:ascii="Tahoma" w:eastAsia="Times New Roman" w:hAnsi="Tahoma" w:cs="Tahoma"/>
          <w:i/>
          <w:iCs/>
          <w:color w:val="000000"/>
          <w:sz w:val="20"/>
          <w:szCs w:val="20"/>
          <w:lang w:eastAsia="ru-RU"/>
        </w:rPr>
        <w:t>. проти “бі</w:t>
      </w:r>
      <w:proofErr w:type="gramStart"/>
      <w:r w:rsidRPr="00D81D6A">
        <w:rPr>
          <w:rFonts w:ascii="Tahoma" w:eastAsia="Times New Roman" w:hAnsi="Tahoma" w:cs="Tahoma"/>
          <w:i/>
          <w:iCs/>
          <w:color w:val="000000"/>
          <w:sz w:val="20"/>
          <w:szCs w:val="20"/>
          <w:lang w:eastAsia="ru-RU"/>
        </w:rPr>
        <w:t>лої” та</w:t>
      </w:r>
      <w:proofErr w:type="gramEnd"/>
      <w:r w:rsidRPr="00D81D6A">
        <w:rPr>
          <w:rFonts w:ascii="Tahoma" w:eastAsia="Times New Roman" w:hAnsi="Tahoma" w:cs="Tahoma"/>
          <w:i/>
          <w:iCs/>
          <w:color w:val="000000"/>
          <w:sz w:val="20"/>
          <w:szCs w:val="20"/>
          <w:lang w:eastAsia="ru-RU"/>
        </w:rPr>
        <w:t xml:space="preserve"> “червоної” Росії, то цих жертв вистачило б з горою для оборони української незалежної держави проти всіх зовнішніх сил. Мусимо визнати, що українську боротьбу завалила в першу чергу мала </w:t>
      </w:r>
      <w:proofErr w:type="gramStart"/>
      <w:r w:rsidRPr="00D81D6A">
        <w:rPr>
          <w:rFonts w:ascii="Tahoma" w:eastAsia="Times New Roman" w:hAnsi="Tahoma" w:cs="Tahoma"/>
          <w:i/>
          <w:iCs/>
          <w:color w:val="000000"/>
          <w:sz w:val="20"/>
          <w:szCs w:val="20"/>
          <w:lang w:eastAsia="ru-RU"/>
        </w:rPr>
        <w:t>св</w:t>
      </w:r>
      <w:proofErr w:type="gramEnd"/>
      <w:r w:rsidRPr="00D81D6A">
        <w:rPr>
          <w:rFonts w:ascii="Tahoma" w:eastAsia="Times New Roman" w:hAnsi="Tahoma" w:cs="Tahoma"/>
          <w:i/>
          <w:iCs/>
          <w:color w:val="000000"/>
          <w:sz w:val="20"/>
          <w:szCs w:val="20"/>
          <w:lang w:eastAsia="ru-RU"/>
        </w:rPr>
        <w:t>ідомість українських народних мас та недостатня організованість”</w:t>
      </w:r>
      <w:r w:rsidRPr="00D81D6A">
        <w:rPr>
          <w:rFonts w:ascii="Tahoma" w:eastAsia="Times New Roman" w:hAnsi="Tahoma" w:cs="Tahoma"/>
          <w:color w:val="000000"/>
          <w:sz w:val="20"/>
          <w:szCs w:val="20"/>
          <w:lang w:eastAsia="ru-RU"/>
        </w:rPr>
        <w:t> [7, с.23].</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Для повної оцінки повстанського руху важливим є встановлення його легітимності, правомірності, законності. Визнання опонентами національно-визвольного руху негативним ставить з’ясування цього питання в площину надзвичайної актуальності. М. Какурін учасник тих подій, характеризуючи “партизансько-бандитський рух”, подає його оцінку Л. Троцьким, який вказав, що </w:t>
      </w:r>
      <w:r w:rsidRPr="00D81D6A">
        <w:rPr>
          <w:rFonts w:ascii="Tahoma" w:eastAsia="Times New Roman" w:hAnsi="Tahoma" w:cs="Tahoma"/>
          <w:i/>
          <w:iCs/>
          <w:color w:val="000000"/>
          <w:sz w:val="20"/>
          <w:szCs w:val="20"/>
          <w:lang w:eastAsia="ru-RU"/>
        </w:rPr>
        <w:t xml:space="preserve">“неможливо дальше терпіти жодного дня, щоб розпусні негідники </w:t>
      </w:r>
      <w:proofErr w:type="gramStart"/>
      <w:r w:rsidRPr="00D81D6A">
        <w:rPr>
          <w:rFonts w:ascii="Tahoma" w:eastAsia="Times New Roman" w:hAnsi="Tahoma" w:cs="Tahoma"/>
          <w:i/>
          <w:iCs/>
          <w:color w:val="000000"/>
          <w:sz w:val="20"/>
          <w:szCs w:val="20"/>
          <w:lang w:eastAsia="ru-RU"/>
        </w:rPr>
        <w:t>п</w:t>
      </w:r>
      <w:proofErr w:type="gramEnd"/>
      <w:r w:rsidRPr="00D81D6A">
        <w:rPr>
          <w:rFonts w:ascii="Tahoma" w:eastAsia="Times New Roman" w:hAnsi="Tahoma" w:cs="Tahoma"/>
          <w:i/>
          <w:iCs/>
          <w:color w:val="000000"/>
          <w:sz w:val="20"/>
          <w:szCs w:val="20"/>
          <w:lang w:eastAsia="ru-RU"/>
        </w:rPr>
        <w:t xml:space="preserve">ід іменем отаманів, батьків </w:t>
      </w:r>
      <w:proofErr w:type="gramStart"/>
      <w:r w:rsidRPr="00D81D6A">
        <w:rPr>
          <w:rFonts w:ascii="Tahoma" w:eastAsia="Times New Roman" w:hAnsi="Tahoma" w:cs="Tahoma"/>
          <w:i/>
          <w:iCs/>
          <w:color w:val="000000"/>
          <w:sz w:val="20"/>
          <w:szCs w:val="20"/>
          <w:lang w:eastAsia="ru-RU"/>
        </w:rPr>
        <w:t>п</w:t>
      </w:r>
      <w:proofErr w:type="gramEnd"/>
      <w:r w:rsidRPr="00D81D6A">
        <w:rPr>
          <w:rFonts w:ascii="Tahoma" w:eastAsia="Times New Roman" w:hAnsi="Tahoma" w:cs="Tahoma"/>
          <w:i/>
          <w:iCs/>
          <w:color w:val="000000"/>
          <w:sz w:val="20"/>
          <w:szCs w:val="20"/>
          <w:lang w:eastAsia="ru-RU"/>
        </w:rPr>
        <w:t>ідбирали собі такі ж розпусні банди, громили мирне населення, знищували залізничні споруди, пускали під укіс потяги, позбавляли життя тисячі людей. Необхідно знищити до тла всіх Григор’євих, Зелених, Махно і всіх куркульських помічників і потурачів”</w:t>
      </w:r>
      <w:r w:rsidRPr="00D81D6A">
        <w:rPr>
          <w:rFonts w:ascii="Tahoma" w:eastAsia="Times New Roman" w:hAnsi="Tahoma" w:cs="Tahoma"/>
          <w:color w:val="000000"/>
          <w:sz w:val="20"/>
          <w:szCs w:val="20"/>
          <w:lang w:eastAsia="ru-RU"/>
        </w:rPr>
        <w:t> [2, с.100]. Безперечно, з цією оцінкою погодитися важко. І хоча дійсно, як стверджує Р. Коваль, </w:t>
      </w:r>
      <w:r w:rsidRPr="00D81D6A">
        <w:rPr>
          <w:rFonts w:ascii="Tahoma" w:eastAsia="Times New Roman" w:hAnsi="Tahoma" w:cs="Tahoma"/>
          <w:i/>
          <w:iCs/>
          <w:color w:val="000000"/>
          <w:sz w:val="20"/>
          <w:szCs w:val="20"/>
          <w:lang w:eastAsia="ru-RU"/>
        </w:rPr>
        <w:t>“Отамани – люди зі всіма добрими й злими людськими прикметами... Кажуть, що вони були не карні, малодисципліновані.</w:t>
      </w:r>
      <w:proofErr w:type="gramStart"/>
      <w:r w:rsidRPr="00D81D6A">
        <w:rPr>
          <w:rFonts w:ascii="Tahoma" w:eastAsia="Times New Roman" w:hAnsi="Tahoma" w:cs="Tahoma"/>
          <w:i/>
          <w:iCs/>
          <w:color w:val="000000"/>
          <w:sz w:val="20"/>
          <w:szCs w:val="20"/>
          <w:lang w:eastAsia="ru-RU"/>
        </w:rPr>
        <w:t xml:space="preserve"> .</w:t>
      </w:r>
      <w:proofErr w:type="gramEnd"/>
      <w:r w:rsidRPr="00D81D6A">
        <w:rPr>
          <w:rFonts w:ascii="Tahoma" w:eastAsia="Times New Roman" w:hAnsi="Tahoma" w:cs="Tahoma"/>
          <w:i/>
          <w:iCs/>
          <w:color w:val="000000"/>
          <w:sz w:val="20"/>
          <w:szCs w:val="20"/>
          <w:lang w:eastAsia="ru-RU"/>
        </w:rPr>
        <w:t>..Були й такі. Серед отаманів були різні люди, в тому числі і самозакохані авантюрники, які не бажали нікому підпорядковуватися”</w:t>
      </w:r>
      <w:r w:rsidRPr="00D81D6A">
        <w:rPr>
          <w:rFonts w:ascii="Tahoma" w:eastAsia="Times New Roman" w:hAnsi="Tahoma" w:cs="Tahoma"/>
          <w:color w:val="000000"/>
          <w:sz w:val="20"/>
          <w:szCs w:val="20"/>
          <w:lang w:eastAsia="ru-RU"/>
        </w:rPr>
        <w:t> [4, с.28], в цілому національно-визвольний рух необхідно визнати правомірним, спрямованим на захист своєї незалежності, свободи, ліквідації беззаконня, анархії.</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Анатоль Камінський, встановлюючи легітимність УПА, вказав, що </w:t>
      </w:r>
      <w:r w:rsidRPr="00D81D6A">
        <w:rPr>
          <w:rFonts w:ascii="Tahoma" w:eastAsia="Times New Roman" w:hAnsi="Tahoma" w:cs="Tahoma"/>
          <w:i/>
          <w:iCs/>
          <w:color w:val="000000"/>
          <w:sz w:val="20"/>
          <w:szCs w:val="20"/>
          <w:lang w:eastAsia="ru-RU"/>
        </w:rPr>
        <w:t xml:space="preserve">“у визначенні легітимності армії головним критерієм є наявність над нею </w:t>
      </w:r>
      <w:proofErr w:type="gramStart"/>
      <w:r w:rsidRPr="00D81D6A">
        <w:rPr>
          <w:rFonts w:ascii="Tahoma" w:eastAsia="Times New Roman" w:hAnsi="Tahoma" w:cs="Tahoma"/>
          <w:i/>
          <w:iCs/>
          <w:color w:val="000000"/>
          <w:sz w:val="20"/>
          <w:szCs w:val="20"/>
          <w:lang w:eastAsia="ru-RU"/>
        </w:rPr>
        <w:t>суверенного</w:t>
      </w:r>
      <w:proofErr w:type="gramEnd"/>
      <w:r w:rsidRPr="00D81D6A">
        <w:rPr>
          <w:rFonts w:ascii="Tahoma" w:eastAsia="Times New Roman" w:hAnsi="Tahoma" w:cs="Tahoma"/>
          <w:i/>
          <w:iCs/>
          <w:color w:val="000000"/>
          <w:sz w:val="20"/>
          <w:szCs w:val="20"/>
          <w:lang w:eastAsia="ru-RU"/>
        </w:rPr>
        <w:t xml:space="preserve"> політичного керівництва чи просто суверенної влади. Тобто </w:t>
      </w:r>
      <w:proofErr w:type="gramStart"/>
      <w:r w:rsidRPr="00D81D6A">
        <w:rPr>
          <w:rFonts w:ascii="Tahoma" w:eastAsia="Times New Roman" w:hAnsi="Tahoma" w:cs="Tahoma"/>
          <w:i/>
          <w:iCs/>
          <w:color w:val="000000"/>
          <w:sz w:val="20"/>
          <w:szCs w:val="20"/>
          <w:lang w:eastAsia="ru-RU"/>
        </w:rPr>
        <w:t>в</w:t>
      </w:r>
      <w:proofErr w:type="gramEnd"/>
      <w:r w:rsidRPr="00D81D6A">
        <w:rPr>
          <w:rFonts w:ascii="Tahoma" w:eastAsia="Times New Roman" w:hAnsi="Tahoma" w:cs="Tahoma"/>
          <w:i/>
          <w:iCs/>
          <w:color w:val="000000"/>
          <w:sz w:val="20"/>
          <w:szCs w:val="20"/>
          <w:lang w:eastAsia="ru-RU"/>
        </w:rPr>
        <w:t xml:space="preserve"> </w:t>
      </w:r>
      <w:proofErr w:type="gramStart"/>
      <w:r w:rsidRPr="00D81D6A">
        <w:rPr>
          <w:rFonts w:ascii="Tahoma" w:eastAsia="Times New Roman" w:hAnsi="Tahoma" w:cs="Tahoma"/>
          <w:i/>
          <w:iCs/>
          <w:color w:val="000000"/>
          <w:sz w:val="20"/>
          <w:szCs w:val="20"/>
          <w:lang w:eastAsia="ru-RU"/>
        </w:rPr>
        <w:t>такому</w:t>
      </w:r>
      <w:proofErr w:type="gramEnd"/>
      <w:r w:rsidRPr="00D81D6A">
        <w:rPr>
          <w:rFonts w:ascii="Tahoma" w:eastAsia="Times New Roman" w:hAnsi="Tahoma" w:cs="Tahoma"/>
          <w:i/>
          <w:iCs/>
          <w:color w:val="000000"/>
          <w:sz w:val="20"/>
          <w:szCs w:val="20"/>
          <w:lang w:eastAsia="ru-RU"/>
        </w:rPr>
        <w:t xml:space="preserve"> розумінні армія є еманацією легітимності політичної влади чи керівництва. ...Повинні бути три головні елементи державної легітимності – населення, територія і влада. ...Міжнародна легітимність базувалася на організованій боротьбі українського народу на його території за самовизначення, самоуправління та державну незалежність. Правомірність цієї боротьби визнана додатковими протоколами до Женевської конвенції від 12 серпня 1949 </w:t>
      </w:r>
      <w:proofErr w:type="gramStart"/>
      <w:r w:rsidRPr="00D81D6A">
        <w:rPr>
          <w:rFonts w:ascii="Tahoma" w:eastAsia="Times New Roman" w:hAnsi="Tahoma" w:cs="Tahoma"/>
          <w:i/>
          <w:iCs/>
          <w:color w:val="000000"/>
          <w:sz w:val="20"/>
          <w:szCs w:val="20"/>
          <w:lang w:eastAsia="ru-RU"/>
        </w:rPr>
        <w:t>р</w:t>
      </w:r>
      <w:proofErr w:type="gramEnd"/>
      <w:r w:rsidRPr="00D81D6A">
        <w:rPr>
          <w:rFonts w:ascii="Tahoma" w:eastAsia="Times New Roman" w:hAnsi="Tahoma" w:cs="Tahoma"/>
          <w:i/>
          <w:iCs/>
          <w:color w:val="000000"/>
          <w:sz w:val="20"/>
          <w:szCs w:val="20"/>
          <w:lang w:eastAsia="ru-RU"/>
        </w:rPr>
        <w:t xml:space="preserve">, які розширили визначення воюючої сторони, якою, згідно з Гаазькою конференцією, є війна за </w:t>
      </w:r>
      <w:r w:rsidRPr="00D81D6A">
        <w:rPr>
          <w:rFonts w:ascii="Tahoma" w:eastAsia="Times New Roman" w:hAnsi="Tahoma" w:cs="Tahoma"/>
          <w:i/>
          <w:iCs/>
          <w:color w:val="000000"/>
          <w:sz w:val="20"/>
          <w:szCs w:val="20"/>
          <w:lang w:eastAsia="ru-RU"/>
        </w:rPr>
        <w:lastRenderedPageBreak/>
        <w:t>національне визволення, збройна боротьба проти колоніальної домінації, чужинницької окупації та расистського режиму. ...Кваліфікаційним елементом й атрибутом армії є організаційна структура – оперативна (вертикальна) і територіальна (горизонтальна)”</w:t>
      </w:r>
      <w:r w:rsidRPr="00D81D6A">
        <w:rPr>
          <w:rFonts w:ascii="Tahoma" w:eastAsia="Times New Roman" w:hAnsi="Tahoma" w:cs="Tahoma"/>
          <w:color w:val="000000"/>
          <w:sz w:val="20"/>
          <w:szCs w:val="20"/>
          <w:lang w:eastAsia="ru-RU"/>
        </w:rPr>
        <w:t xml:space="preserve"> [3, с.21-22]. Отже, вищевказане </w:t>
      </w:r>
      <w:proofErr w:type="gramStart"/>
      <w:r w:rsidRPr="00D81D6A">
        <w:rPr>
          <w:rFonts w:ascii="Tahoma" w:eastAsia="Times New Roman" w:hAnsi="Tahoma" w:cs="Tahoma"/>
          <w:color w:val="000000"/>
          <w:sz w:val="20"/>
          <w:szCs w:val="20"/>
          <w:lang w:eastAsia="ru-RU"/>
        </w:rPr>
        <w:t>п</w:t>
      </w:r>
      <w:proofErr w:type="gramEnd"/>
      <w:r w:rsidRPr="00D81D6A">
        <w:rPr>
          <w:rFonts w:ascii="Tahoma" w:eastAsia="Times New Roman" w:hAnsi="Tahoma" w:cs="Tahoma"/>
          <w:color w:val="000000"/>
          <w:sz w:val="20"/>
          <w:szCs w:val="20"/>
          <w:lang w:eastAsia="ru-RU"/>
        </w:rPr>
        <w:t>ідтверджує, що національно-визвольний рух був правомірним і легітимним.</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proofErr w:type="gramStart"/>
      <w:r w:rsidRPr="00D81D6A">
        <w:rPr>
          <w:rFonts w:ascii="Tahoma" w:eastAsia="Times New Roman" w:hAnsi="Tahoma" w:cs="Tahoma"/>
          <w:color w:val="000000"/>
          <w:sz w:val="20"/>
          <w:szCs w:val="20"/>
          <w:lang w:eastAsia="ru-RU"/>
        </w:rPr>
        <w:t>П</w:t>
      </w:r>
      <w:proofErr w:type="gramEnd"/>
      <w:r w:rsidRPr="00D81D6A">
        <w:rPr>
          <w:rFonts w:ascii="Tahoma" w:eastAsia="Times New Roman" w:hAnsi="Tahoma" w:cs="Tahoma"/>
          <w:color w:val="000000"/>
          <w:sz w:val="20"/>
          <w:szCs w:val="20"/>
          <w:lang w:eastAsia="ru-RU"/>
        </w:rPr>
        <w:t>ідсумовуючи висвітлення військово-селянського руху, можна вказати:</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r w:rsidRPr="00D81D6A">
        <w:rPr>
          <w:rFonts w:ascii="Tahoma" w:eastAsia="Times New Roman" w:hAnsi="Tahoma" w:cs="Tahoma"/>
          <w:b/>
          <w:bCs/>
          <w:color w:val="000000"/>
          <w:sz w:val="20"/>
          <w:szCs w:val="20"/>
          <w:lang w:eastAsia="ru-RU"/>
        </w:rPr>
        <w:t>по-перше,</w:t>
      </w:r>
      <w:r w:rsidRPr="00D81D6A">
        <w:rPr>
          <w:rFonts w:ascii="Tahoma" w:eastAsia="Times New Roman" w:hAnsi="Tahoma" w:cs="Tahoma"/>
          <w:color w:val="000000"/>
          <w:sz w:val="20"/>
          <w:szCs w:val="20"/>
          <w:lang w:eastAsia="ru-RU"/>
        </w:rPr>
        <w:t xml:space="preserve"> повстанський, військово-селянський рух (отаманщина), поряд з діяльністю українських державотворців, військових дій Української армії </w:t>
      </w:r>
      <w:proofErr w:type="gramStart"/>
      <w:r w:rsidRPr="00D81D6A">
        <w:rPr>
          <w:rFonts w:ascii="Tahoma" w:eastAsia="Times New Roman" w:hAnsi="Tahoma" w:cs="Tahoma"/>
          <w:color w:val="000000"/>
          <w:sz w:val="20"/>
          <w:szCs w:val="20"/>
          <w:lang w:eastAsia="ru-RU"/>
        </w:rPr>
        <w:t>р</w:t>
      </w:r>
      <w:proofErr w:type="gramEnd"/>
      <w:r w:rsidRPr="00D81D6A">
        <w:rPr>
          <w:rFonts w:ascii="Tahoma" w:eastAsia="Times New Roman" w:hAnsi="Tahoma" w:cs="Tahoma"/>
          <w:color w:val="000000"/>
          <w:sz w:val="20"/>
          <w:szCs w:val="20"/>
          <w:lang w:eastAsia="ru-RU"/>
        </w:rPr>
        <w:t xml:space="preserve">ізних формацій (УЦР, Гетьманат, Директорія, ЗУНР) був однією з важливих складових частин всеукраїнської національно-визвольної боротьби 1917–1921 рр., вагомою, непримиренною, рушійною військовою потугою українського селянства, який вніс суттєву лепту в захист національної державності та </w:t>
      </w:r>
      <w:proofErr w:type="gramStart"/>
      <w:r w:rsidRPr="00D81D6A">
        <w:rPr>
          <w:rFonts w:ascii="Tahoma" w:eastAsia="Times New Roman" w:hAnsi="Tahoma" w:cs="Tahoma"/>
          <w:color w:val="000000"/>
          <w:sz w:val="20"/>
          <w:szCs w:val="20"/>
          <w:lang w:eastAsia="ru-RU"/>
        </w:rPr>
        <w:t>р</w:t>
      </w:r>
      <w:proofErr w:type="gramEnd"/>
      <w:r w:rsidRPr="00D81D6A">
        <w:rPr>
          <w:rFonts w:ascii="Tahoma" w:eastAsia="Times New Roman" w:hAnsi="Tahoma" w:cs="Tahoma"/>
          <w:color w:val="000000"/>
          <w:sz w:val="20"/>
          <w:szCs w:val="20"/>
          <w:lang w:eastAsia="ru-RU"/>
        </w:rPr>
        <w:t>ідної землі від загарбників;</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r w:rsidRPr="00D81D6A">
        <w:rPr>
          <w:rFonts w:ascii="Tahoma" w:eastAsia="Times New Roman" w:hAnsi="Tahoma" w:cs="Tahoma"/>
          <w:b/>
          <w:bCs/>
          <w:color w:val="000000"/>
          <w:sz w:val="20"/>
          <w:szCs w:val="20"/>
          <w:lang w:eastAsia="ru-RU"/>
        </w:rPr>
        <w:t>по-друге,</w:t>
      </w:r>
      <w:r w:rsidRPr="00D81D6A">
        <w:rPr>
          <w:rFonts w:ascii="Tahoma" w:eastAsia="Times New Roman" w:hAnsi="Tahoma" w:cs="Tahoma"/>
          <w:color w:val="000000"/>
          <w:sz w:val="20"/>
          <w:szCs w:val="20"/>
          <w:lang w:eastAsia="ru-RU"/>
        </w:rPr>
        <w:t> військово-селянський рух проявився у використанні широкого спектру, багатоманіття форм збройної боротьби за свою незалежність, став фактом реалізації самобутньої народної ініціативи в сфері військового захисту національних інтересів (“</w:t>
      </w:r>
      <w:proofErr w:type="gramStart"/>
      <w:r w:rsidRPr="00D81D6A">
        <w:rPr>
          <w:rFonts w:ascii="Tahoma" w:eastAsia="Times New Roman" w:hAnsi="Tahoma" w:cs="Tahoma"/>
          <w:color w:val="000000"/>
          <w:sz w:val="20"/>
          <w:szCs w:val="20"/>
          <w:lang w:eastAsia="ru-RU"/>
        </w:rPr>
        <w:t>В</w:t>
      </w:r>
      <w:proofErr w:type="gramEnd"/>
      <w:r w:rsidRPr="00D81D6A">
        <w:rPr>
          <w:rFonts w:ascii="Tahoma" w:eastAsia="Times New Roman" w:hAnsi="Tahoma" w:cs="Tahoma"/>
          <w:color w:val="000000"/>
          <w:sz w:val="20"/>
          <w:szCs w:val="20"/>
          <w:lang w:eastAsia="ru-RU"/>
        </w:rPr>
        <w:t xml:space="preserve">ільне козацтво”, Отаманські республіки) і виразом здатності українців до самооборони. Відсутність на той час в Україні національно </w:t>
      </w:r>
      <w:proofErr w:type="gramStart"/>
      <w:r w:rsidRPr="00D81D6A">
        <w:rPr>
          <w:rFonts w:ascii="Tahoma" w:eastAsia="Times New Roman" w:hAnsi="Tahoma" w:cs="Tahoma"/>
          <w:color w:val="000000"/>
          <w:sz w:val="20"/>
          <w:szCs w:val="20"/>
          <w:lang w:eastAsia="ru-RU"/>
        </w:rPr>
        <w:t>св</w:t>
      </w:r>
      <w:proofErr w:type="gramEnd"/>
      <w:r w:rsidRPr="00D81D6A">
        <w:rPr>
          <w:rFonts w:ascii="Tahoma" w:eastAsia="Times New Roman" w:hAnsi="Tahoma" w:cs="Tahoma"/>
          <w:color w:val="000000"/>
          <w:sz w:val="20"/>
          <w:szCs w:val="20"/>
          <w:lang w:eastAsia="ru-RU"/>
        </w:rPr>
        <w:t>ідомого, патріотичного державного політичного проводу, української еліти, яким би національні інтереси були понад усе та здатних об’єднати і зорганізувати всі верстви українства навколо головної національної ідеї – розбудови Української держави та ефективно спрямувати їхні зусилля на впровадження цієї ідеї, призвела до послаблення, нехтування цієї народної стихії, повстанського руху і, як наслідок, до втрати самої держави;</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r w:rsidRPr="00D81D6A">
        <w:rPr>
          <w:rFonts w:ascii="Tahoma" w:eastAsia="Times New Roman" w:hAnsi="Tahoma" w:cs="Tahoma"/>
          <w:b/>
          <w:bCs/>
          <w:color w:val="000000"/>
          <w:sz w:val="20"/>
          <w:szCs w:val="20"/>
          <w:lang w:eastAsia="ru-RU"/>
        </w:rPr>
        <w:t>по-трет</w:t>
      </w:r>
      <w:proofErr w:type="gramStart"/>
      <w:r w:rsidRPr="00D81D6A">
        <w:rPr>
          <w:rFonts w:ascii="Tahoma" w:eastAsia="Times New Roman" w:hAnsi="Tahoma" w:cs="Tahoma"/>
          <w:b/>
          <w:bCs/>
          <w:color w:val="000000"/>
          <w:sz w:val="20"/>
          <w:szCs w:val="20"/>
          <w:lang w:eastAsia="ru-RU"/>
        </w:rPr>
        <w:t>є,</w:t>
      </w:r>
      <w:proofErr w:type="gramEnd"/>
      <w:r w:rsidRPr="00D81D6A">
        <w:rPr>
          <w:rFonts w:ascii="Tahoma" w:eastAsia="Times New Roman" w:hAnsi="Tahoma" w:cs="Tahoma"/>
          <w:color w:val="000000"/>
          <w:sz w:val="20"/>
          <w:szCs w:val="20"/>
          <w:lang w:eastAsia="ru-RU"/>
        </w:rPr>
        <w:t> повстанський рух, при всій його суперечності (часто українські загони самооборони протидіяли один одному, спричиняючи їх самознищення, наприклад, повстанські формування Махна і Григор’єва та інші, вчиняли збройний спротив урядовим інституціям) є правомірним, так як був захисником нагальних інтересів великої маси селянства і став реальним виразником, засобом реалізації права української нації на самовизначення.</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 </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r>
      <w:r w:rsidRPr="00D81D6A">
        <w:rPr>
          <w:rFonts w:ascii="Tahoma" w:eastAsia="Times New Roman" w:hAnsi="Tahoma" w:cs="Tahoma"/>
          <w:b/>
          <w:bCs/>
          <w:color w:val="000000"/>
          <w:sz w:val="20"/>
          <w:szCs w:val="20"/>
          <w:lang w:eastAsia="ru-RU"/>
        </w:rPr>
        <w:t>Список використаних джерел:</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1. Бевз Т. Концепція держави Никифора Григоріїва / Т.Бевз // Нова політика. – 1999. – №3. – С.38-42.</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2. Какурин Н.Е. Как сражалась революція / Н.Е. Какурин. - Т.1. - 2-е изд. уточн. М.: Политиздат, 1990. – 272 с.</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 xml:space="preserve">3. Камінський Анатоль. УПА з погляду міжнародного права / Анатоль Камінський // Науковий </w:t>
      </w:r>
      <w:proofErr w:type="gramStart"/>
      <w:r w:rsidRPr="00D81D6A">
        <w:rPr>
          <w:rFonts w:ascii="Tahoma" w:eastAsia="Times New Roman" w:hAnsi="Tahoma" w:cs="Tahoma"/>
          <w:color w:val="000000"/>
          <w:sz w:val="20"/>
          <w:szCs w:val="20"/>
          <w:lang w:eastAsia="ru-RU"/>
        </w:rPr>
        <w:t>св</w:t>
      </w:r>
      <w:proofErr w:type="gramEnd"/>
      <w:r w:rsidRPr="00D81D6A">
        <w:rPr>
          <w:rFonts w:ascii="Tahoma" w:eastAsia="Times New Roman" w:hAnsi="Tahoma" w:cs="Tahoma"/>
          <w:color w:val="000000"/>
          <w:sz w:val="20"/>
          <w:szCs w:val="20"/>
          <w:lang w:eastAsia="ru-RU"/>
        </w:rPr>
        <w:t>іт. – 2006. – липень. – №7. – С.21-22.</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4. Коваль Р. М. Повернення отаманів Гайдамацького краю / Р. М.Коваль. – К.: Докор, 2001. – 288 с.</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5. Мак'явеллі Нікколо. Флорентійські хроніки; Державець</w:t>
      </w:r>
      <w:proofErr w:type="gramStart"/>
      <w:r w:rsidRPr="00D81D6A">
        <w:rPr>
          <w:rFonts w:ascii="Tahoma" w:eastAsia="Times New Roman" w:hAnsi="Tahoma" w:cs="Tahoma"/>
          <w:color w:val="000000"/>
          <w:sz w:val="20"/>
          <w:szCs w:val="20"/>
          <w:lang w:eastAsia="ru-RU"/>
        </w:rPr>
        <w:t xml:space="preserve"> / П</w:t>
      </w:r>
      <w:proofErr w:type="gramEnd"/>
      <w:r w:rsidRPr="00D81D6A">
        <w:rPr>
          <w:rFonts w:ascii="Tahoma" w:eastAsia="Times New Roman" w:hAnsi="Tahoma" w:cs="Tahoma"/>
          <w:color w:val="000000"/>
          <w:sz w:val="20"/>
          <w:szCs w:val="20"/>
          <w:lang w:eastAsia="ru-RU"/>
        </w:rPr>
        <w:t>ер. з іт. А. Перепаді. – Харків: Фоліо, 2007. – 511 с.</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6. Солдатенко В. Ф. Українська революція: Історичний нарис: монографія / В.Ф.Солдатенко. – К.: Либідь, 1999. – 976 с.</w:t>
      </w:r>
    </w:p>
    <w:p w:rsidR="00D81D6A" w:rsidRPr="00D81D6A" w:rsidRDefault="00D81D6A" w:rsidP="00D81D6A">
      <w:pPr>
        <w:shd w:val="clear" w:color="auto" w:fill="ECF0F4"/>
        <w:spacing w:after="0" w:line="240" w:lineRule="auto"/>
        <w:jc w:val="both"/>
        <w:rPr>
          <w:rFonts w:ascii="Tahoma" w:eastAsia="Times New Roman" w:hAnsi="Tahoma" w:cs="Tahoma"/>
          <w:color w:val="000000"/>
          <w:sz w:val="20"/>
          <w:szCs w:val="20"/>
          <w:lang w:eastAsia="ru-RU"/>
        </w:rPr>
      </w:pPr>
      <w:r w:rsidRPr="00D81D6A">
        <w:rPr>
          <w:rFonts w:ascii="Tahoma" w:eastAsia="Times New Roman" w:hAnsi="Tahoma" w:cs="Tahoma"/>
          <w:color w:val="000000"/>
          <w:sz w:val="20"/>
          <w:szCs w:val="20"/>
          <w:lang w:eastAsia="ru-RU"/>
        </w:rPr>
        <w:tab/>
        <w:t>7. Соловей Д. Голгота України / Д.Соловей</w:t>
      </w:r>
      <w:proofErr w:type="gramStart"/>
      <w:r w:rsidRPr="00D81D6A">
        <w:rPr>
          <w:rFonts w:ascii="Tahoma" w:eastAsia="Times New Roman" w:hAnsi="Tahoma" w:cs="Tahoma"/>
          <w:color w:val="000000"/>
          <w:sz w:val="20"/>
          <w:szCs w:val="20"/>
          <w:lang w:eastAsia="ru-RU"/>
        </w:rPr>
        <w:t xml:space="preserve"> .</w:t>
      </w:r>
      <w:proofErr w:type="gramEnd"/>
      <w:r w:rsidRPr="00D81D6A">
        <w:rPr>
          <w:rFonts w:ascii="Tahoma" w:eastAsia="Times New Roman" w:hAnsi="Tahoma" w:cs="Tahoma"/>
          <w:color w:val="000000"/>
          <w:sz w:val="20"/>
          <w:szCs w:val="20"/>
          <w:lang w:eastAsia="ru-RU"/>
        </w:rPr>
        <w:t xml:space="preserve"> – Дрогобич. – ”Відродження”, 1993. – 288 с.</w:t>
      </w:r>
    </w:p>
    <w:p w:rsidR="00640372" w:rsidRDefault="00640372">
      <w:bookmarkStart w:id="0" w:name="_GoBack"/>
      <w:bookmarkEnd w:id="0"/>
    </w:p>
    <w:sectPr w:rsidR="00640372">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2A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 w:name="Verdana">
    <w:panose1 w:val="020B0604030504040204"/>
    <w:charset w:val="CC"/>
    <w:family w:val="swiss"/>
    <w:pitch w:val="variable"/>
    <w:sig w:usb0="A10006FF" w:usb1="4000205B" w:usb2="00000010" w:usb3="00000000" w:csb0="0000019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81D6A"/>
    <w:rsid w:val="00043287"/>
    <w:rsid w:val="00050566"/>
    <w:rsid w:val="00054DB4"/>
    <w:rsid w:val="00061094"/>
    <w:rsid w:val="00073980"/>
    <w:rsid w:val="0007552B"/>
    <w:rsid w:val="000A16C9"/>
    <w:rsid w:val="000A310C"/>
    <w:rsid w:val="000B1ED1"/>
    <w:rsid w:val="000C45C4"/>
    <w:rsid w:val="000C4EAA"/>
    <w:rsid w:val="000C5294"/>
    <w:rsid w:val="000E2DEF"/>
    <w:rsid w:val="000E5207"/>
    <w:rsid w:val="000F143D"/>
    <w:rsid w:val="00100B0F"/>
    <w:rsid w:val="0016414C"/>
    <w:rsid w:val="001977EB"/>
    <w:rsid w:val="001B5647"/>
    <w:rsid w:val="001C0395"/>
    <w:rsid w:val="001C3B73"/>
    <w:rsid w:val="001C4D3E"/>
    <w:rsid w:val="001D4884"/>
    <w:rsid w:val="00243B37"/>
    <w:rsid w:val="00243F5A"/>
    <w:rsid w:val="00256C55"/>
    <w:rsid w:val="00276510"/>
    <w:rsid w:val="002D73B1"/>
    <w:rsid w:val="002F4F8D"/>
    <w:rsid w:val="003403C4"/>
    <w:rsid w:val="00343B35"/>
    <w:rsid w:val="00381B0A"/>
    <w:rsid w:val="003B5A75"/>
    <w:rsid w:val="003C281C"/>
    <w:rsid w:val="003D1055"/>
    <w:rsid w:val="003D713F"/>
    <w:rsid w:val="003D739D"/>
    <w:rsid w:val="003E1284"/>
    <w:rsid w:val="00410149"/>
    <w:rsid w:val="00445AD5"/>
    <w:rsid w:val="00475CE0"/>
    <w:rsid w:val="00490BFB"/>
    <w:rsid w:val="004A7CC8"/>
    <w:rsid w:val="004B2881"/>
    <w:rsid w:val="004B446F"/>
    <w:rsid w:val="004E0465"/>
    <w:rsid w:val="0051350D"/>
    <w:rsid w:val="0057518D"/>
    <w:rsid w:val="00577D9F"/>
    <w:rsid w:val="005819E8"/>
    <w:rsid w:val="00584A36"/>
    <w:rsid w:val="00585702"/>
    <w:rsid w:val="005858B1"/>
    <w:rsid w:val="00590E6D"/>
    <w:rsid w:val="00593FB8"/>
    <w:rsid w:val="005B5768"/>
    <w:rsid w:val="005D6707"/>
    <w:rsid w:val="005E5907"/>
    <w:rsid w:val="00640372"/>
    <w:rsid w:val="0064327A"/>
    <w:rsid w:val="00664581"/>
    <w:rsid w:val="006707A1"/>
    <w:rsid w:val="006C55CF"/>
    <w:rsid w:val="006C6B9C"/>
    <w:rsid w:val="00704E32"/>
    <w:rsid w:val="00731E19"/>
    <w:rsid w:val="00745FBD"/>
    <w:rsid w:val="00753310"/>
    <w:rsid w:val="0076022B"/>
    <w:rsid w:val="007822B5"/>
    <w:rsid w:val="007A3DF2"/>
    <w:rsid w:val="007C0411"/>
    <w:rsid w:val="007C212F"/>
    <w:rsid w:val="007C5A81"/>
    <w:rsid w:val="007C77AC"/>
    <w:rsid w:val="007E692D"/>
    <w:rsid w:val="007F3F8F"/>
    <w:rsid w:val="008027E2"/>
    <w:rsid w:val="008242D1"/>
    <w:rsid w:val="00854560"/>
    <w:rsid w:val="00893BC8"/>
    <w:rsid w:val="008A01BD"/>
    <w:rsid w:val="008A29B9"/>
    <w:rsid w:val="008A46F5"/>
    <w:rsid w:val="008C7F18"/>
    <w:rsid w:val="008D069D"/>
    <w:rsid w:val="008E4BC5"/>
    <w:rsid w:val="008E77EF"/>
    <w:rsid w:val="00923B8F"/>
    <w:rsid w:val="009363E7"/>
    <w:rsid w:val="009556E3"/>
    <w:rsid w:val="0098685F"/>
    <w:rsid w:val="009B606F"/>
    <w:rsid w:val="009C7427"/>
    <w:rsid w:val="009F7446"/>
    <w:rsid w:val="00A05993"/>
    <w:rsid w:val="00A31FF4"/>
    <w:rsid w:val="00A43907"/>
    <w:rsid w:val="00A536C3"/>
    <w:rsid w:val="00A77C0C"/>
    <w:rsid w:val="00A93172"/>
    <w:rsid w:val="00AA44F0"/>
    <w:rsid w:val="00AC7874"/>
    <w:rsid w:val="00AD41EB"/>
    <w:rsid w:val="00AD584B"/>
    <w:rsid w:val="00AD7ADD"/>
    <w:rsid w:val="00B04EF5"/>
    <w:rsid w:val="00B064C9"/>
    <w:rsid w:val="00B404F2"/>
    <w:rsid w:val="00B61D4D"/>
    <w:rsid w:val="00B717B7"/>
    <w:rsid w:val="00BB4139"/>
    <w:rsid w:val="00BE40E9"/>
    <w:rsid w:val="00C0642E"/>
    <w:rsid w:val="00C07E58"/>
    <w:rsid w:val="00C155F2"/>
    <w:rsid w:val="00C37892"/>
    <w:rsid w:val="00C44D45"/>
    <w:rsid w:val="00C86F81"/>
    <w:rsid w:val="00C9126F"/>
    <w:rsid w:val="00C92780"/>
    <w:rsid w:val="00CE1CFB"/>
    <w:rsid w:val="00CE3C94"/>
    <w:rsid w:val="00CE4660"/>
    <w:rsid w:val="00CE607A"/>
    <w:rsid w:val="00CF377C"/>
    <w:rsid w:val="00CF3A73"/>
    <w:rsid w:val="00CF47D1"/>
    <w:rsid w:val="00D11F1C"/>
    <w:rsid w:val="00D24D76"/>
    <w:rsid w:val="00D7668A"/>
    <w:rsid w:val="00D81D6A"/>
    <w:rsid w:val="00D8309C"/>
    <w:rsid w:val="00D93784"/>
    <w:rsid w:val="00D967A8"/>
    <w:rsid w:val="00DA6B1C"/>
    <w:rsid w:val="00DB5C7D"/>
    <w:rsid w:val="00DB72A6"/>
    <w:rsid w:val="00DC6875"/>
    <w:rsid w:val="00DC7DD1"/>
    <w:rsid w:val="00DD351A"/>
    <w:rsid w:val="00E10691"/>
    <w:rsid w:val="00E355C6"/>
    <w:rsid w:val="00E67231"/>
    <w:rsid w:val="00E92101"/>
    <w:rsid w:val="00E96559"/>
    <w:rsid w:val="00EA46AA"/>
    <w:rsid w:val="00EA516E"/>
    <w:rsid w:val="00EB0FF9"/>
    <w:rsid w:val="00EC4A3C"/>
    <w:rsid w:val="00EC5149"/>
    <w:rsid w:val="00F4153D"/>
    <w:rsid w:val="00F657D8"/>
    <w:rsid w:val="00F70E7D"/>
    <w:rsid w:val="00FA571E"/>
    <w:rsid w:val="00FB1AF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81D6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81D6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81D6A"/>
    <w:pPr>
      <w:spacing w:after="0" w:line="240" w:lineRule="auto"/>
    </w:pPr>
    <w:rPr>
      <w:rFonts w:ascii="Tahoma" w:hAnsi="Tahoma" w:cs="Tahoma"/>
      <w:sz w:val="16"/>
      <w:szCs w:val="16"/>
    </w:rPr>
  </w:style>
  <w:style w:type="character" w:customStyle="1" w:styleId="a4">
    <w:name w:val="Текст выноски Знак"/>
    <w:basedOn w:val="a0"/>
    <w:link w:val="a3"/>
    <w:uiPriority w:val="99"/>
    <w:semiHidden/>
    <w:rsid w:val="00D81D6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48921390">
      <w:bodyDiv w:val="1"/>
      <w:marLeft w:val="0"/>
      <w:marRight w:val="0"/>
      <w:marTop w:val="0"/>
      <w:marBottom w:val="0"/>
      <w:divBdr>
        <w:top w:val="none" w:sz="0" w:space="0" w:color="auto"/>
        <w:left w:val="none" w:sz="0" w:space="0" w:color="auto"/>
        <w:bottom w:val="none" w:sz="0" w:space="0" w:color="auto"/>
        <w:right w:val="none" w:sz="0" w:space="0" w:color="auto"/>
      </w:divBdr>
      <w:divsChild>
        <w:div w:id="1345670488">
          <w:marLeft w:val="0"/>
          <w:marRight w:val="0"/>
          <w:marTop w:val="0"/>
          <w:marBottom w:val="0"/>
          <w:divBdr>
            <w:top w:val="single" w:sz="2" w:space="1" w:color="CBD5E0"/>
            <w:left w:val="single" w:sz="2" w:space="1" w:color="CBD5E0"/>
            <w:bottom w:val="single" w:sz="2" w:space="1" w:color="CBD5E0"/>
            <w:right w:val="single" w:sz="2" w:space="1" w:color="CBD5E0"/>
          </w:divBdr>
          <w:divsChild>
            <w:div w:id="335813653">
              <w:marLeft w:val="0"/>
              <w:marRight w:val="0"/>
              <w:marTop w:val="0"/>
              <w:marBottom w:val="0"/>
              <w:divBdr>
                <w:top w:val="none" w:sz="0" w:space="0" w:color="auto"/>
                <w:left w:val="none" w:sz="0" w:space="0" w:color="auto"/>
                <w:bottom w:val="none" w:sz="0" w:space="0" w:color="auto"/>
                <w:right w:val="none" w:sz="0" w:space="0" w:color="auto"/>
              </w:divBdr>
            </w:div>
          </w:divsChild>
        </w:div>
        <w:div w:id="187914679">
          <w:marLeft w:val="0"/>
          <w:marRight w:val="0"/>
          <w:marTop w:val="0"/>
          <w:marBottom w:val="0"/>
          <w:divBdr>
            <w:top w:val="none" w:sz="0" w:space="0" w:color="auto"/>
            <w:left w:val="none" w:sz="0" w:space="0" w:color="auto"/>
            <w:bottom w:val="none" w:sz="0" w:space="0" w:color="auto"/>
            <w:right w:val="none" w:sz="0" w:space="0" w:color="auto"/>
          </w:divBdr>
          <w:divsChild>
            <w:div w:id="932594555">
              <w:marLeft w:val="0"/>
              <w:marRight w:val="0"/>
              <w:marTop w:val="0"/>
              <w:marBottom w:val="0"/>
              <w:divBdr>
                <w:top w:val="none" w:sz="0" w:space="0" w:color="auto"/>
                <w:left w:val="none" w:sz="0" w:space="0" w:color="auto"/>
                <w:bottom w:val="none" w:sz="0" w:space="0" w:color="auto"/>
                <w:right w:val="none" w:sz="0" w:space="0" w:color="auto"/>
              </w:divBdr>
            </w:div>
            <w:div w:id="1628704923">
              <w:marLeft w:val="0"/>
              <w:marRight w:val="0"/>
              <w:marTop w:val="0"/>
              <w:marBottom w:val="0"/>
              <w:divBdr>
                <w:top w:val="none" w:sz="0" w:space="0" w:color="auto"/>
                <w:left w:val="none" w:sz="0" w:space="0" w:color="auto"/>
                <w:bottom w:val="none" w:sz="0" w:space="0" w:color="auto"/>
                <w:right w:val="none" w:sz="0" w:space="0" w:color="auto"/>
              </w:divBdr>
            </w:div>
            <w:div w:id="78405518">
              <w:marLeft w:val="0"/>
              <w:marRight w:val="0"/>
              <w:marTop w:val="0"/>
              <w:marBottom w:val="0"/>
              <w:divBdr>
                <w:top w:val="none" w:sz="0" w:space="0" w:color="auto"/>
                <w:left w:val="none" w:sz="0" w:space="0" w:color="auto"/>
                <w:bottom w:val="none" w:sz="0" w:space="0" w:color="auto"/>
                <w:right w:val="none" w:sz="0" w:space="0" w:color="auto"/>
              </w:divBdr>
            </w:div>
            <w:div w:id="1731423565">
              <w:marLeft w:val="0"/>
              <w:marRight w:val="0"/>
              <w:marTop w:val="0"/>
              <w:marBottom w:val="0"/>
              <w:divBdr>
                <w:top w:val="none" w:sz="0" w:space="0" w:color="auto"/>
                <w:left w:val="none" w:sz="0" w:space="0" w:color="auto"/>
                <w:bottom w:val="none" w:sz="0" w:space="0" w:color="auto"/>
                <w:right w:val="none" w:sz="0" w:space="0" w:color="auto"/>
              </w:divBdr>
            </w:div>
            <w:div w:id="1499299283">
              <w:marLeft w:val="0"/>
              <w:marRight w:val="0"/>
              <w:marTop w:val="0"/>
              <w:marBottom w:val="0"/>
              <w:divBdr>
                <w:top w:val="none" w:sz="0" w:space="0" w:color="auto"/>
                <w:left w:val="none" w:sz="0" w:space="0" w:color="auto"/>
                <w:bottom w:val="none" w:sz="0" w:space="0" w:color="auto"/>
                <w:right w:val="none" w:sz="0" w:space="0" w:color="auto"/>
              </w:divBdr>
            </w:div>
            <w:div w:id="757747624">
              <w:marLeft w:val="0"/>
              <w:marRight w:val="0"/>
              <w:marTop w:val="0"/>
              <w:marBottom w:val="0"/>
              <w:divBdr>
                <w:top w:val="none" w:sz="0" w:space="0" w:color="auto"/>
                <w:left w:val="none" w:sz="0" w:space="0" w:color="auto"/>
                <w:bottom w:val="none" w:sz="0" w:space="0" w:color="auto"/>
                <w:right w:val="none" w:sz="0" w:space="0" w:color="auto"/>
              </w:divBdr>
            </w:div>
            <w:div w:id="2088651852">
              <w:marLeft w:val="0"/>
              <w:marRight w:val="0"/>
              <w:marTop w:val="0"/>
              <w:marBottom w:val="0"/>
              <w:divBdr>
                <w:top w:val="none" w:sz="0" w:space="0" w:color="auto"/>
                <w:left w:val="none" w:sz="0" w:space="0" w:color="auto"/>
                <w:bottom w:val="none" w:sz="0" w:space="0" w:color="auto"/>
                <w:right w:val="none" w:sz="0" w:space="0" w:color="auto"/>
              </w:divBdr>
            </w:div>
            <w:div w:id="201403640">
              <w:marLeft w:val="0"/>
              <w:marRight w:val="0"/>
              <w:marTop w:val="0"/>
              <w:marBottom w:val="0"/>
              <w:divBdr>
                <w:top w:val="none" w:sz="0" w:space="0" w:color="auto"/>
                <w:left w:val="none" w:sz="0" w:space="0" w:color="auto"/>
                <w:bottom w:val="none" w:sz="0" w:space="0" w:color="auto"/>
                <w:right w:val="none" w:sz="0" w:space="0" w:color="auto"/>
              </w:divBdr>
            </w:div>
            <w:div w:id="833912562">
              <w:marLeft w:val="0"/>
              <w:marRight w:val="0"/>
              <w:marTop w:val="0"/>
              <w:marBottom w:val="0"/>
              <w:divBdr>
                <w:top w:val="none" w:sz="0" w:space="0" w:color="auto"/>
                <w:left w:val="none" w:sz="0" w:space="0" w:color="auto"/>
                <w:bottom w:val="none" w:sz="0" w:space="0" w:color="auto"/>
                <w:right w:val="none" w:sz="0" w:space="0" w:color="auto"/>
              </w:divBdr>
            </w:div>
            <w:div w:id="1035158639">
              <w:marLeft w:val="0"/>
              <w:marRight w:val="0"/>
              <w:marTop w:val="0"/>
              <w:marBottom w:val="0"/>
              <w:divBdr>
                <w:top w:val="none" w:sz="0" w:space="0" w:color="auto"/>
                <w:left w:val="none" w:sz="0" w:space="0" w:color="auto"/>
                <w:bottom w:val="none" w:sz="0" w:space="0" w:color="auto"/>
                <w:right w:val="none" w:sz="0" w:space="0" w:color="auto"/>
              </w:divBdr>
            </w:div>
            <w:div w:id="1786384681">
              <w:marLeft w:val="0"/>
              <w:marRight w:val="0"/>
              <w:marTop w:val="0"/>
              <w:marBottom w:val="0"/>
              <w:divBdr>
                <w:top w:val="none" w:sz="0" w:space="0" w:color="auto"/>
                <w:left w:val="none" w:sz="0" w:space="0" w:color="auto"/>
                <w:bottom w:val="none" w:sz="0" w:space="0" w:color="auto"/>
                <w:right w:val="none" w:sz="0" w:space="0" w:color="auto"/>
              </w:divBdr>
            </w:div>
            <w:div w:id="1908493639">
              <w:marLeft w:val="0"/>
              <w:marRight w:val="0"/>
              <w:marTop w:val="0"/>
              <w:marBottom w:val="0"/>
              <w:divBdr>
                <w:top w:val="none" w:sz="0" w:space="0" w:color="auto"/>
                <w:left w:val="none" w:sz="0" w:space="0" w:color="auto"/>
                <w:bottom w:val="none" w:sz="0" w:space="0" w:color="auto"/>
                <w:right w:val="none" w:sz="0" w:space="0" w:color="auto"/>
              </w:divBdr>
            </w:div>
            <w:div w:id="1238056146">
              <w:marLeft w:val="0"/>
              <w:marRight w:val="0"/>
              <w:marTop w:val="0"/>
              <w:marBottom w:val="0"/>
              <w:divBdr>
                <w:top w:val="none" w:sz="0" w:space="0" w:color="auto"/>
                <w:left w:val="none" w:sz="0" w:space="0" w:color="auto"/>
                <w:bottom w:val="none" w:sz="0" w:space="0" w:color="auto"/>
                <w:right w:val="none" w:sz="0" w:space="0" w:color="auto"/>
              </w:divBdr>
            </w:div>
            <w:div w:id="1733847860">
              <w:marLeft w:val="0"/>
              <w:marRight w:val="0"/>
              <w:marTop w:val="0"/>
              <w:marBottom w:val="0"/>
              <w:divBdr>
                <w:top w:val="none" w:sz="0" w:space="0" w:color="auto"/>
                <w:left w:val="none" w:sz="0" w:space="0" w:color="auto"/>
                <w:bottom w:val="none" w:sz="0" w:space="0" w:color="auto"/>
                <w:right w:val="none" w:sz="0" w:space="0" w:color="auto"/>
              </w:divBdr>
            </w:div>
            <w:div w:id="1256787893">
              <w:marLeft w:val="0"/>
              <w:marRight w:val="0"/>
              <w:marTop w:val="0"/>
              <w:marBottom w:val="0"/>
              <w:divBdr>
                <w:top w:val="none" w:sz="0" w:space="0" w:color="auto"/>
                <w:left w:val="none" w:sz="0" w:space="0" w:color="auto"/>
                <w:bottom w:val="none" w:sz="0" w:space="0" w:color="auto"/>
                <w:right w:val="none" w:sz="0" w:space="0" w:color="auto"/>
              </w:divBdr>
            </w:div>
            <w:div w:id="602567642">
              <w:marLeft w:val="0"/>
              <w:marRight w:val="0"/>
              <w:marTop w:val="0"/>
              <w:marBottom w:val="0"/>
              <w:divBdr>
                <w:top w:val="none" w:sz="0" w:space="0" w:color="auto"/>
                <w:left w:val="none" w:sz="0" w:space="0" w:color="auto"/>
                <w:bottom w:val="none" w:sz="0" w:space="0" w:color="auto"/>
                <w:right w:val="none" w:sz="0" w:space="0" w:color="auto"/>
              </w:divBdr>
            </w:div>
            <w:div w:id="513417131">
              <w:marLeft w:val="0"/>
              <w:marRight w:val="0"/>
              <w:marTop w:val="0"/>
              <w:marBottom w:val="0"/>
              <w:divBdr>
                <w:top w:val="none" w:sz="0" w:space="0" w:color="auto"/>
                <w:left w:val="none" w:sz="0" w:space="0" w:color="auto"/>
                <w:bottom w:val="none" w:sz="0" w:space="0" w:color="auto"/>
                <w:right w:val="none" w:sz="0" w:space="0" w:color="auto"/>
              </w:divBdr>
            </w:div>
            <w:div w:id="1898316122">
              <w:marLeft w:val="0"/>
              <w:marRight w:val="0"/>
              <w:marTop w:val="0"/>
              <w:marBottom w:val="0"/>
              <w:divBdr>
                <w:top w:val="none" w:sz="0" w:space="0" w:color="auto"/>
                <w:left w:val="none" w:sz="0" w:space="0" w:color="auto"/>
                <w:bottom w:val="none" w:sz="0" w:space="0" w:color="auto"/>
                <w:right w:val="none" w:sz="0" w:space="0" w:color="auto"/>
              </w:divBdr>
            </w:div>
            <w:div w:id="1430470549">
              <w:marLeft w:val="0"/>
              <w:marRight w:val="0"/>
              <w:marTop w:val="0"/>
              <w:marBottom w:val="0"/>
              <w:divBdr>
                <w:top w:val="none" w:sz="0" w:space="0" w:color="auto"/>
                <w:left w:val="none" w:sz="0" w:space="0" w:color="auto"/>
                <w:bottom w:val="none" w:sz="0" w:space="0" w:color="auto"/>
                <w:right w:val="none" w:sz="0" w:space="0" w:color="auto"/>
              </w:divBdr>
            </w:div>
            <w:div w:id="1418599298">
              <w:marLeft w:val="0"/>
              <w:marRight w:val="0"/>
              <w:marTop w:val="0"/>
              <w:marBottom w:val="0"/>
              <w:divBdr>
                <w:top w:val="none" w:sz="0" w:space="0" w:color="auto"/>
                <w:left w:val="none" w:sz="0" w:space="0" w:color="auto"/>
                <w:bottom w:val="none" w:sz="0" w:space="0" w:color="auto"/>
                <w:right w:val="none" w:sz="0" w:space="0" w:color="auto"/>
              </w:divBdr>
            </w:div>
            <w:div w:id="1669483134">
              <w:marLeft w:val="0"/>
              <w:marRight w:val="0"/>
              <w:marTop w:val="0"/>
              <w:marBottom w:val="0"/>
              <w:divBdr>
                <w:top w:val="none" w:sz="0" w:space="0" w:color="auto"/>
                <w:left w:val="none" w:sz="0" w:space="0" w:color="auto"/>
                <w:bottom w:val="none" w:sz="0" w:space="0" w:color="auto"/>
                <w:right w:val="none" w:sz="0" w:space="0" w:color="auto"/>
              </w:divBdr>
            </w:div>
            <w:div w:id="1339621748">
              <w:marLeft w:val="0"/>
              <w:marRight w:val="0"/>
              <w:marTop w:val="0"/>
              <w:marBottom w:val="0"/>
              <w:divBdr>
                <w:top w:val="none" w:sz="0" w:space="0" w:color="auto"/>
                <w:left w:val="none" w:sz="0" w:space="0" w:color="auto"/>
                <w:bottom w:val="none" w:sz="0" w:space="0" w:color="auto"/>
                <w:right w:val="none" w:sz="0" w:space="0" w:color="auto"/>
              </w:divBdr>
            </w:div>
            <w:div w:id="1261329014">
              <w:marLeft w:val="0"/>
              <w:marRight w:val="0"/>
              <w:marTop w:val="0"/>
              <w:marBottom w:val="0"/>
              <w:divBdr>
                <w:top w:val="none" w:sz="0" w:space="0" w:color="auto"/>
                <w:left w:val="none" w:sz="0" w:space="0" w:color="auto"/>
                <w:bottom w:val="none" w:sz="0" w:space="0" w:color="auto"/>
                <w:right w:val="none" w:sz="0" w:space="0" w:color="auto"/>
              </w:divBdr>
            </w:div>
            <w:div w:id="1912694699">
              <w:marLeft w:val="0"/>
              <w:marRight w:val="0"/>
              <w:marTop w:val="0"/>
              <w:marBottom w:val="0"/>
              <w:divBdr>
                <w:top w:val="none" w:sz="0" w:space="0" w:color="auto"/>
                <w:left w:val="none" w:sz="0" w:space="0" w:color="auto"/>
                <w:bottom w:val="none" w:sz="0" w:space="0" w:color="auto"/>
                <w:right w:val="none" w:sz="0" w:space="0" w:color="auto"/>
              </w:divBdr>
            </w:div>
            <w:div w:id="948048422">
              <w:marLeft w:val="0"/>
              <w:marRight w:val="0"/>
              <w:marTop w:val="0"/>
              <w:marBottom w:val="0"/>
              <w:divBdr>
                <w:top w:val="none" w:sz="0" w:space="0" w:color="auto"/>
                <w:left w:val="none" w:sz="0" w:space="0" w:color="auto"/>
                <w:bottom w:val="none" w:sz="0" w:space="0" w:color="auto"/>
                <w:right w:val="none" w:sz="0" w:space="0" w:color="auto"/>
              </w:divBdr>
            </w:div>
            <w:div w:id="1410155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hyperlink" Target="http://www.legalactivity.com.ua/index.php?option=com_mailto&amp;tmpl=component&amp;link=aHR0cDovL3d3dy5sZWdhbGFjdGl2aXR5LmNvbS51YS9pbmRleC5waHA/b3B0aW9uPWNvbV9jb250ZW50JnZpZXc9YXJ0aWNsZSZpZD0xMTAlM0EyMDExLTEwLTE3LTE4LTUwLTI3JmNhdGlkPTElM0EtMSZJdGVtaWQ9OSZsYW5nPXJ1&amp;lang=ru" TargetMode="Externa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image" Target="media/image1.png"/><Relationship Id="rId11" Type="http://schemas.openxmlformats.org/officeDocument/2006/relationships/fontTable" Target="fontTable.xml"/><Relationship Id="rId5" Type="http://schemas.openxmlformats.org/officeDocument/2006/relationships/hyperlink" Target="http://www.legalactivity.com.ua/index.php?view=article&amp;catid=1:-1&amp;id=110:2011-10-17-18-50-27&amp;tmpl=component&amp;print=1&amp;layout=default&amp;page=&amp;option=com_content&amp;Itemid=9&amp;lang=ru" TargetMode="External"/><Relationship Id="rId10" Type="http://schemas.openxmlformats.org/officeDocument/2006/relationships/hyperlink" Target="http://www.legalactivity.com.ua/index.php?option=com_content&amp;view=category&amp;id=1%3A-1&amp;Itemid=9&amp;lang=ru" TargetMode="External"/><Relationship Id="rId4" Type="http://schemas.openxmlformats.org/officeDocument/2006/relationships/webSettings" Target="webSettings.xml"/><Relationship Id="rId9" Type="http://schemas.openxmlformats.org/officeDocument/2006/relationships/hyperlink" Target="http://www.legalactivity.com.ua/index.php?option=com_content&amp;view=section&amp;id=8&amp;Itemid=3&amp;lang=ru"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3</Pages>
  <Words>1947</Words>
  <Characters>11099</Characters>
  <Application>Microsoft Office Word</Application>
  <DocSecurity>0</DocSecurity>
  <Lines>92</Lines>
  <Paragraphs>26</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13020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vmk</dc:creator>
  <cp:lastModifiedBy>vmk</cp:lastModifiedBy>
  <cp:revision>1</cp:revision>
  <dcterms:created xsi:type="dcterms:W3CDTF">2017-01-12T01:32:00Z</dcterms:created>
  <dcterms:modified xsi:type="dcterms:W3CDTF">2017-01-12T01:33:00Z</dcterms:modified>
</cp:coreProperties>
</file>