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E44E5" w:rsidRDefault="007C63CC" w:rsidP="00AA105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F04E4E">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EE60BB">
        <w:rPr>
          <w:rFonts w:ascii="Times New Roman" w:hAnsi="Times New Roman" w:cs="Times New Roman"/>
          <w:b/>
          <w:sz w:val="28"/>
          <w:szCs w:val="28"/>
        </w:rPr>
        <w:t>МІНІСТЕРСТВО ОСВІТИ І НАУКИ УКРАЇНИ</w:t>
      </w:r>
    </w:p>
    <w:p w:rsidR="007E44E5" w:rsidRDefault="00F04E4E" w:rsidP="00F04E4E">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BC092D">
        <w:rPr>
          <w:rFonts w:ascii="Times New Roman" w:hAnsi="Times New Roman" w:cs="Times New Roman"/>
          <w:b/>
          <w:sz w:val="28"/>
          <w:szCs w:val="28"/>
        </w:rPr>
        <w:t>ЗАХІДНОУКРАЇНСЬКИЙ НАЦІОНАЛЬНИЙ УНІВЕРСИТЕТ</w:t>
      </w:r>
    </w:p>
    <w:p w:rsidR="007E44E5" w:rsidRDefault="00F04E4E" w:rsidP="00CE09FF">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 xml:space="preserve">Навчально-науковий інститут новітніх </w:t>
      </w:r>
      <w:r w:rsidR="00CE09FF">
        <w:rPr>
          <w:rFonts w:ascii="Times New Roman" w:hAnsi="Times New Roman" w:cs="Times New Roman"/>
          <w:b/>
          <w:sz w:val="28"/>
          <w:szCs w:val="28"/>
        </w:rPr>
        <w:t>освітніх технологій</w:t>
      </w:r>
    </w:p>
    <w:p w:rsidR="00CE09FF" w:rsidRPr="00CE09FF" w:rsidRDefault="00CE09FF" w:rsidP="00CE09FF">
      <w:pPr>
        <w:spacing w:after="0" w:line="360" w:lineRule="auto"/>
        <w:ind w:firstLine="851"/>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Кафедра міжнародної економіки</w:t>
      </w:r>
    </w:p>
    <w:p w:rsidR="007E44E5" w:rsidRDefault="007E44E5" w:rsidP="004C587B">
      <w:pPr>
        <w:spacing w:after="0" w:line="360" w:lineRule="auto"/>
        <w:ind w:firstLine="851"/>
        <w:jc w:val="both"/>
        <w:rPr>
          <w:rFonts w:ascii="Times New Roman" w:hAnsi="Times New Roman" w:cs="Times New Roman"/>
          <w:b/>
          <w:sz w:val="28"/>
          <w:szCs w:val="28"/>
        </w:rPr>
      </w:pPr>
    </w:p>
    <w:p w:rsidR="00F3569C" w:rsidRPr="00F3569C" w:rsidRDefault="00F3569C" w:rsidP="004C587B">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                                Сенюга Ірина Василівна</w:t>
      </w:r>
    </w:p>
    <w:p w:rsidR="007E44E5" w:rsidRDefault="007E44E5" w:rsidP="004C587B">
      <w:pPr>
        <w:spacing w:after="0" w:line="360" w:lineRule="auto"/>
        <w:ind w:firstLine="851"/>
        <w:jc w:val="both"/>
        <w:rPr>
          <w:rFonts w:ascii="Times New Roman" w:hAnsi="Times New Roman" w:cs="Times New Roman"/>
          <w:b/>
          <w:sz w:val="28"/>
          <w:szCs w:val="28"/>
        </w:rPr>
      </w:pPr>
    </w:p>
    <w:p w:rsidR="00940C00" w:rsidRDefault="009A3659" w:rsidP="009A3659">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964247" w:rsidRPr="00C1244C">
        <w:rPr>
          <w:rFonts w:ascii="Times New Roman" w:hAnsi="Times New Roman" w:cs="Times New Roman"/>
          <w:b/>
          <w:sz w:val="28"/>
          <w:szCs w:val="28"/>
        </w:rPr>
        <w:t xml:space="preserve">ГЛОБАЛЬНІ МОДЕЛІ ЕКОРОЗВИТКУ КРАЇН </w:t>
      </w:r>
    </w:p>
    <w:p w:rsidR="000047F7" w:rsidRDefault="000047F7" w:rsidP="004C587B">
      <w:pPr>
        <w:spacing w:after="0" w:line="360" w:lineRule="auto"/>
        <w:ind w:firstLine="851"/>
        <w:jc w:val="both"/>
        <w:rPr>
          <w:rFonts w:ascii="Times New Roman" w:hAnsi="Times New Roman" w:cs="Times New Roman"/>
          <w:b/>
          <w:sz w:val="28"/>
          <w:szCs w:val="28"/>
        </w:rPr>
      </w:pPr>
    </w:p>
    <w:p w:rsidR="009A3659" w:rsidRDefault="006D4C97" w:rsidP="009A3659">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                          </w:t>
      </w:r>
      <w:r w:rsidR="009A3659">
        <w:rPr>
          <w:rFonts w:ascii="Times New Roman" w:hAnsi="Times New Roman" w:cs="Times New Roman"/>
          <w:bCs/>
          <w:sz w:val="28"/>
          <w:szCs w:val="28"/>
        </w:rPr>
        <w:t>Спеціальність</w:t>
      </w:r>
      <w:r>
        <w:rPr>
          <w:rFonts w:ascii="Times New Roman" w:hAnsi="Times New Roman" w:cs="Times New Roman"/>
          <w:bCs/>
          <w:sz w:val="28"/>
          <w:szCs w:val="28"/>
        </w:rPr>
        <w:t>:051-Еконлміка</w:t>
      </w:r>
    </w:p>
    <w:p w:rsidR="006D4C97" w:rsidRDefault="006D4C97" w:rsidP="009A3659">
      <w:pPr>
        <w:spacing w:after="0" w:line="360" w:lineRule="auto"/>
        <w:ind w:firstLine="851"/>
        <w:jc w:val="both"/>
        <w:rPr>
          <w:rFonts w:ascii="Times New Roman" w:hAnsi="Times New Roman" w:cs="Times New Roman"/>
          <w:bCs/>
          <w:sz w:val="28"/>
          <w:szCs w:val="28"/>
        </w:rPr>
      </w:pPr>
    </w:p>
    <w:p w:rsidR="000F3A1F" w:rsidRDefault="006D4C97" w:rsidP="0058771E">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Освітньо-професійна програма </w:t>
      </w:r>
      <w:r w:rsidR="00186571">
        <w:rPr>
          <w:rFonts w:ascii="Times New Roman" w:hAnsi="Times New Roman" w:cs="Times New Roman"/>
          <w:bCs/>
          <w:sz w:val="28"/>
          <w:szCs w:val="28"/>
        </w:rPr>
        <w:t>-Міжнародна Економі</w:t>
      </w:r>
      <w:r w:rsidR="00FE34D0">
        <w:rPr>
          <w:rFonts w:ascii="Times New Roman" w:hAnsi="Times New Roman" w:cs="Times New Roman"/>
          <w:bCs/>
          <w:sz w:val="28"/>
          <w:szCs w:val="28"/>
        </w:rPr>
        <w:t xml:space="preserve">ка </w:t>
      </w:r>
    </w:p>
    <w:p w:rsidR="000F3A1F" w:rsidRDefault="00743976" w:rsidP="0058771E">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                             Кваліфікаційна робота</w:t>
      </w:r>
    </w:p>
    <w:p w:rsidR="00743976" w:rsidRDefault="000F3A1F" w:rsidP="0058771E">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                                                              </w:t>
      </w:r>
    </w:p>
    <w:p w:rsidR="00637C27" w:rsidRPr="00B63E31" w:rsidRDefault="00743976" w:rsidP="0058771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49243A">
        <w:rPr>
          <w:rFonts w:ascii="Times New Roman" w:hAnsi="Times New Roman" w:cs="Times New Roman"/>
          <w:sz w:val="28"/>
          <w:szCs w:val="28"/>
        </w:rPr>
        <w:t xml:space="preserve">          </w:t>
      </w:r>
      <w:r w:rsidR="00637C27">
        <w:rPr>
          <w:rFonts w:ascii="Times New Roman" w:hAnsi="Times New Roman" w:cs="Times New Roman"/>
          <w:sz w:val="28"/>
          <w:szCs w:val="28"/>
        </w:rPr>
        <w:t>Виконала студентка групи ЕМЕзм-21</w:t>
      </w:r>
    </w:p>
    <w:p w:rsidR="00940C00" w:rsidRPr="00B63E31" w:rsidRDefault="001B5069"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Сенюга І.В.</w:t>
      </w:r>
    </w:p>
    <w:p w:rsidR="00940C00" w:rsidRPr="00B63E31" w:rsidRDefault="00940C00" w:rsidP="004C587B">
      <w:pPr>
        <w:spacing w:after="0" w:line="360" w:lineRule="auto"/>
        <w:ind w:firstLine="851"/>
        <w:jc w:val="both"/>
        <w:rPr>
          <w:rFonts w:ascii="Times New Roman" w:hAnsi="Times New Roman" w:cs="Times New Roman"/>
          <w:sz w:val="28"/>
          <w:szCs w:val="28"/>
        </w:rPr>
      </w:pPr>
    </w:p>
    <w:p w:rsidR="00940C00" w:rsidRDefault="00C60347"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B03F53">
        <w:rPr>
          <w:rFonts w:ascii="Times New Roman" w:hAnsi="Times New Roman" w:cs="Times New Roman"/>
          <w:sz w:val="28"/>
          <w:szCs w:val="28"/>
        </w:rPr>
        <w:t xml:space="preserve"> ___</w:t>
      </w:r>
      <w:r w:rsidR="006D5F47">
        <w:rPr>
          <w:rFonts w:ascii="Times New Roman" w:hAnsi="Times New Roman" w:cs="Times New Roman"/>
          <w:sz w:val="28"/>
          <w:szCs w:val="28"/>
        </w:rPr>
        <w:t>_______________________</w:t>
      </w:r>
    </w:p>
    <w:p w:rsidR="008A00BB" w:rsidRDefault="008A00BB" w:rsidP="004C587B">
      <w:pPr>
        <w:spacing w:after="0" w:line="360" w:lineRule="auto"/>
        <w:ind w:firstLine="851"/>
        <w:jc w:val="both"/>
        <w:rPr>
          <w:rFonts w:ascii="Times New Roman" w:hAnsi="Times New Roman" w:cs="Times New Roman"/>
          <w:sz w:val="28"/>
          <w:szCs w:val="28"/>
        </w:rPr>
      </w:pPr>
    </w:p>
    <w:p w:rsidR="004731E8" w:rsidRDefault="008A00BB"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(підпис)</w:t>
      </w:r>
    </w:p>
    <w:p w:rsidR="004731E8" w:rsidRDefault="004731E8" w:rsidP="004C587B">
      <w:pPr>
        <w:spacing w:after="0" w:line="360" w:lineRule="auto"/>
        <w:ind w:firstLine="851"/>
        <w:jc w:val="both"/>
        <w:rPr>
          <w:rFonts w:ascii="Times New Roman" w:hAnsi="Times New Roman" w:cs="Times New Roman"/>
          <w:sz w:val="28"/>
          <w:szCs w:val="28"/>
        </w:rPr>
      </w:pPr>
    </w:p>
    <w:p w:rsidR="009D4F5B" w:rsidRDefault="00E84432"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840CA4">
        <w:rPr>
          <w:rFonts w:ascii="Times New Roman" w:hAnsi="Times New Roman" w:cs="Times New Roman"/>
          <w:sz w:val="28"/>
          <w:szCs w:val="28"/>
        </w:rPr>
        <w:t>Науковий керівник</w:t>
      </w:r>
      <w:r w:rsidR="001D2D46">
        <w:rPr>
          <w:rFonts w:ascii="Times New Roman" w:hAnsi="Times New Roman" w:cs="Times New Roman"/>
          <w:sz w:val="28"/>
          <w:szCs w:val="28"/>
        </w:rPr>
        <w:t xml:space="preserve"> </w:t>
      </w:r>
      <w:r w:rsidR="008C51FA">
        <w:rPr>
          <w:rFonts w:ascii="Times New Roman" w:hAnsi="Times New Roman" w:cs="Times New Roman"/>
          <w:sz w:val="28"/>
          <w:szCs w:val="28"/>
        </w:rPr>
        <w:t>д.е.</w:t>
      </w:r>
      <w:r w:rsidR="0049243A">
        <w:rPr>
          <w:rFonts w:ascii="Times New Roman" w:hAnsi="Times New Roman" w:cs="Times New Roman"/>
          <w:sz w:val="28"/>
          <w:szCs w:val="28"/>
        </w:rPr>
        <w:t>н.професо</w:t>
      </w:r>
      <w:r w:rsidR="00D44AB8">
        <w:rPr>
          <w:rFonts w:ascii="Times New Roman" w:hAnsi="Times New Roman" w:cs="Times New Roman"/>
          <w:sz w:val="28"/>
          <w:szCs w:val="28"/>
        </w:rPr>
        <w:t>р</w:t>
      </w:r>
    </w:p>
    <w:p w:rsidR="004731E8" w:rsidRDefault="009D4F5B"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Зварич І.Я.</w:t>
      </w:r>
      <w:r w:rsidR="0049243A">
        <w:rPr>
          <w:rFonts w:ascii="Times New Roman" w:hAnsi="Times New Roman" w:cs="Times New Roman"/>
          <w:sz w:val="28"/>
          <w:szCs w:val="28"/>
        </w:rPr>
        <w:t xml:space="preserve">  </w:t>
      </w:r>
      <w:r w:rsidR="00D44AB8">
        <w:rPr>
          <w:rFonts w:ascii="Times New Roman" w:hAnsi="Times New Roman" w:cs="Times New Roman"/>
          <w:sz w:val="28"/>
          <w:szCs w:val="28"/>
        </w:rPr>
        <w:t xml:space="preserve">                 </w:t>
      </w:r>
      <w:r w:rsidR="00DE1753">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4731E8" w:rsidRDefault="003E0701" w:rsidP="0058771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______________________</w:t>
      </w:r>
      <w:r w:rsidR="003626E3">
        <w:rPr>
          <w:rFonts w:ascii="Times New Roman" w:hAnsi="Times New Roman" w:cs="Times New Roman"/>
          <w:sz w:val="28"/>
          <w:szCs w:val="28"/>
        </w:rPr>
        <w:t>____</w:t>
      </w:r>
    </w:p>
    <w:p w:rsidR="004731E8" w:rsidRDefault="00094370" w:rsidP="000943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(підпис)</w:t>
      </w:r>
    </w:p>
    <w:p w:rsidR="004731E8" w:rsidRDefault="004731E8" w:rsidP="00D44AB8">
      <w:pPr>
        <w:spacing w:after="0" w:line="360" w:lineRule="auto"/>
        <w:jc w:val="both"/>
        <w:rPr>
          <w:rFonts w:ascii="Times New Roman" w:hAnsi="Times New Roman" w:cs="Times New Roman"/>
          <w:sz w:val="28"/>
          <w:szCs w:val="28"/>
        </w:rPr>
      </w:pPr>
    </w:p>
    <w:tbl>
      <w:tblPr>
        <w:tblW w:w="9637" w:type="dxa"/>
        <w:tblLayout w:type="fixed"/>
        <w:tblLook w:val="01E0" w:firstRow="1" w:lastRow="1" w:firstColumn="1" w:lastColumn="1" w:noHBand="0" w:noVBand="0"/>
      </w:tblPr>
      <w:tblGrid>
        <w:gridCol w:w="1668"/>
        <w:gridCol w:w="33"/>
        <w:gridCol w:w="6745"/>
        <w:gridCol w:w="20"/>
        <w:gridCol w:w="1151"/>
        <w:gridCol w:w="20"/>
      </w:tblGrid>
      <w:tr w:rsidR="000047F7" w:rsidRPr="00013E39" w:rsidTr="00B67033">
        <w:trPr>
          <w:trHeight w:val="328"/>
        </w:trPr>
        <w:tc>
          <w:tcPr>
            <w:tcW w:w="8466" w:type="dxa"/>
            <w:gridSpan w:val="4"/>
          </w:tcPr>
          <w:p w:rsidR="00DE1753" w:rsidRDefault="00DE1753" w:rsidP="00B67033">
            <w:pPr>
              <w:spacing w:after="0" w:line="240" w:lineRule="auto"/>
              <w:rPr>
                <w:rFonts w:ascii="Times New Roman" w:hAnsi="Times New Roman" w:cs="Times New Roman"/>
                <w:b/>
                <w:sz w:val="28"/>
                <w:szCs w:val="28"/>
              </w:rPr>
            </w:pPr>
          </w:p>
          <w:p w:rsidR="00DE1753" w:rsidRDefault="00DE1753" w:rsidP="00B67033">
            <w:pPr>
              <w:spacing w:after="0" w:line="240" w:lineRule="auto"/>
              <w:rPr>
                <w:rFonts w:ascii="Times New Roman" w:hAnsi="Times New Roman" w:cs="Times New Roman"/>
                <w:b/>
                <w:sz w:val="28"/>
                <w:szCs w:val="28"/>
              </w:rPr>
            </w:pPr>
          </w:p>
          <w:p w:rsidR="00DE1753" w:rsidRDefault="00DE1753" w:rsidP="00B67033">
            <w:pPr>
              <w:spacing w:after="0" w:line="240" w:lineRule="auto"/>
              <w:rPr>
                <w:rFonts w:ascii="Times New Roman" w:hAnsi="Times New Roman" w:cs="Times New Roman"/>
                <w:b/>
                <w:sz w:val="28"/>
                <w:szCs w:val="28"/>
              </w:rPr>
            </w:pPr>
          </w:p>
          <w:p w:rsidR="00DE1753" w:rsidRDefault="00DE1753" w:rsidP="00B67033">
            <w:pPr>
              <w:spacing w:after="0" w:line="240" w:lineRule="auto"/>
              <w:rPr>
                <w:rFonts w:ascii="Times New Roman" w:hAnsi="Times New Roman" w:cs="Times New Roman"/>
                <w:b/>
                <w:sz w:val="28"/>
                <w:szCs w:val="28"/>
              </w:rPr>
            </w:pPr>
          </w:p>
          <w:p w:rsidR="00DE1753" w:rsidRDefault="00DE1753" w:rsidP="00B67033">
            <w:pPr>
              <w:spacing w:after="0" w:line="240" w:lineRule="auto"/>
              <w:rPr>
                <w:rFonts w:ascii="Times New Roman" w:hAnsi="Times New Roman" w:cs="Times New Roman"/>
                <w:b/>
                <w:sz w:val="28"/>
                <w:szCs w:val="28"/>
              </w:rPr>
            </w:pPr>
          </w:p>
          <w:p w:rsidR="00E27436" w:rsidRPr="00E27436" w:rsidRDefault="00E27436" w:rsidP="00B67033">
            <w:pPr>
              <w:spacing w:after="0" w:line="240" w:lineRule="auto"/>
              <w:rPr>
                <w:rFonts w:ascii="Times New Roman" w:hAnsi="Times New Roman" w:cs="Times New Roman"/>
                <w:bCs/>
                <w:sz w:val="28"/>
                <w:szCs w:val="28"/>
              </w:rPr>
            </w:pPr>
            <w:r>
              <w:rPr>
                <w:rFonts w:ascii="Times New Roman" w:hAnsi="Times New Roman" w:cs="Times New Roman"/>
                <w:bCs/>
                <w:sz w:val="28"/>
                <w:szCs w:val="28"/>
              </w:rPr>
              <w:t xml:space="preserve">                                                   Тернопіль-2021</w:t>
            </w:r>
          </w:p>
          <w:p w:rsidR="000047F7" w:rsidRPr="00013E39" w:rsidRDefault="000047F7" w:rsidP="00B67033">
            <w:pPr>
              <w:spacing w:after="0" w:line="240" w:lineRule="auto"/>
              <w:rPr>
                <w:rFonts w:ascii="Times New Roman" w:hAnsi="Times New Roman" w:cs="Times New Roman"/>
                <w:b/>
                <w:sz w:val="28"/>
                <w:szCs w:val="28"/>
              </w:rPr>
            </w:pPr>
            <w:r w:rsidRPr="00013E39">
              <w:rPr>
                <w:rFonts w:ascii="Times New Roman" w:hAnsi="Times New Roman" w:cs="Times New Roman"/>
                <w:b/>
                <w:sz w:val="28"/>
                <w:szCs w:val="28"/>
              </w:rPr>
              <w:lastRenderedPageBreak/>
              <w:t>ВСТУП</w:t>
            </w:r>
            <w:r>
              <w:rPr>
                <w:rFonts w:ascii="Times New Roman" w:hAnsi="Times New Roman" w:cs="Times New Roman"/>
                <w:b/>
                <w:sz w:val="28"/>
                <w:szCs w:val="28"/>
              </w:rPr>
              <w:t>…………………………………………………………………..</w:t>
            </w:r>
          </w:p>
        </w:tc>
        <w:tc>
          <w:tcPr>
            <w:tcW w:w="1171" w:type="dxa"/>
            <w:gridSpan w:val="2"/>
          </w:tcPr>
          <w:p w:rsidR="000047F7" w:rsidRPr="007730D7" w:rsidRDefault="000047F7" w:rsidP="00B67033">
            <w:pPr>
              <w:spacing w:after="0" w:line="240" w:lineRule="auto"/>
              <w:rPr>
                <w:rFonts w:ascii="Times New Roman" w:hAnsi="Times New Roman" w:cs="Times New Roman"/>
                <w:b/>
                <w:sz w:val="28"/>
                <w:szCs w:val="28"/>
                <w:lang w:val="en-US"/>
              </w:rPr>
            </w:pPr>
          </w:p>
        </w:tc>
      </w:tr>
      <w:tr w:rsidR="000047F7" w:rsidRPr="007730D7" w:rsidTr="00B67033">
        <w:trPr>
          <w:gridAfter w:val="1"/>
          <w:wAfter w:w="20" w:type="dxa"/>
        </w:trPr>
        <w:tc>
          <w:tcPr>
            <w:tcW w:w="1668" w:type="dxa"/>
          </w:tcPr>
          <w:p w:rsidR="000047F7" w:rsidRPr="00013E39" w:rsidRDefault="000047F7" w:rsidP="00B67033">
            <w:pPr>
              <w:spacing w:after="0" w:line="240" w:lineRule="auto"/>
              <w:rPr>
                <w:rFonts w:ascii="Times New Roman" w:hAnsi="Times New Roman" w:cs="Times New Roman"/>
                <w:sz w:val="28"/>
                <w:szCs w:val="28"/>
              </w:rPr>
            </w:pPr>
            <w:r w:rsidRPr="00013E39">
              <w:rPr>
                <w:rFonts w:ascii="Times New Roman" w:hAnsi="Times New Roman" w:cs="Times New Roman"/>
                <w:b/>
                <w:sz w:val="28"/>
                <w:szCs w:val="28"/>
              </w:rPr>
              <w:t>РОЗДІЛ 1</w:t>
            </w:r>
            <w:r w:rsidRPr="00013E39">
              <w:rPr>
                <w:rFonts w:ascii="Times New Roman" w:hAnsi="Times New Roman" w:cs="Times New Roman"/>
                <w:sz w:val="28"/>
                <w:szCs w:val="28"/>
              </w:rPr>
              <w:t>.</w:t>
            </w:r>
          </w:p>
        </w:tc>
        <w:tc>
          <w:tcPr>
            <w:tcW w:w="6778" w:type="dxa"/>
            <w:gridSpan w:val="2"/>
          </w:tcPr>
          <w:p w:rsidR="000047F7" w:rsidRPr="00013E39" w:rsidRDefault="000047F7" w:rsidP="00B67033">
            <w:pPr>
              <w:spacing w:after="0" w:line="240" w:lineRule="auto"/>
              <w:jc w:val="both"/>
              <w:rPr>
                <w:rFonts w:ascii="Times New Roman" w:hAnsi="Times New Roman" w:cs="Times New Roman"/>
                <w:sz w:val="28"/>
                <w:szCs w:val="28"/>
              </w:rPr>
            </w:pPr>
            <w:r w:rsidRPr="005C6C8F">
              <w:rPr>
                <w:rFonts w:ascii="Times New Roman" w:hAnsi="Times New Roman" w:cs="Times New Roman"/>
                <w:b/>
                <w:sz w:val="28"/>
                <w:szCs w:val="28"/>
              </w:rPr>
              <w:t>КОНЦЕПТ ГЛОБАЛЬНИХ МОДЕЛЕЙ ЕКОРОЗВИТКУ КРАЇН</w:t>
            </w:r>
            <w:r w:rsidR="00D44AB8">
              <w:rPr>
                <w:rFonts w:ascii="Times New Roman" w:hAnsi="Times New Roman" w:cs="Times New Roman"/>
                <w:b/>
                <w:sz w:val="28"/>
                <w:szCs w:val="28"/>
              </w:rPr>
              <w:t xml:space="preserve">. </w:t>
            </w:r>
            <w:r>
              <w:rPr>
                <w:rFonts w:ascii="Times New Roman" w:hAnsi="Times New Roman" w:cs="Times New Roman"/>
                <w:b/>
                <w:sz w:val="28"/>
                <w:szCs w:val="28"/>
              </w:rPr>
              <w:t>………………………….</w:t>
            </w:r>
          </w:p>
        </w:tc>
        <w:tc>
          <w:tcPr>
            <w:tcW w:w="1171" w:type="dxa"/>
            <w:gridSpan w:val="2"/>
          </w:tcPr>
          <w:p w:rsidR="000047F7" w:rsidRPr="007730D7" w:rsidRDefault="000047F7" w:rsidP="00B67033">
            <w:pPr>
              <w:spacing w:after="0" w:line="240" w:lineRule="auto"/>
              <w:jc w:val="both"/>
              <w:rPr>
                <w:rFonts w:ascii="Times New Roman" w:hAnsi="Times New Roman" w:cs="Times New Roman"/>
                <w:b/>
                <w:sz w:val="28"/>
                <w:szCs w:val="28"/>
              </w:rPr>
            </w:pPr>
          </w:p>
          <w:p w:rsidR="000047F7" w:rsidRPr="005C6C8F" w:rsidRDefault="000047F7" w:rsidP="00B67033">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6</w:t>
            </w:r>
          </w:p>
        </w:tc>
      </w:tr>
      <w:tr w:rsidR="000047F7" w:rsidRPr="007730D7" w:rsidTr="00B67033">
        <w:trPr>
          <w:gridAfter w:val="1"/>
          <w:wAfter w:w="20" w:type="dxa"/>
          <w:trHeight w:val="742"/>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1.1.</w:t>
            </w:r>
          </w:p>
        </w:tc>
        <w:tc>
          <w:tcPr>
            <w:tcW w:w="6778" w:type="dxa"/>
            <w:gridSpan w:val="2"/>
          </w:tcPr>
          <w:p w:rsidR="000047F7" w:rsidRPr="00596704" w:rsidRDefault="000047F7" w:rsidP="00B67033">
            <w:pPr>
              <w:spacing w:after="0" w:line="240" w:lineRule="auto"/>
              <w:rPr>
                <w:rFonts w:ascii="Times New Roman" w:hAnsi="Times New Roman" w:cs="Times New Roman"/>
                <w:sz w:val="28"/>
                <w:szCs w:val="28"/>
              </w:rPr>
            </w:pPr>
            <w:r w:rsidRPr="00596704">
              <w:rPr>
                <w:rFonts w:ascii="Times New Roman" w:hAnsi="Times New Roman" w:cs="Times New Roman"/>
                <w:sz w:val="28"/>
                <w:szCs w:val="28"/>
              </w:rPr>
              <w:t>Теоретизація  екологічного розвитку країн в глобальному вимірі</w:t>
            </w:r>
            <w:r>
              <w:rPr>
                <w:rFonts w:ascii="Times New Roman" w:hAnsi="Times New Roman" w:cs="Times New Roman"/>
                <w:sz w:val="28"/>
                <w:szCs w:val="28"/>
              </w:rPr>
              <w:t>…………………………………..</w:t>
            </w:r>
          </w:p>
        </w:tc>
        <w:tc>
          <w:tcPr>
            <w:tcW w:w="1171" w:type="dxa"/>
            <w:gridSpan w:val="2"/>
          </w:tcPr>
          <w:p w:rsidR="000047F7" w:rsidRPr="007730D7" w:rsidRDefault="000047F7" w:rsidP="00B67033">
            <w:pPr>
              <w:spacing w:after="0" w:line="240" w:lineRule="auto"/>
              <w:jc w:val="both"/>
              <w:rPr>
                <w:rFonts w:ascii="Times New Roman" w:hAnsi="Times New Roman" w:cs="Times New Roman"/>
                <w:sz w:val="28"/>
                <w:szCs w:val="28"/>
              </w:rPr>
            </w:pPr>
          </w:p>
          <w:p w:rsidR="000047F7" w:rsidRPr="005C6C8F" w:rsidRDefault="000047F7" w:rsidP="00B670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1.2.</w:t>
            </w:r>
          </w:p>
        </w:tc>
        <w:tc>
          <w:tcPr>
            <w:tcW w:w="6778" w:type="dxa"/>
            <w:gridSpan w:val="2"/>
          </w:tcPr>
          <w:p w:rsidR="000047F7" w:rsidRPr="00013E39" w:rsidRDefault="000047F7" w:rsidP="00B67033">
            <w:pPr>
              <w:spacing w:after="0"/>
              <w:rPr>
                <w:rFonts w:ascii="Times New Roman" w:hAnsi="Times New Roman"/>
                <w:sz w:val="28"/>
                <w:szCs w:val="28"/>
              </w:rPr>
            </w:pPr>
            <w:r w:rsidRPr="005C6C8F">
              <w:rPr>
                <w:rFonts w:ascii="Times New Roman" w:eastAsia="Times New Roman" w:hAnsi="Times New Roman" w:cs="Times New Roman"/>
                <w:sz w:val="28"/>
                <w:szCs w:val="28"/>
                <w:lang w:eastAsia="ru-RU"/>
              </w:rPr>
              <w:t>Концепція циркулярної економіки як базової моделі новітнього екорозвитку</w:t>
            </w:r>
            <w:r>
              <w:rPr>
                <w:rFonts w:ascii="Times New Roman" w:eastAsia="Times New Roman" w:hAnsi="Times New Roman" w:cs="Times New Roman"/>
                <w:sz w:val="28"/>
                <w:szCs w:val="28"/>
                <w:lang w:eastAsia="ru-RU"/>
              </w:rPr>
              <w:t xml:space="preserve"> країн……………………….</w:t>
            </w:r>
          </w:p>
        </w:tc>
        <w:tc>
          <w:tcPr>
            <w:tcW w:w="1171" w:type="dxa"/>
            <w:gridSpan w:val="2"/>
          </w:tcPr>
          <w:p w:rsidR="000047F7" w:rsidRPr="00AC2324" w:rsidRDefault="000047F7" w:rsidP="00B67033">
            <w:pPr>
              <w:pStyle w:val="ab"/>
              <w:spacing w:after="0"/>
              <w:jc w:val="both"/>
              <w:rPr>
                <w:rFonts w:ascii="Times New Roman" w:hAnsi="Times New Roman"/>
                <w:sz w:val="28"/>
                <w:szCs w:val="28"/>
                <w:lang w:val="en-US"/>
              </w:rPr>
            </w:pPr>
            <w:r>
              <w:rPr>
                <w:rFonts w:ascii="Times New Roman" w:hAnsi="Times New Roman"/>
                <w:sz w:val="28"/>
                <w:szCs w:val="28"/>
                <w:lang w:val="en-US"/>
              </w:rPr>
              <w:t>17</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1.3.</w:t>
            </w:r>
          </w:p>
        </w:tc>
        <w:tc>
          <w:tcPr>
            <w:tcW w:w="6778" w:type="dxa"/>
            <w:gridSpan w:val="2"/>
          </w:tcPr>
          <w:p w:rsidR="000047F7" w:rsidRPr="00013E39" w:rsidRDefault="000047F7" w:rsidP="00B67033">
            <w:pPr>
              <w:shd w:val="clear" w:color="auto" w:fill="FFFFFF"/>
              <w:spacing w:after="0" w:line="240" w:lineRule="auto"/>
              <w:outlineLvl w:val="1"/>
              <w:rPr>
                <w:rFonts w:ascii="Times New Roman" w:hAnsi="Times New Roman" w:cs="Times New Roman"/>
                <w:sz w:val="28"/>
                <w:szCs w:val="28"/>
              </w:rPr>
            </w:pPr>
            <w:r w:rsidRPr="005C6C8F">
              <w:rPr>
                <w:rFonts w:ascii="Times New Roman" w:hAnsi="Times New Roman" w:cs="Times New Roman"/>
                <w:sz w:val="28"/>
                <w:szCs w:val="28"/>
              </w:rPr>
              <w:t>Теоретичні основи екологічної макроекономіки</w:t>
            </w:r>
            <w:r>
              <w:rPr>
                <w:rFonts w:ascii="Times New Roman" w:hAnsi="Times New Roman" w:cs="Times New Roman"/>
                <w:sz w:val="28"/>
                <w:szCs w:val="28"/>
              </w:rPr>
              <w:t>…..</w:t>
            </w:r>
          </w:p>
        </w:tc>
        <w:tc>
          <w:tcPr>
            <w:tcW w:w="1171" w:type="dxa"/>
            <w:gridSpan w:val="2"/>
          </w:tcPr>
          <w:p w:rsidR="000047F7" w:rsidRPr="007730D7" w:rsidRDefault="000047F7" w:rsidP="00B67033">
            <w:pPr>
              <w:shd w:val="clear" w:color="auto" w:fill="FFFFFF"/>
              <w:spacing w:after="0" w:line="240" w:lineRule="auto"/>
              <w:jc w:val="both"/>
              <w:outlineLvl w:val="1"/>
              <w:rPr>
                <w:rFonts w:ascii="Times New Roman" w:hAnsi="Times New Roman" w:cs="Times New Roman"/>
                <w:sz w:val="28"/>
                <w:szCs w:val="28"/>
              </w:rPr>
            </w:pPr>
            <w:r>
              <w:rPr>
                <w:rFonts w:ascii="Times New Roman" w:hAnsi="Times New Roman" w:cs="Times New Roman"/>
                <w:sz w:val="28"/>
                <w:szCs w:val="28"/>
              </w:rPr>
              <w:t>21</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p>
        </w:tc>
        <w:tc>
          <w:tcPr>
            <w:tcW w:w="6778" w:type="dxa"/>
            <w:gridSpan w:val="2"/>
          </w:tcPr>
          <w:p w:rsidR="000047F7" w:rsidRPr="00505CB0" w:rsidRDefault="000047F7" w:rsidP="00B67033">
            <w:pPr>
              <w:spacing w:after="0" w:line="240" w:lineRule="auto"/>
              <w:rPr>
                <w:rFonts w:ascii="Times New Roman" w:hAnsi="Times New Roman" w:cs="Times New Roman"/>
                <w:sz w:val="28"/>
                <w:szCs w:val="28"/>
                <w:lang w:val="en-US"/>
              </w:rPr>
            </w:pPr>
            <w:r w:rsidRPr="00505CB0">
              <w:rPr>
                <w:rFonts w:ascii="Times New Roman" w:hAnsi="Times New Roman" w:cs="Times New Roman"/>
                <w:sz w:val="28"/>
                <w:szCs w:val="28"/>
              </w:rPr>
              <w:t>Висновки до  розділу 1 …………………………</w:t>
            </w:r>
            <w:r>
              <w:rPr>
                <w:rFonts w:ascii="Times New Roman" w:hAnsi="Times New Roman" w:cs="Times New Roman"/>
                <w:sz w:val="28"/>
                <w:szCs w:val="28"/>
              </w:rPr>
              <w:t>…</w:t>
            </w:r>
            <w:r>
              <w:rPr>
                <w:rFonts w:ascii="Times New Roman" w:hAnsi="Times New Roman" w:cs="Times New Roman"/>
                <w:sz w:val="28"/>
                <w:szCs w:val="28"/>
                <w:lang w:val="en-US"/>
              </w:rPr>
              <w:t>…</w:t>
            </w:r>
          </w:p>
        </w:tc>
        <w:tc>
          <w:tcPr>
            <w:tcW w:w="1171" w:type="dxa"/>
            <w:gridSpan w:val="2"/>
          </w:tcPr>
          <w:p w:rsidR="000047F7" w:rsidRPr="0046587C" w:rsidRDefault="000047F7" w:rsidP="00B670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29</w:t>
            </w:r>
          </w:p>
        </w:tc>
      </w:tr>
      <w:tr w:rsidR="000047F7" w:rsidRPr="007730D7" w:rsidTr="00B67033">
        <w:trPr>
          <w:gridAfter w:val="1"/>
          <w:wAfter w:w="20" w:type="dxa"/>
          <w:trHeight w:val="364"/>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p>
        </w:tc>
        <w:tc>
          <w:tcPr>
            <w:tcW w:w="6778" w:type="dxa"/>
            <w:gridSpan w:val="2"/>
          </w:tcPr>
          <w:p w:rsidR="000047F7" w:rsidRPr="00013E39" w:rsidRDefault="000047F7" w:rsidP="00B67033">
            <w:pPr>
              <w:spacing w:after="0" w:line="240" w:lineRule="auto"/>
              <w:jc w:val="both"/>
              <w:rPr>
                <w:rFonts w:ascii="Times New Roman" w:hAnsi="Times New Roman" w:cs="Times New Roman"/>
                <w:b/>
                <w:sz w:val="28"/>
                <w:szCs w:val="28"/>
              </w:rPr>
            </w:pPr>
          </w:p>
        </w:tc>
        <w:tc>
          <w:tcPr>
            <w:tcW w:w="1171" w:type="dxa"/>
            <w:gridSpan w:val="2"/>
          </w:tcPr>
          <w:p w:rsidR="000047F7" w:rsidRPr="007730D7" w:rsidRDefault="000047F7" w:rsidP="00B67033">
            <w:pPr>
              <w:spacing w:after="0" w:line="240" w:lineRule="auto"/>
              <w:jc w:val="both"/>
              <w:rPr>
                <w:rFonts w:ascii="Times New Roman" w:hAnsi="Times New Roman" w:cs="Times New Roman"/>
                <w:b/>
                <w:sz w:val="28"/>
                <w:szCs w:val="28"/>
              </w:rPr>
            </w:pP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2.</w:t>
            </w:r>
          </w:p>
        </w:tc>
        <w:tc>
          <w:tcPr>
            <w:tcW w:w="6778" w:type="dxa"/>
            <w:gridSpan w:val="2"/>
          </w:tcPr>
          <w:p w:rsidR="000047F7" w:rsidRPr="006132BA" w:rsidRDefault="000047F7" w:rsidP="00B67033">
            <w:pPr>
              <w:spacing w:after="0" w:line="360" w:lineRule="auto"/>
              <w:rPr>
                <w:rFonts w:ascii="Times New Roman" w:hAnsi="Times New Roman" w:cs="Times New Roman"/>
                <w:sz w:val="28"/>
                <w:szCs w:val="28"/>
              </w:rPr>
            </w:pPr>
            <w:r>
              <w:rPr>
                <w:rFonts w:ascii="Times New Roman" w:hAnsi="Times New Roman" w:cs="Times New Roman"/>
                <w:b/>
                <w:sz w:val="28"/>
                <w:szCs w:val="28"/>
              </w:rPr>
              <w:t>АНАЛІЗ ГЛОБАЛЬНИХ МОДЕЛЕЙ ЕКОРОЗВИТКУ……………………………………….</w:t>
            </w:r>
          </w:p>
        </w:tc>
        <w:tc>
          <w:tcPr>
            <w:tcW w:w="1171" w:type="dxa"/>
            <w:gridSpan w:val="2"/>
          </w:tcPr>
          <w:p w:rsidR="000047F7" w:rsidRDefault="000047F7" w:rsidP="00B67033">
            <w:pPr>
              <w:spacing w:after="0" w:line="240" w:lineRule="auto"/>
              <w:jc w:val="both"/>
              <w:rPr>
                <w:rFonts w:ascii="Times New Roman" w:hAnsi="Times New Roman" w:cs="Times New Roman"/>
                <w:b/>
                <w:sz w:val="28"/>
                <w:szCs w:val="28"/>
              </w:rPr>
            </w:pPr>
          </w:p>
          <w:p w:rsidR="000047F7" w:rsidRPr="0046587C" w:rsidRDefault="000047F7" w:rsidP="00B67033">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32</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2.1.</w:t>
            </w:r>
          </w:p>
        </w:tc>
        <w:tc>
          <w:tcPr>
            <w:tcW w:w="6778" w:type="dxa"/>
            <w:gridSpan w:val="2"/>
          </w:tcPr>
          <w:p w:rsidR="000047F7" w:rsidRPr="00596704" w:rsidRDefault="000047F7" w:rsidP="00B67033">
            <w:pPr>
              <w:spacing w:after="0" w:line="240" w:lineRule="auto"/>
              <w:jc w:val="both"/>
              <w:rPr>
                <w:rFonts w:ascii="Times New Roman" w:hAnsi="Times New Roman" w:cs="Times New Roman"/>
                <w:sz w:val="28"/>
                <w:szCs w:val="28"/>
              </w:rPr>
            </w:pPr>
            <w:r w:rsidRPr="00596704">
              <w:rPr>
                <w:rFonts w:ascii="Times New Roman" w:hAnsi="Times New Roman" w:cs="Times New Roman"/>
                <w:sz w:val="28"/>
                <w:szCs w:val="28"/>
              </w:rPr>
              <w:t>Декаплінг як емерджентна модель екорозвитку країн (на прикладі Китаю)</w:t>
            </w:r>
            <w:r>
              <w:rPr>
                <w:rFonts w:ascii="Times New Roman" w:hAnsi="Times New Roman" w:cs="Times New Roman"/>
                <w:sz w:val="28"/>
                <w:szCs w:val="28"/>
              </w:rPr>
              <w:t>…………………………</w:t>
            </w:r>
          </w:p>
        </w:tc>
        <w:tc>
          <w:tcPr>
            <w:tcW w:w="1171" w:type="dxa"/>
            <w:gridSpan w:val="2"/>
          </w:tcPr>
          <w:p w:rsidR="000047F7" w:rsidRDefault="000047F7" w:rsidP="00B67033">
            <w:pPr>
              <w:spacing w:after="0" w:line="240" w:lineRule="auto"/>
              <w:jc w:val="both"/>
              <w:rPr>
                <w:rFonts w:ascii="Times New Roman" w:hAnsi="Times New Roman" w:cs="Times New Roman"/>
                <w:sz w:val="28"/>
                <w:szCs w:val="28"/>
              </w:rPr>
            </w:pPr>
          </w:p>
          <w:p w:rsidR="000047F7" w:rsidRPr="0046587C" w:rsidRDefault="000047F7" w:rsidP="00B670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32</w:t>
            </w:r>
          </w:p>
        </w:tc>
      </w:tr>
      <w:tr w:rsidR="000047F7" w:rsidRPr="007730D7" w:rsidTr="00B67033">
        <w:trPr>
          <w:gridAfter w:val="1"/>
          <w:wAfter w:w="20" w:type="dxa"/>
          <w:trHeight w:val="348"/>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2.2.</w:t>
            </w:r>
          </w:p>
        </w:tc>
        <w:tc>
          <w:tcPr>
            <w:tcW w:w="6778" w:type="dxa"/>
            <w:gridSpan w:val="2"/>
          </w:tcPr>
          <w:p w:rsidR="000047F7" w:rsidRPr="00596704" w:rsidRDefault="000047F7" w:rsidP="00B67033">
            <w:pPr>
              <w:spacing w:after="0" w:line="360" w:lineRule="auto"/>
              <w:jc w:val="both"/>
              <w:rPr>
                <w:rFonts w:ascii="Times New Roman" w:hAnsi="Times New Roman" w:cs="Times New Roman"/>
                <w:sz w:val="28"/>
                <w:szCs w:val="28"/>
              </w:rPr>
            </w:pPr>
            <w:r w:rsidRPr="00596704">
              <w:rPr>
                <w:rFonts w:ascii="Times New Roman" w:hAnsi="Times New Roman" w:cs="Times New Roman"/>
                <w:sz w:val="28"/>
                <w:szCs w:val="28"/>
              </w:rPr>
              <w:t>Аналіз європейської циркулярна економіка: «Європа двох швидкостей»</w:t>
            </w:r>
            <w:r>
              <w:rPr>
                <w:rFonts w:ascii="Times New Roman" w:hAnsi="Times New Roman" w:cs="Times New Roman"/>
                <w:sz w:val="28"/>
                <w:szCs w:val="28"/>
              </w:rPr>
              <w:t>……………………………………….</w:t>
            </w:r>
          </w:p>
        </w:tc>
        <w:tc>
          <w:tcPr>
            <w:tcW w:w="1171" w:type="dxa"/>
            <w:gridSpan w:val="2"/>
          </w:tcPr>
          <w:p w:rsidR="000047F7" w:rsidRDefault="000047F7" w:rsidP="00B67033">
            <w:pPr>
              <w:spacing w:after="0" w:line="240" w:lineRule="auto"/>
              <w:jc w:val="both"/>
              <w:rPr>
                <w:rFonts w:ascii="Times New Roman" w:hAnsi="Times New Roman" w:cs="Times New Roman"/>
                <w:sz w:val="28"/>
                <w:szCs w:val="28"/>
              </w:rPr>
            </w:pPr>
          </w:p>
          <w:p w:rsidR="000047F7" w:rsidRPr="0046587C" w:rsidRDefault="000047F7" w:rsidP="00B670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44</w:t>
            </w:r>
          </w:p>
        </w:tc>
      </w:tr>
      <w:tr w:rsidR="000047F7" w:rsidRPr="007730D7" w:rsidTr="00B67033">
        <w:trPr>
          <w:gridAfter w:val="1"/>
          <w:wAfter w:w="20" w:type="dxa"/>
        </w:trPr>
        <w:tc>
          <w:tcPr>
            <w:tcW w:w="1701" w:type="dxa"/>
            <w:gridSpan w:val="2"/>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2.3.</w:t>
            </w:r>
          </w:p>
        </w:tc>
        <w:tc>
          <w:tcPr>
            <w:tcW w:w="6745" w:type="dxa"/>
          </w:tcPr>
          <w:p w:rsidR="000047F7" w:rsidRPr="00596704" w:rsidRDefault="000047F7" w:rsidP="00B67033">
            <w:pPr>
              <w:spacing w:after="0" w:line="240" w:lineRule="auto"/>
              <w:jc w:val="both"/>
              <w:rPr>
                <w:rFonts w:ascii="Times New Roman" w:hAnsi="Times New Roman" w:cs="Times New Roman"/>
                <w:sz w:val="28"/>
                <w:szCs w:val="28"/>
              </w:rPr>
            </w:pPr>
            <w:r w:rsidRPr="00596704">
              <w:rPr>
                <w:rFonts w:ascii="Times New Roman" w:hAnsi="Times New Roman" w:cs="Times New Roman"/>
                <w:sz w:val="28"/>
                <w:szCs w:val="28"/>
              </w:rPr>
              <w:t>Трансформація ЄС в напрямку циркулярної економіки</w:t>
            </w:r>
            <w:r>
              <w:rPr>
                <w:rFonts w:ascii="Times New Roman" w:hAnsi="Times New Roman" w:cs="Times New Roman"/>
                <w:bCs/>
                <w:sz w:val="28"/>
                <w:szCs w:val="28"/>
              </w:rPr>
              <w:t xml:space="preserve"> </w:t>
            </w:r>
          </w:p>
        </w:tc>
        <w:tc>
          <w:tcPr>
            <w:tcW w:w="1171" w:type="dxa"/>
            <w:gridSpan w:val="2"/>
          </w:tcPr>
          <w:p w:rsidR="000047F7" w:rsidRPr="00596704" w:rsidRDefault="000047F7" w:rsidP="00B67033">
            <w:pPr>
              <w:spacing w:after="0" w:line="240" w:lineRule="auto"/>
              <w:jc w:val="both"/>
              <w:rPr>
                <w:rStyle w:val="aa"/>
                <w:rFonts w:ascii="Times New Roman" w:hAnsi="Times New Roman" w:cs="Times New Roman"/>
                <w:b w:val="0"/>
                <w:sz w:val="28"/>
                <w:szCs w:val="28"/>
                <w:lang w:val="en-US"/>
              </w:rPr>
            </w:pPr>
            <w:r w:rsidRPr="00596704">
              <w:rPr>
                <w:rStyle w:val="aa"/>
                <w:rFonts w:ascii="Times New Roman" w:hAnsi="Times New Roman" w:cs="Times New Roman"/>
                <w:b w:val="0"/>
                <w:sz w:val="28"/>
                <w:szCs w:val="28"/>
              </w:rPr>
              <w:t>51</w:t>
            </w:r>
          </w:p>
        </w:tc>
      </w:tr>
      <w:tr w:rsidR="000047F7" w:rsidRPr="007730D7" w:rsidTr="00B67033">
        <w:trPr>
          <w:gridAfter w:val="1"/>
          <w:wAfter w:w="20" w:type="dxa"/>
          <w:trHeight w:val="95"/>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p>
        </w:tc>
        <w:tc>
          <w:tcPr>
            <w:tcW w:w="6778" w:type="dxa"/>
            <w:gridSpan w:val="2"/>
          </w:tcPr>
          <w:p w:rsidR="000047F7" w:rsidRPr="00013E39" w:rsidRDefault="000047F7" w:rsidP="00B67033">
            <w:pPr>
              <w:spacing w:after="0" w:line="240" w:lineRule="auto"/>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71" w:type="dxa"/>
            <w:gridSpan w:val="2"/>
          </w:tcPr>
          <w:p w:rsidR="000047F7" w:rsidRPr="007730D7" w:rsidRDefault="000047F7" w:rsidP="00B670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59</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p>
        </w:tc>
        <w:tc>
          <w:tcPr>
            <w:tcW w:w="6778" w:type="dxa"/>
            <w:gridSpan w:val="2"/>
          </w:tcPr>
          <w:p w:rsidR="000047F7" w:rsidRPr="00013E39" w:rsidRDefault="000047F7" w:rsidP="00B67033">
            <w:pPr>
              <w:spacing w:after="0" w:line="240" w:lineRule="auto"/>
              <w:jc w:val="both"/>
              <w:rPr>
                <w:rFonts w:ascii="Times New Roman" w:hAnsi="Times New Roman" w:cs="Times New Roman"/>
                <w:b/>
                <w:sz w:val="28"/>
                <w:szCs w:val="28"/>
              </w:rPr>
            </w:pPr>
          </w:p>
        </w:tc>
        <w:tc>
          <w:tcPr>
            <w:tcW w:w="1171" w:type="dxa"/>
            <w:gridSpan w:val="2"/>
          </w:tcPr>
          <w:p w:rsidR="000047F7" w:rsidRPr="007730D7" w:rsidRDefault="000047F7" w:rsidP="00B67033">
            <w:pPr>
              <w:spacing w:after="0" w:line="240" w:lineRule="auto"/>
              <w:jc w:val="both"/>
              <w:rPr>
                <w:rFonts w:ascii="Times New Roman" w:hAnsi="Times New Roman" w:cs="Times New Roman"/>
                <w:b/>
                <w:sz w:val="28"/>
                <w:szCs w:val="28"/>
              </w:rPr>
            </w:pP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3.</w:t>
            </w:r>
          </w:p>
        </w:tc>
        <w:tc>
          <w:tcPr>
            <w:tcW w:w="6778" w:type="dxa"/>
            <w:gridSpan w:val="2"/>
          </w:tcPr>
          <w:p w:rsidR="000047F7" w:rsidRPr="00AA0C85" w:rsidRDefault="000047F7" w:rsidP="00B67033">
            <w:pPr>
              <w:spacing w:after="0" w:line="240" w:lineRule="auto"/>
              <w:rPr>
                <w:rFonts w:ascii="Times New Roman" w:hAnsi="Times New Roman" w:cs="Times New Roman"/>
                <w:b/>
                <w:sz w:val="28"/>
                <w:szCs w:val="28"/>
                <w:lang w:val="ru-RU"/>
              </w:rPr>
            </w:pPr>
            <w:r>
              <w:rPr>
                <w:rFonts w:ascii="Times New Roman" w:hAnsi="Times New Roman" w:cs="Times New Roman"/>
                <w:b/>
                <w:sz w:val="28"/>
                <w:szCs w:val="28"/>
              </w:rPr>
              <w:t>НАПРЯМИ ІМПЛЕМЕНТАЦІЇ В УКРАЇНІ НОВІТНЬОЇ ЕКОЛОГІЧНОЇ ПОЛІТИКИ……..</w:t>
            </w:r>
          </w:p>
        </w:tc>
        <w:tc>
          <w:tcPr>
            <w:tcW w:w="1171" w:type="dxa"/>
            <w:gridSpan w:val="2"/>
          </w:tcPr>
          <w:p w:rsidR="000047F7" w:rsidRPr="007730D7" w:rsidRDefault="000047F7" w:rsidP="00B67033">
            <w:pPr>
              <w:spacing w:after="0" w:line="240" w:lineRule="auto"/>
              <w:jc w:val="both"/>
              <w:rPr>
                <w:rFonts w:ascii="Times New Roman" w:hAnsi="Times New Roman" w:cs="Times New Roman"/>
                <w:b/>
                <w:sz w:val="28"/>
                <w:szCs w:val="28"/>
              </w:rPr>
            </w:pPr>
          </w:p>
          <w:p w:rsidR="000047F7" w:rsidRPr="00E22352" w:rsidRDefault="000047F7" w:rsidP="00B67033">
            <w:pPr>
              <w:spacing w:after="0" w:line="240" w:lineRule="auto"/>
              <w:jc w:val="both"/>
              <w:rPr>
                <w:rFonts w:ascii="Times New Roman" w:hAnsi="Times New Roman" w:cs="Times New Roman"/>
                <w:sz w:val="28"/>
                <w:szCs w:val="28"/>
              </w:rPr>
            </w:pPr>
            <w:r w:rsidRPr="00E22352">
              <w:rPr>
                <w:rFonts w:ascii="Times New Roman" w:hAnsi="Times New Roman" w:cs="Times New Roman"/>
                <w:sz w:val="28"/>
                <w:szCs w:val="28"/>
              </w:rPr>
              <w:t>61</w:t>
            </w:r>
          </w:p>
          <w:p w:rsidR="000047F7" w:rsidRPr="007730D7" w:rsidRDefault="000047F7" w:rsidP="00B67033">
            <w:pPr>
              <w:spacing w:after="0" w:line="240" w:lineRule="auto"/>
              <w:jc w:val="both"/>
              <w:rPr>
                <w:rFonts w:ascii="Times New Roman" w:hAnsi="Times New Roman" w:cs="Times New Roman"/>
                <w:b/>
                <w:sz w:val="28"/>
                <w:szCs w:val="28"/>
                <w:lang w:val="en-US"/>
              </w:rPr>
            </w:pP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3.1.</w:t>
            </w:r>
          </w:p>
        </w:tc>
        <w:tc>
          <w:tcPr>
            <w:tcW w:w="6778" w:type="dxa"/>
            <w:gridSpan w:val="2"/>
          </w:tcPr>
          <w:p w:rsidR="000047F7" w:rsidRPr="00E22352" w:rsidRDefault="000047F7" w:rsidP="00B67033">
            <w:pPr>
              <w:spacing w:after="0" w:line="240" w:lineRule="auto"/>
              <w:jc w:val="both"/>
              <w:rPr>
                <w:rFonts w:ascii="Times New Roman" w:hAnsi="Times New Roman" w:cs="Times New Roman"/>
                <w:sz w:val="28"/>
                <w:szCs w:val="28"/>
              </w:rPr>
            </w:pPr>
            <w:r w:rsidRPr="00E22352">
              <w:rPr>
                <w:rFonts w:ascii="Times New Roman" w:hAnsi="Times New Roman" w:cs="Times New Roman"/>
                <w:sz w:val="28"/>
                <w:szCs w:val="28"/>
              </w:rPr>
              <w:t>Україна в адаптації новітньої екологічної політики</w:t>
            </w:r>
          </w:p>
        </w:tc>
        <w:tc>
          <w:tcPr>
            <w:tcW w:w="1171" w:type="dxa"/>
            <w:gridSpan w:val="2"/>
          </w:tcPr>
          <w:p w:rsidR="000047F7" w:rsidRPr="007730D7" w:rsidRDefault="000047F7" w:rsidP="00B6703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61</w:t>
            </w:r>
          </w:p>
        </w:tc>
      </w:tr>
      <w:tr w:rsidR="000047F7" w:rsidRPr="007730D7" w:rsidTr="00B67033">
        <w:trPr>
          <w:gridAfter w:val="1"/>
          <w:wAfter w:w="20" w:type="dxa"/>
          <w:trHeight w:val="487"/>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3.2.</w:t>
            </w:r>
          </w:p>
        </w:tc>
        <w:tc>
          <w:tcPr>
            <w:tcW w:w="6778" w:type="dxa"/>
            <w:gridSpan w:val="2"/>
          </w:tcPr>
          <w:p w:rsidR="000047F7" w:rsidRPr="00E22352" w:rsidRDefault="000047F7" w:rsidP="00B67033">
            <w:pPr>
              <w:spacing w:after="0" w:line="240" w:lineRule="auto"/>
              <w:rPr>
                <w:rFonts w:ascii="Times New Roman" w:hAnsi="Times New Roman" w:cs="Times New Roman"/>
                <w:sz w:val="28"/>
                <w:szCs w:val="28"/>
              </w:rPr>
            </w:pPr>
            <w:r w:rsidRPr="00E22352">
              <w:rPr>
                <w:rFonts w:ascii="Times New Roman" w:hAnsi="Times New Roman" w:cs="Times New Roman"/>
                <w:sz w:val="28"/>
                <w:szCs w:val="28"/>
              </w:rPr>
              <w:t xml:space="preserve">Особливості адаптації в Україні </w:t>
            </w:r>
            <w:r w:rsidRPr="00E22352">
              <w:rPr>
                <w:rFonts w:ascii="Times New Roman" w:hAnsi="Times New Roman" w:cs="Times New Roman"/>
                <w:sz w:val="28"/>
                <w:szCs w:val="28"/>
                <w:lang w:val="en-US"/>
              </w:rPr>
              <w:t>Європейської зеленої угоди</w:t>
            </w:r>
            <w:r>
              <w:rPr>
                <w:rFonts w:ascii="Times New Roman" w:hAnsi="Times New Roman" w:cs="Times New Roman"/>
                <w:sz w:val="28"/>
                <w:szCs w:val="28"/>
                <w:lang w:val="en-US"/>
              </w:rPr>
              <w:t>…</w:t>
            </w:r>
            <w:r>
              <w:rPr>
                <w:rFonts w:ascii="Times New Roman" w:hAnsi="Times New Roman" w:cs="Times New Roman"/>
                <w:bCs/>
                <w:sz w:val="28"/>
                <w:szCs w:val="28"/>
              </w:rPr>
              <w:t>…………………………………………………</w:t>
            </w:r>
          </w:p>
        </w:tc>
        <w:tc>
          <w:tcPr>
            <w:tcW w:w="1171" w:type="dxa"/>
            <w:gridSpan w:val="2"/>
          </w:tcPr>
          <w:p w:rsidR="000047F7" w:rsidRDefault="000047F7" w:rsidP="00B67033">
            <w:pPr>
              <w:spacing w:after="0" w:line="360" w:lineRule="auto"/>
              <w:rPr>
                <w:rFonts w:ascii="Times New Roman" w:hAnsi="Times New Roman" w:cs="Times New Roman"/>
                <w:sz w:val="28"/>
                <w:szCs w:val="28"/>
              </w:rPr>
            </w:pPr>
          </w:p>
          <w:p w:rsidR="000047F7" w:rsidRPr="007730D7" w:rsidRDefault="000047F7" w:rsidP="00B67033">
            <w:pPr>
              <w:spacing w:after="0" w:line="360" w:lineRule="auto"/>
              <w:rPr>
                <w:rFonts w:ascii="Times New Roman" w:hAnsi="Times New Roman" w:cs="Times New Roman"/>
                <w:sz w:val="28"/>
                <w:szCs w:val="28"/>
              </w:rPr>
            </w:pPr>
            <w:r>
              <w:rPr>
                <w:rFonts w:ascii="Times New Roman" w:hAnsi="Times New Roman" w:cs="Times New Roman"/>
                <w:sz w:val="28"/>
                <w:szCs w:val="28"/>
              </w:rPr>
              <w:t>65</w:t>
            </w:r>
          </w:p>
        </w:tc>
      </w:tr>
      <w:tr w:rsidR="000047F7" w:rsidRPr="007730D7" w:rsidTr="00B67033">
        <w:trPr>
          <w:gridAfter w:val="1"/>
          <w:wAfter w:w="20" w:type="dxa"/>
        </w:trPr>
        <w:tc>
          <w:tcPr>
            <w:tcW w:w="1668" w:type="dxa"/>
          </w:tcPr>
          <w:p w:rsidR="000047F7" w:rsidRPr="00013E39" w:rsidRDefault="000047F7" w:rsidP="00B67033">
            <w:pPr>
              <w:spacing w:after="0" w:line="240" w:lineRule="auto"/>
              <w:jc w:val="center"/>
              <w:rPr>
                <w:rFonts w:ascii="Times New Roman" w:hAnsi="Times New Roman" w:cs="Times New Roman"/>
                <w:b/>
                <w:sz w:val="28"/>
                <w:szCs w:val="28"/>
              </w:rPr>
            </w:pPr>
          </w:p>
        </w:tc>
        <w:tc>
          <w:tcPr>
            <w:tcW w:w="6778" w:type="dxa"/>
            <w:gridSpan w:val="2"/>
          </w:tcPr>
          <w:p w:rsidR="000047F7" w:rsidRPr="00013E39" w:rsidRDefault="000047F7" w:rsidP="00B67033">
            <w:pPr>
              <w:spacing w:after="0" w:line="240" w:lineRule="auto"/>
              <w:rPr>
                <w:rFonts w:ascii="Times New Roman" w:hAnsi="Times New Roman" w:cs="Times New Roman"/>
                <w:b/>
                <w:sz w:val="28"/>
                <w:szCs w:val="28"/>
              </w:rPr>
            </w:pPr>
            <w:r w:rsidRPr="00013E39">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71" w:type="dxa"/>
            <w:gridSpan w:val="2"/>
          </w:tcPr>
          <w:p w:rsidR="000047F7" w:rsidRPr="0046587C" w:rsidRDefault="000047F7" w:rsidP="00B67033">
            <w:pPr>
              <w:spacing w:after="0" w:line="240" w:lineRule="auto"/>
              <w:rPr>
                <w:rFonts w:ascii="Times New Roman" w:hAnsi="Times New Roman" w:cs="Times New Roman"/>
                <w:sz w:val="28"/>
                <w:szCs w:val="28"/>
              </w:rPr>
            </w:pPr>
            <w:r>
              <w:rPr>
                <w:rFonts w:ascii="Times New Roman" w:hAnsi="Times New Roman" w:cs="Times New Roman"/>
                <w:sz w:val="28"/>
                <w:szCs w:val="28"/>
              </w:rPr>
              <w:t>69</w:t>
            </w:r>
          </w:p>
        </w:tc>
      </w:tr>
      <w:tr w:rsidR="000047F7" w:rsidRPr="00013E39" w:rsidTr="00B67033">
        <w:tc>
          <w:tcPr>
            <w:tcW w:w="8466" w:type="dxa"/>
            <w:gridSpan w:val="4"/>
          </w:tcPr>
          <w:p w:rsidR="000047F7" w:rsidRPr="007730D7" w:rsidRDefault="000047F7" w:rsidP="00B67033">
            <w:pPr>
              <w:spacing w:after="0" w:line="240" w:lineRule="auto"/>
              <w:rPr>
                <w:rFonts w:ascii="Times New Roman" w:hAnsi="Times New Roman" w:cs="Times New Roman"/>
                <w:sz w:val="28"/>
                <w:szCs w:val="28"/>
              </w:rPr>
            </w:pPr>
          </w:p>
        </w:tc>
        <w:tc>
          <w:tcPr>
            <w:tcW w:w="1171" w:type="dxa"/>
            <w:gridSpan w:val="2"/>
          </w:tcPr>
          <w:p w:rsidR="000047F7" w:rsidRDefault="000047F7" w:rsidP="00B67033">
            <w:pPr>
              <w:spacing w:after="0" w:line="240" w:lineRule="auto"/>
              <w:rPr>
                <w:rFonts w:ascii="Times New Roman" w:hAnsi="Times New Roman" w:cs="Times New Roman"/>
                <w:sz w:val="28"/>
                <w:szCs w:val="28"/>
                <w:lang w:val="en-US"/>
              </w:rPr>
            </w:pPr>
          </w:p>
          <w:p w:rsidR="000047F7" w:rsidRPr="00AC2324" w:rsidRDefault="000047F7" w:rsidP="00B67033">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70</w:t>
            </w:r>
          </w:p>
        </w:tc>
      </w:tr>
      <w:tr w:rsidR="000047F7" w:rsidRPr="00013E39" w:rsidTr="00B67033">
        <w:tc>
          <w:tcPr>
            <w:tcW w:w="8466" w:type="dxa"/>
            <w:gridSpan w:val="4"/>
          </w:tcPr>
          <w:p w:rsidR="000047F7" w:rsidRPr="007730D7" w:rsidRDefault="000047F7" w:rsidP="00B67033">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ВИСНОВКИ……………………………………………………….</w:t>
            </w:r>
          </w:p>
        </w:tc>
        <w:tc>
          <w:tcPr>
            <w:tcW w:w="1171" w:type="dxa"/>
            <w:gridSpan w:val="2"/>
          </w:tcPr>
          <w:p w:rsidR="000047F7" w:rsidRPr="007730D7" w:rsidRDefault="000047F7" w:rsidP="00B67033">
            <w:pPr>
              <w:spacing w:after="0" w:line="240" w:lineRule="auto"/>
              <w:rPr>
                <w:rFonts w:ascii="Times New Roman" w:hAnsi="Times New Roman" w:cs="Times New Roman"/>
                <w:b/>
                <w:sz w:val="28"/>
                <w:szCs w:val="28"/>
              </w:rPr>
            </w:pPr>
          </w:p>
        </w:tc>
      </w:tr>
      <w:tr w:rsidR="000047F7" w:rsidRPr="00013E39" w:rsidTr="00B67033">
        <w:tc>
          <w:tcPr>
            <w:tcW w:w="8466" w:type="dxa"/>
            <w:gridSpan w:val="4"/>
          </w:tcPr>
          <w:p w:rsidR="000047F7" w:rsidRPr="007730D7" w:rsidRDefault="000047F7" w:rsidP="00B67033">
            <w:pPr>
              <w:spacing w:after="0" w:line="240" w:lineRule="auto"/>
              <w:rPr>
                <w:rFonts w:ascii="Times New Roman" w:hAnsi="Times New Roman" w:cs="Times New Roman"/>
                <w:sz w:val="28"/>
                <w:szCs w:val="28"/>
              </w:rPr>
            </w:pPr>
          </w:p>
        </w:tc>
        <w:tc>
          <w:tcPr>
            <w:tcW w:w="1171" w:type="dxa"/>
            <w:gridSpan w:val="2"/>
          </w:tcPr>
          <w:p w:rsidR="000047F7" w:rsidRPr="007730D7" w:rsidRDefault="000047F7" w:rsidP="00B67033">
            <w:pPr>
              <w:spacing w:after="0" w:line="240" w:lineRule="auto"/>
              <w:rPr>
                <w:rFonts w:ascii="Times New Roman" w:hAnsi="Times New Roman" w:cs="Times New Roman"/>
                <w:sz w:val="28"/>
                <w:szCs w:val="28"/>
              </w:rPr>
            </w:pPr>
          </w:p>
        </w:tc>
      </w:tr>
      <w:tr w:rsidR="000047F7" w:rsidRPr="00013E39" w:rsidTr="00B67033">
        <w:tc>
          <w:tcPr>
            <w:tcW w:w="8466" w:type="dxa"/>
            <w:gridSpan w:val="4"/>
          </w:tcPr>
          <w:p w:rsidR="000047F7" w:rsidRPr="007730D7" w:rsidRDefault="000047F7" w:rsidP="00B67033">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СПИСОК ВИКОРИСТАНИХ ДЖЕРЕЛ……………………....</w:t>
            </w:r>
          </w:p>
        </w:tc>
        <w:tc>
          <w:tcPr>
            <w:tcW w:w="1171" w:type="dxa"/>
            <w:gridSpan w:val="2"/>
          </w:tcPr>
          <w:p w:rsidR="000047F7" w:rsidRPr="00E22352" w:rsidRDefault="000047F7" w:rsidP="00B67033">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7</w:t>
            </w:r>
            <w:r w:rsidRPr="00E22352">
              <w:rPr>
                <w:rFonts w:ascii="Times New Roman" w:hAnsi="Times New Roman" w:cs="Times New Roman"/>
                <w:sz w:val="28"/>
                <w:szCs w:val="28"/>
                <w:lang w:val="en-US"/>
              </w:rPr>
              <w:t>3</w:t>
            </w:r>
          </w:p>
        </w:tc>
      </w:tr>
      <w:tr w:rsidR="000047F7" w:rsidRPr="00013E39" w:rsidTr="00B67033">
        <w:tc>
          <w:tcPr>
            <w:tcW w:w="8466" w:type="dxa"/>
            <w:gridSpan w:val="4"/>
          </w:tcPr>
          <w:p w:rsidR="000047F7" w:rsidRPr="00013E39" w:rsidRDefault="000047F7" w:rsidP="00B67033">
            <w:pPr>
              <w:spacing w:after="0" w:line="240" w:lineRule="auto"/>
              <w:rPr>
                <w:rFonts w:ascii="Times New Roman" w:hAnsi="Times New Roman" w:cs="Times New Roman"/>
                <w:sz w:val="28"/>
                <w:szCs w:val="28"/>
              </w:rPr>
            </w:pPr>
          </w:p>
        </w:tc>
        <w:tc>
          <w:tcPr>
            <w:tcW w:w="1171" w:type="dxa"/>
            <w:gridSpan w:val="2"/>
          </w:tcPr>
          <w:p w:rsidR="000047F7" w:rsidRPr="00013E39" w:rsidRDefault="000047F7" w:rsidP="00B67033">
            <w:pPr>
              <w:spacing w:after="0" w:line="240" w:lineRule="auto"/>
              <w:rPr>
                <w:rFonts w:ascii="Times New Roman" w:hAnsi="Times New Roman" w:cs="Times New Roman"/>
                <w:sz w:val="28"/>
                <w:szCs w:val="28"/>
              </w:rPr>
            </w:pPr>
          </w:p>
        </w:tc>
      </w:tr>
    </w:tbl>
    <w:p w:rsidR="004731E8" w:rsidRDefault="004731E8"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7E44E5" w:rsidRDefault="007E44E5" w:rsidP="004C587B">
      <w:pPr>
        <w:spacing w:after="0" w:line="360" w:lineRule="auto"/>
        <w:ind w:firstLine="851"/>
        <w:jc w:val="both"/>
        <w:rPr>
          <w:rFonts w:ascii="Times New Roman" w:hAnsi="Times New Roman" w:cs="Times New Roman"/>
          <w:sz w:val="28"/>
          <w:szCs w:val="28"/>
        </w:rPr>
      </w:pPr>
    </w:p>
    <w:p w:rsidR="00BA0BC5" w:rsidRDefault="00BA0BC5" w:rsidP="00964247">
      <w:pPr>
        <w:shd w:val="clear" w:color="auto" w:fill="FFFFFF" w:themeFill="background1"/>
        <w:tabs>
          <w:tab w:val="left" w:pos="851"/>
        </w:tabs>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BA0BC5" w:rsidRPr="00E67295" w:rsidRDefault="00BA0BC5" w:rsidP="00964247">
      <w:pPr>
        <w:shd w:val="clear" w:color="auto" w:fill="FFFFFF" w:themeFill="background1"/>
        <w:tabs>
          <w:tab w:val="left" w:pos="851"/>
        </w:tabs>
        <w:spacing w:after="0" w:line="360" w:lineRule="auto"/>
        <w:ind w:firstLine="851"/>
        <w:jc w:val="both"/>
        <w:rPr>
          <w:rFonts w:ascii="Times New Roman" w:hAnsi="Times New Roman" w:cs="Times New Roman"/>
          <w:sz w:val="28"/>
          <w:szCs w:val="28"/>
        </w:rPr>
      </w:pPr>
      <w:r w:rsidRPr="00013E39">
        <w:rPr>
          <w:rFonts w:ascii="Times New Roman" w:hAnsi="Times New Roman" w:cs="Times New Roman"/>
          <w:b/>
          <w:sz w:val="28"/>
          <w:szCs w:val="28"/>
        </w:rPr>
        <w:t>Актуальність дослідження</w:t>
      </w:r>
      <w:r w:rsidRPr="00013E39">
        <w:rPr>
          <w:rFonts w:ascii="Times New Roman" w:hAnsi="Times New Roman" w:cs="Times New Roman"/>
          <w:sz w:val="28"/>
          <w:szCs w:val="28"/>
        </w:rPr>
        <w:t xml:space="preserve">. </w:t>
      </w:r>
      <w:r w:rsidRPr="00E67295">
        <w:rPr>
          <w:rFonts w:ascii="Times New Roman" w:hAnsi="Times New Roman" w:cs="Times New Roman"/>
          <w:sz w:val="28"/>
          <w:szCs w:val="28"/>
        </w:rPr>
        <w:t>Протягом останнього десятиліття концепція циркулярної економіки отримала значну підтримку з боку бізнесу, урядів і громадськості як шлях вперед у вирішенні деяких з найбільш гострих екологічних проблем, з якими ми зараз стикаємося – від зміни клімату до забруднення океану.</w:t>
      </w:r>
    </w:p>
    <w:p w:rsidR="00BA0BC5" w:rsidRPr="00E67295" w:rsidRDefault="00BA0BC5" w:rsidP="004C587B">
      <w:pPr>
        <w:tabs>
          <w:tab w:val="left" w:pos="851"/>
        </w:tabs>
        <w:spacing w:after="0" w:line="360" w:lineRule="auto"/>
        <w:ind w:firstLine="851"/>
        <w:jc w:val="both"/>
        <w:rPr>
          <w:rFonts w:ascii="Times New Roman" w:hAnsi="Times New Roman" w:cs="Times New Roman"/>
          <w:sz w:val="28"/>
          <w:szCs w:val="28"/>
        </w:rPr>
      </w:pPr>
      <w:r w:rsidRPr="00E67295">
        <w:rPr>
          <w:rFonts w:ascii="Times New Roman" w:hAnsi="Times New Roman" w:cs="Times New Roman"/>
          <w:sz w:val="28"/>
          <w:szCs w:val="28"/>
        </w:rPr>
        <w:t>Наша нинішня економіка є лінійною. Ми витягуємо величезну кількість ресурсів і використовуємо їх (часто дуже коротко), перш ніж викидати їх. Менше 10% матеріалів, які щорічно проходять через нашу економіку, переробляються1. Багато з цих відпрацьованих матеріалів не тільки забруднюють наше довкілля; вони також представляють мільярди доларів, викинутих у смітник. Як лише один приклад, приблизно 45 мільярдів алюмінієвих банок, які можна переробити, щороку потрапляють на сміттєзвалища лише в Сполучених Штатах, що становить 800 мільйонів доларів витраченої вартості.</w:t>
      </w:r>
    </w:p>
    <w:p w:rsidR="00BA0BC5" w:rsidRPr="00E67295" w:rsidRDefault="00BA0BC5" w:rsidP="004C587B">
      <w:pPr>
        <w:tabs>
          <w:tab w:val="left" w:pos="851"/>
        </w:tabs>
        <w:spacing w:after="0" w:line="360" w:lineRule="auto"/>
        <w:ind w:firstLine="851"/>
        <w:jc w:val="both"/>
        <w:rPr>
          <w:rFonts w:ascii="Times New Roman" w:hAnsi="Times New Roman" w:cs="Times New Roman"/>
          <w:sz w:val="28"/>
          <w:szCs w:val="28"/>
        </w:rPr>
      </w:pPr>
      <w:r w:rsidRPr="00E67295">
        <w:rPr>
          <w:rFonts w:ascii="Times New Roman" w:hAnsi="Times New Roman" w:cs="Times New Roman"/>
          <w:sz w:val="28"/>
          <w:szCs w:val="28"/>
        </w:rPr>
        <w:t>Актуальність і переваги переходу до циркулярної економіки очевидні. Нам потрібні чисті, стабільні потоки вторинних матеріалів, які могли б конкурувати з виробництвом первинних ресурсів. Нам потрібно якомога довше зберігати ці матеріали в обігу з максимально ефективним і найкращим використанням.</w:t>
      </w:r>
    </w:p>
    <w:p w:rsidR="00BA0BC5" w:rsidRPr="00E67295" w:rsidRDefault="00BA0BC5" w:rsidP="004C587B">
      <w:pPr>
        <w:spacing w:after="0" w:line="360" w:lineRule="auto"/>
        <w:ind w:firstLine="708"/>
        <w:jc w:val="both"/>
        <w:rPr>
          <w:rFonts w:ascii="Times New Roman" w:hAnsi="Times New Roman" w:cs="Times New Roman"/>
          <w:sz w:val="28"/>
          <w:szCs w:val="28"/>
        </w:rPr>
      </w:pPr>
      <w:r w:rsidRPr="00E67295">
        <w:rPr>
          <w:rFonts w:ascii="Times New Roman" w:hAnsi="Times New Roman" w:cs="Times New Roman"/>
          <w:b/>
          <w:sz w:val="28"/>
          <w:szCs w:val="28"/>
        </w:rPr>
        <w:t>Аналіз досліджень і публікацій.</w:t>
      </w:r>
      <w:r w:rsidRPr="00E67295">
        <w:rPr>
          <w:rFonts w:ascii="Times New Roman" w:hAnsi="Times New Roman" w:cs="Times New Roman"/>
          <w:sz w:val="28"/>
          <w:szCs w:val="28"/>
        </w:rPr>
        <w:t xml:space="preserve"> Питання сталого екологоузгодженого розвитку, глобалізації та альтерглобалізації досліджували такі науковці: А. Банерджі, Д. Бенуес, І. Зварич, О. Борзенко, А. Бохан, Е. Дюфло, Р. Зварич, І. Іващук, Г. Колодко, А. Крисоватий, В. Козюк, Т. Кожухова, М. Кремер, С. Кузнець, А. Мокій, В. Нордхаус, Т. Орєхова, Ю. Орловська, Г. Паулі, Е. Райнер, Ж. Реді, Н. Резнікова, К.-Х. Роберт, П. Ромер, Н. Стукало, О. Сохацька, А. Філіпенко, В. Штехель.</w:t>
      </w:r>
    </w:p>
    <w:p w:rsidR="00BA0BC5" w:rsidRPr="00E67295" w:rsidRDefault="00BA0BC5" w:rsidP="004C587B">
      <w:pPr>
        <w:tabs>
          <w:tab w:val="left" w:pos="851"/>
        </w:tabs>
        <w:spacing w:after="0" w:line="360" w:lineRule="auto"/>
        <w:ind w:firstLine="851"/>
        <w:jc w:val="both"/>
        <w:rPr>
          <w:rFonts w:ascii="Times New Roman" w:hAnsi="Times New Roman" w:cs="Times New Roman"/>
          <w:sz w:val="28"/>
          <w:szCs w:val="28"/>
        </w:rPr>
      </w:pPr>
      <w:r w:rsidRPr="00E67295">
        <w:rPr>
          <w:rFonts w:ascii="Times New Roman" w:hAnsi="Times New Roman" w:cs="Times New Roman"/>
          <w:sz w:val="28"/>
          <w:szCs w:val="28"/>
        </w:rPr>
        <w:t xml:space="preserve">Таким чином, </w:t>
      </w:r>
      <w:r w:rsidRPr="00E67295">
        <w:rPr>
          <w:rFonts w:ascii="Times New Roman" w:hAnsi="Times New Roman" w:cs="Times New Roman"/>
          <w:b/>
          <w:sz w:val="28"/>
          <w:szCs w:val="28"/>
        </w:rPr>
        <w:t>об'єктом</w:t>
      </w:r>
      <w:r w:rsidRPr="00E67295">
        <w:rPr>
          <w:rFonts w:ascii="Times New Roman" w:hAnsi="Times New Roman" w:cs="Times New Roman"/>
          <w:sz w:val="28"/>
          <w:szCs w:val="28"/>
        </w:rPr>
        <w:t xml:space="preserve"> дослідження є проблеми забруднення навколишнього середовища та глобальні моделі екорозвитку.</w:t>
      </w:r>
      <w:r>
        <w:rPr>
          <w:rFonts w:ascii="Times New Roman" w:hAnsi="Times New Roman" w:cs="Times New Roman"/>
          <w:sz w:val="28"/>
          <w:szCs w:val="28"/>
        </w:rPr>
        <w:t xml:space="preserve"> </w:t>
      </w:r>
    </w:p>
    <w:p w:rsidR="00BA0BC5" w:rsidRPr="007634B1" w:rsidRDefault="00BA0BC5" w:rsidP="004C587B">
      <w:pPr>
        <w:spacing w:after="0" w:line="360" w:lineRule="auto"/>
        <w:ind w:firstLine="708"/>
        <w:jc w:val="both"/>
        <w:rPr>
          <w:rFonts w:ascii="Times New Roman" w:hAnsi="Times New Roman" w:cs="Times New Roman"/>
          <w:sz w:val="28"/>
          <w:szCs w:val="28"/>
        </w:rPr>
      </w:pPr>
      <w:r w:rsidRPr="007634B1">
        <w:rPr>
          <w:rFonts w:ascii="Times New Roman" w:hAnsi="Times New Roman" w:cs="Times New Roman"/>
          <w:b/>
          <w:sz w:val="28"/>
          <w:szCs w:val="28"/>
        </w:rPr>
        <w:lastRenderedPageBreak/>
        <w:t>Предмет</w:t>
      </w:r>
      <w:r w:rsidRPr="007634B1">
        <w:rPr>
          <w:rFonts w:ascii="Times New Roman" w:hAnsi="Times New Roman" w:cs="Times New Roman"/>
          <w:sz w:val="28"/>
          <w:szCs w:val="28"/>
        </w:rPr>
        <w:t xml:space="preserve"> – вироблення перспективних напрямів у розвитку та імплементації західного досвіду у подоланні проблеми забруднення навколишнього середовища.</w:t>
      </w:r>
    </w:p>
    <w:p w:rsidR="00BA0BC5" w:rsidRPr="007634B1" w:rsidRDefault="00BA0BC5" w:rsidP="004C587B">
      <w:pPr>
        <w:spacing w:after="0" w:line="360" w:lineRule="auto"/>
        <w:ind w:firstLine="708"/>
        <w:jc w:val="both"/>
        <w:rPr>
          <w:rFonts w:ascii="Times New Roman" w:hAnsi="Times New Roman" w:cs="Times New Roman"/>
          <w:sz w:val="28"/>
          <w:szCs w:val="28"/>
        </w:rPr>
      </w:pPr>
      <w:r w:rsidRPr="007634B1">
        <w:rPr>
          <w:rFonts w:ascii="Times New Roman" w:hAnsi="Times New Roman" w:cs="Times New Roman"/>
          <w:b/>
          <w:sz w:val="28"/>
          <w:szCs w:val="28"/>
        </w:rPr>
        <w:t>Метою</w:t>
      </w:r>
      <w:r w:rsidRPr="007634B1">
        <w:rPr>
          <w:rFonts w:ascii="Times New Roman" w:hAnsi="Times New Roman" w:cs="Times New Roman"/>
          <w:sz w:val="28"/>
          <w:szCs w:val="28"/>
        </w:rPr>
        <w:t xml:space="preserve"> дослідження є аналіз проблеми забруднення навколишнього середовища.</w:t>
      </w:r>
    </w:p>
    <w:p w:rsidR="00BA0BC5" w:rsidRPr="007634B1" w:rsidRDefault="00BA0BC5" w:rsidP="004C587B">
      <w:pPr>
        <w:spacing w:after="0" w:line="360" w:lineRule="auto"/>
        <w:ind w:firstLine="708"/>
        <w:jc w:val="both"/>
        <w:rPr>
          <w:rFonts w:ascii="Times New Roman" w:hAnsi="Times New Roman" w:cs="Times New Roman"/>
          <w:sz w:val="28"/>
          <w:szCs w:val="28"/>
        </w:rPr>
      </w:pPr>
      <w:r w:rsidRPr="007634B1">
        <w:rPr>
          <w:rFonts w:ascii="Times New Roman" w:hAnsi="Times New Roman" w:cs="Times New Roman"/>
          <w:sz w:val="28"/>
          <w:szCs w:val="28"/>
        </w:rPr>
        <w:t>Для розкриття поставленої мети, автор ставить перед собою наступні завдання:</w:t>
      </w:r>
    </w:p>
    <w:p w:rsidR="00BA0BC5" w:rsidRPr="00F55AB6" w:rsidRDefault="00BA0BC5" w:rsidP="004C587B">
      <w:pPr>
        <w:pStyle w:val="a3"/>
        <w:numPr>
          <w:ilvl w:val="0"/>
          <w:numId w:val="2"/>
        </w:numPr>
        <w:spacing w:after="0" w:line="360" w:lineRule="auto"/>
        <w:jc w:val="both"/>
        <w:rPr>
          <w:rFonts w:ascii="Times New Roman" w:hAnsi="Times New Roman"/>
          <w:sz w:val="28"/>
          <w:szCs w:val="28"/>
        </w:rPr>
      </w:pPr>
      <w:r w:rsidRPr="007634B1">
        <w:rPr>
          <w:rFonts w:ascii="Times New Roman" w:hAnsi="Times New Roman" w:cs="Times New Roman"/>
          <w:sz w:val="28"/>
          <w:szCs w:val="28"/>
        </w:rPr>
        <w:t xml:space="preserve">виділити ключові теоретичні підходи </w:t>
      </w:r>
      <w:r w:rsidRPr="007634B1">
        <w:rPr>
          <w:rFonts w:ascii="Times New Roman" w:hAnsi="Times New Roman"/>
          <w:sz w:val="28"/>
          <w:szCs w:val="28"/>
        </w:rPr>
        <w:t>глобальної</w:t>
      </w:r>
      <w:r w:rsidRPr="00F55AB6">
        <w:rPr>
          <w:rFonts w:ascii="Times New Roman" w:hAnsi="Times New Roman"/>
          <w:sz w:val="28"/>
          <w:szCs w:val="28"/>
        </w:rPr>
        <w:t xml:space="preserve"> екології та забруднення навколишнього середовища</w:t>
      </w:r>
      <w:r>
        <w:rPr>
          <w:rFonts w:ascii="Times New Roman" w:hAnsi="Times New Roman"/>
          <w:sz w:val="28"/>
          <w:szCs w:val="28"/>
        </w:rPr>
        <w:t>;</w:t>
      </w:r>
    </w:p>
    <w:p w:rsidR="00BA0BC5" w:rsidRPr="00013E39" w:rsidRDefault="00BA0BC5" w:rsidP="004C587B">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sz w:val="28"/>
          <w:szCs w:val="28"/>
        </w:rPr>
        <w:t>проаналізувати п</w:t>
      </w:r>
      <w:r w:rsidRPr="00F55AB6">
        <w:rPr>
          <w:rFonts w:ascii="Times New Roman" w:hAnsi="Times New Roman"/>
          <w:sz w:val="28"/>
          <w:szCs w:val="28"/>
        </w:rPr>
        <w:t>роблеми забруднення навколишнього середовища</w:t>
      </w:r>
      <w:r w:rsidRPr="00013E39">
        <w:rPr>
          <w:rFonts w:ascii="Times New Roman" w:hAnsi="Times New Roman" w:cs="Times New Roman"/>
          <w:sz w:val="28"/>
          <w:szCs w:val="28"/>
        </w:rPr>
        <w:t>;</w:t>
      </w:r>
    </w:p>
    <w:p w:rsidR="00BA0BC5" w:rsidRPr="00013E39" w:rsidRDefault="00BA0BC5" w:rsidP="004C587B">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окреслити т</w:t>
      </w:r>
      <w:r w:rsidRPr="00F55AB6">
        <w:rPr>
          <w:rFonts w:ascii="Times New Roman" w:hAnsi="Times New Roman" w:cs="Times New Roman"/>
          <w:sz w:val="28"/>
          <w:szCs w:val="28"/>
        </w:rPr>
        <w:t>еоретичні аспекти циркулярної економіки як глобальної моделі екорозвитку</w:t>
      </w:r>
      <w:r w:rsidRPr="00013E39">
        <w:rPr>
          <w:rFonts w:ascii="Times New Roman" w:hAnsi="Times New Roman" w:cs="Times New Roman"/>
          <w:sz w:val="28"/>
          <w:szCs w:val="28"/>
        </w:rPr>
        <w:t>;</w:t>
      </w:r>
    </w:p>
    <w:p w:rsidR="00BA0BC5" w:rsidRPr="00013E39" w:rsidRDefault="00BA0BC5" w:rsidP="004C587B">
      <w:pPr>
        <w:pStyle w:val="a3"/>
        <w:numPr>
          <w:ilvl w:val="0"/>
          <w:numId w:val="2"/>
        </w:numPr>
        <w:spacing w:after="0" w:line="360" w:lineRule="auto"/>
        <w:jc w:val="both"/>
        <w:rPr>
          <w:rFonts w:ascii="Times New Roman" w:hAnsi="Times New Roman" w:cs="Times New Roman"/>
          <w:spacing w:val="24"/>
          <w:sz w:val="28"/>
          <w:szCs w:val="28"/>
        </w:rPr>
      </w:pPr>
      <w:r>
        <w:rPr>
          <w:rFonts w:ascii="Times New Roman" w:hAnsi="Times New Roman" w:cs="Times New Roman"/>
          <w:sz w:val="28"/>
          <w:szCs w:val="28"/>
        </w:rPr>
        <w:t>проаналізувати д</w:t>
      </w:r>
      <w:r w:rsidRPr="00F55AB6">
        <w:rPr>
          <w:rFonts w:ascii="Times New Roman" w:hAnsi="Times New Roman" w:cs="Times New Roman"/>
          <w:sz w:val="28"/>
          <w:szCs w:val="28"/>
        </w:rPr>
        <w:t>екаплінг як модель боротьби із забрудненням навколишнього середовища: зростання та наративи для змін</w:t>
      </w:r>
      <w:r w:rsidRPr="00013E39">
        <w:rPr>
          <w:rFonts w:ascii="Times New Roman" w:hAnsi="Times New Roman" w:cs="Times New Roman"/>
          <w:b/>
          <w:spacing w:val="24"/>
          <w:sz w:val="28"/>
          <w:szCs w:val="28"/>
        </w:rPr>
        <w:t>;</w:t>
      </w:r>
    </w:p>
    <w:p w:rsidR="00BA0BC5" w:rsidRPr="00013E39" w:rsidRDefault="00BA0BC5" w:rsidP="004C587B">
      <w:pPr>
        <w:pStyle w:val="a3"/>
        <w:numPr>
          <w:ilvl w:val="0"/>
          <w:numId w:val="2"/>
        </w:numPr>
        <w:spacing w:after="0" w:line="360" w:lineRule="auto"/>
        <w:jc w:val="both"/>
        <w:rPr>
          <w:rFonts w:ascii="Times New Roman" w:hAnsi="Times New Roman" w:cs="Times New Roman"/>
          <w:sz w:val="28"/>
          <w:szCs w:val="28"/>
        </w:rPr>
      </w:pPr>
      <w:r w:rsidRPr="00013E39">
        <w:rPr>
          <w:rFonts w:ascii="Times New Roman" w:hAnsi="Times New Roman" w:cs="Times New Roman"/>
          <w:sz w:val="28"/>
          <w:szCs w:val="28"/>
        </w:rPr>
        <w:t xml:space="preserve">проаналізувати </w:t>
      </w:r>
      <w:r>
        <w:rPr>
          <w:rFonts w:ascii="Times New Roman" w:hAnsi="Times New Roman" w:cs="Times New Roman"/>
          <w:sz w:val="28"/>
          <w:szCs w:val="28"/>
        </w:rPr>
        <w:t>м</w:t>
      </w:r>
      <w:r w:rsidRPr="00F55AB6">
        <w:rPr>
          <w:rFonts w:ascii="Times New Roman" w:hAnsi="Times New Roman" w:cs="Times New Roman"/>
          <w:sz w:val="28"/>
          <w:szCs w:val="28"/>
        </w:rPr>
        <w:t>ісце України на ринку сировини та перспективи</w:t>
      </w:r>
      <w:r w:rsidRPr="00013E39">
        <w:rPr>
          <w:rFonts w:ascii="Times New Roman" w:hAnsi="Times New Roman" w:cs="Times New Roman"/>
          <w:sz w:val="28"/>
          <w:szCs w:val="28"/>
        </w:rPr>
        <w:t>;</w:t>
      </w:r>
    </w:p>
    <w:p w:rsidR="00BA0BC5" w:rsidRPr="00013E39" w:rsidRDefault="00BA0BC5" w:rsidP="004C587B">
      <w:pPr>
        <w:pStyle w:val="a3"/>
        <w:numPr>
          <w:ilvl w:val="0"/>
          <w:numId w:val="2"/>
        </w:numPr>
        <w:spacing w:after="0" w:line="360" w:lineRule="auto"/>
        <w:jc w:val="both"/>
        <w:rPr>
          <w:rFonts w:ascii="Times New Roman" w:hAnsi="Times New Roman" w:cs="Times New Roman"/>
          <w:sz w:val="28"/>
          <w:szCs w:val="28"/>
        </w:rPr>
      </w:pPr>
      <w:r w:rsidRPr="00013E39">
        <w:rPr>
          <w:rFonts w:ascii="Times New Roman" w:hAnsi="Times New Roman" w:cs="Times New Roman"/>
          <w:sz w:val="28"/>
          <w:szCs w:val="28"/>
        </w:rPr>
        <w:t xml:space="preserve">дослідити </w:t>
      </w:r>
      <w:r w:rsidRPr="00F55AB6">
        <w:rPr>
          <w:rFonts w:ascii="Times New Roman" w:hAnsi="Times New Roman" w:cs="Times New Roman"/>
          <w:sz w:val="28"/>
          <w:szCs w:val="28"/>
        </w:rPr>
        <w:t>У</w:t>
      </w:r>
      <w:r>
        <w:rPr>
          <w:rFonts w:ascii="Times New Roman" w:hAnsi="Times New Roman" w:cs="Times New Roman"/>
          <w:sz w:val="28"/>
          <w:szCs w:val="28"/>
        </w:rPr>
        <w:t>країну</w:t>
      </w:r>
      <w:r w:rsidRPr="00F55AB6">
        <w:rPr>
          <w:rFonts w:ascii="Times New Roman" w:hAnsi="Times New Roman" w:cs="Times New Roman"/>
          <w:sz w:val="28"/>
          <w:szCs w:val="28"/>
        </w:rPr>
        <w:t xml:space="preserve"> у подоланні проблеми забруднення навколишнього середовища та глобальні моделі екорозвитку</w:t>
      </w:r>
      <w:r w:rsidRPr="00013E39">
        <w:rPr>
          <w:rFonts w:ascii="Times New Roman" w:hAnsi="Times New Roman" w:cs="Times New Roman"/>
          <w:sz w:val="28"/>
          <w:szCs w:val="28"/>
        </w:rPr>
        <w:t>.</w:t>
      </w:r>
    </w:p>
    <w:p w:rsidR="00BA0BC5" w:rsidRPr="00013E39" w:rsidRDefault="00BA0BC5" w:rsidP="004C587B">
      <w:pPr>
        <w:spacing w:after="0" w:line="360" w:lineRule="auto"/>
        <w:ind w:firstLine="708"/>
        <w:jc w:val="both"/>
        <w:rPr>
          <w:rFonts w:ascii="Times New Roman" w:hAnsi="Times New Roman" w:cs="Times New Roman"/>
          <w:b/>
          <w:sz w:val="28"/>
          <w:szCs w:val="28"/>
        </w:rPr>
      </w:pPr>
      <w:r w:rsidRPr="00013E39">
        <w:rPr>
          <w:rFonts w:ascii="Times New Roman" w:hAnsi="Times New Roman" w:cs="Times New Roman"/>
          <w:b/>
          <w:sz w:val="28"/>
          <w:szCs w:val="28"/>
        </w:rPr>
        <w:t>Наукова новизна</w:t>
      </w:r>
      <w:r w:rsidRPr="00013E39">
        <w:rPr>
          <w:rFonts w:ascii="Times New Roman" w:hAnsi="Times New Roman" w:cs="Times New Roman"/>
          <w:sz w:val="28"/>
          <w:szCs w:val="28"/>
        </w:rPr>
        <w:t xml:space="preserve">. Проаналізовано особливості </w:t>
      </w:r>
      <w:r w:rsidRPr="00F55AB6">
        <w:rPr>
          <w:rFonts w:ascii="Times New Roman" w:hAnsi="Times New Roman" w:cs="Times New Roman"/>
          <w:sz w:val="28"/>
          <w:szCs w:val="28"/>
        </w:rPr>
        <w:t>проблеми забруднення навколишнього середовища та глобальні моделі екорозвитку.</w:t>
      </w:r>
    </w:p>
    <w:p w:rsidR="00BA0BC5" w:rsidRPr="00013E39" w:rsidRDefault="00BA0BC5" w:rsidP="004C587B">
      <w:pPr>
        <w:spacing w:after="0" w:line="360" w:lineRule="auto"/>
        <w:ind w:firstLine="708"/>
        <w:jc w:val="both"/>
        <w:rPr>
          <w:rFonts w:ascii="Times New Roman" w:hAnsi="Times New Roman" w:cs="Times New Roman"/>
          <w:sz w:val="28"/>
          <w:szCs w:val="28"/>
        </w:rPr>
      </w:pPr>
      <w:r w:rsidRPr="00013E39">
        <w:rPr>
          <w:rFonts w:ascii="Times New Roman" w:hAnsi="Times New Roman" w:cs="Times New Roman"/>
          <w:b/>
          <w:bCs/>
          <w:sz w:val="28"/>
          <w:szCs w:val="28"/>
        </w:rPr>
        <w:t>Методи дослідження.</w:t>
      </w:r>
      <w:r w:rsidRPr="00013E39">
        <w:rPr>
          <w:rFonts w:ascii="Times New Roman" w:hAnsi="Times New Roman" w:cs="Times New Roman"/>
          <w:sz w:val="28"/>
          <w:szCs w:val="28"/>
        </w:rPr>
        <w:t xml:space="preserve"> Теоретичною і методологічною основою дослі</w:t>
      </w:r>
      <w:r w:rsidRPr="00013E39">
        <w:rPr>
          <w:rFonts w:ascii="Times New Roman" w:hAnsi="Times New Roman" w:cs="Times New Roman"/>
          <w:sz w:val="28"/>
          <w:szCs w:val="28"/>
        </w:rPr>
        <w:softHyphen/>
        <w:t>дження виступають фундаментальні положення сучасної економічної теорії, наукові праці вітчизняних та зарубіжних уче</w:t>
      </w:r>
      <w:r w:rsidRPr="00013E39">
        <w:rPr>
          <w:rFonts w:ascii="Times New Roman" w:hAnsi="Times New Roman" w:cs="Times New Roman"/>
          <w:sz w:val="28"/>
          <w:szCs w:val="28"/>
        </w:rPr>
        <w:softHyphen/>
        <w:t>них. При вирішенні поставлених завдань було використано загальнонаукові й спеціальні методи наукового дослідження:  формальної і ді</w:t>
      </w:r>
      <w:r w:rsidRPr="00013E39">
        <w:rPr>
          <w:rFonts w:ascii="Times New Roman" w:hAnsi="Times New Roman" w:cs="Times New Roman"/>
          <w:sz w:val="28"/>
          <w:szCs w:val="28"/>
        </w:rPr>
        <w:softHyphen/>
        <w:t>алектичної логіки, комплексного, системного, структурно-функціонального аналізу, діалектичний, історичний і логічний методи, узагаль</w:t>
      </w:r>
      <w:r w:rsidRPr="00013E39">
        <w:rPr>
          <w:rFonts w:ascii="Times New Roman" w:hAnsi="Times New Roman" w:cs="Times New Roman"/>
          <w:sz w:val="28"/>
          <w:szCs w:val="28"/>
        </w:rPr>
        <w:softHyphen/>
        <w:t>нення, статистичні, економіко-математичні.</w:t>
      </w:r>
    </w:p>
    <w:p w:rsidR="00BA0BC5" w:rsidRPr="00013E39" w:rsidRDefault="00BA0BC5" w:rsidP="004C587B">
      <w:pPr>
        <w:spacing w:after="0" w:line="360" w:lineRule="auto"/>
        <w:ind w:firstLine="708"/>
        <w:jc w:val="both"/>
        <w:rPr>
          <w:sz w:val="28"/>
          <w:szCs w:val="28"/>
        </w:rPr>
      </w:pPr>
      <w:r w:rsidRPr="00013E39">
        <w:rPr>
          <w:rFonts w:ascii="Times New Roman" w:hAnsi="Times New Roman" w:cs="Times New Roman"/>
          <w:b/>
          <w:bCs/>
          <w:sz w:val="28"/>
          <w:szCs w:val="28"/>
        </w:rPr>
        <w:t xml:space="preserve">Інформаційною базою дослідження </w:t>
      </w:r>
      <w:r w:rsidRPr="00013E39">
        <w:rPr>
          <w:rFonts w:ascii="Times New Roman" w:hAnsi="Times New Roman" w:cs="Times New Roman"/>
          <w:sz w:val="28"/>
          <w:szCs w:val="28"/>
        </w:rPr>
        <w:t xml:space="preserve">є матеріали вітчизняних і зарубіжних дослідників, які аналізують проблематику </w:t>
      </w:r>
      <w:r w:rsidRPr="00F55AB6">
        <w:rPr>
          <w:rFonts w:ascii="Times New Roman" w:hAnsi="Times New Roman" w:cs="Times New Roman"/>
          <w:sz w:val="28"/>
          <w:szCs w:val="28"/>
        </w:rPr>
        <w:t>забруднення навколишнього середовища та глобальні моделі екорозвитку.</w:t>
      </w:r>
      <w:r w:rsidRPr="00013E39">
        <w:rPr>
          <w:rFonts w:ascii="Times New Roman" w:hAnsi="Times New Roman" w:cs="Times New Roman"/>
          <w:sz w:val="28"/>
          <w:szCs w:val="28"/>
        </w:rPr>
        <w:t xml:space="preserve"> Нормативно-правові акти Верховної Ради України, підзаконні нормативно-правові акти Кабінету </w:t>
      </w:r>
      <w:r w:rsidRPr="00013E39">
        <w:rPr>
          <w:rFonts w:ascii="Times New Roman" w:hAnsi="Times New Roman" w:cs="Times New Roman"/>
          <w:sz w:val="28"/>
          <w:szCs w:val="28"/>
        </w:rPr>
        <w:lastRenderedPageBreak/>
        <w:t>Міністрів України, Президента України, Міністерства праці й соціальної політики, Національного Банку України, доповіді Уповноваженого Верховної Ради з прав людини, матеріали Державного комітету статистики України. Серед інформаційних джерел дисертації також матеріали Міжнародної організації міграції (MOM), Міжнародної організації праці (МОП), Світового Банку, Міжнародного Валютного Фонду (МВФ), Організації економічного  співробітництва і    розвитку    (ОЕСР),    Ради    Європи,  Європейського Союзу (ЄС) та ін.</w:t>
      </w:r>
    </w:p>
    <w:p w:rsidR="00BA0BC5" w:rsidRDefault="00BA0BC5" w:rsidP="004C587B">
      <w:pPr>
        <w:spacing w:after="0" w:line="360" w:lineRule="auto"/>
        <w:ind w:firstLine="708"/>
        <w:jc w:val="both"/>
        <w:rPr>
          <w:rFonts w:ascii="Times New Roman" w:hAnsi="Times New Roman" w:cs="Times New Roman"/>
          <w:sz w:val="28"/>
          <w:szCs w:val="28"/>
        </w:rPr>
      </w:pPr>
      <w:r w:rsidRPr="00013E39">
        <w:rPr>
          <w:rFonts w:ascii="Times New Roman" w:hAnsi="Times New Roman"/>
          <w:b/>
          <w:sz w:val="28"/>
          <w:szCs w:val="28"/>
        </w:rPr>
        <w:t>Практичне значення</w:t>
      </w:r>
      <w:r w:rsidRPr="00013E39">
        <w:rPr>
          <w:rFonts w:ascii="Times New Roman" w:hAnsi="Times New Roman"/>
          <w:sz w:val="28"/>
          <w:szCs w:val="28"/>
        </w:rPr>
        <w:t xml:space="preserve">. </w:t>
      </w:r>
      <w:r w:rsidRPr="00013E39">
        <w:rPr>
          <w:rFonts w:ascii="Times New Roman" w:hAnsi="Times New Roman"/>
          <w:bCs/>
          <w:sz w:val="28"/>
          <w:szCs w:val="28"/>
        </w:rPr>
        <w:t xml:space="preserve">Практичнe значeння рeзультатів </w:t>
      </w:r>
      <w:r w:rsidRPr="00013E39">
        <w:rPr>
          <w:rFonts w:ascii="Times New Roman" w:hAnsi="Times New Roman"/>
          <w:sz w:val="28"/>
          <w:szCs w:val="28"/>
        </w:rPr>
        <w:t xml:space="preserve">полягає в узагальнeні тeорeтичних положeнь, авторському підході до аналізу </w:t>
      </w:r>
      <w:r w:rsidRPr="00013E39">
        <w:rPr>
          <w:rFonts w:ascii="Times New Roman" w:hAnsi="Times New Roman" w:cs="Times New Roman"/>
          <w:sz w:val="28"/>
          <w:szCs w:val="28"/>
        </w:rPr>
        <w:t xml:space="preserve">проблем та перспектив </w:t>
      </w:r>
      <w:r>
        <w:rPr>
          <w:rFonts w:ascii="Times New Roman" w:hAnsi="Times New Roman" w:cs="Times New Roman"/>
          <w:sz w:val="28"/>
          <w:szCs w:val="28"/>
        </w:rPr>
        <w:t xml:space="preserve">розвитку </w:t>
      </w:r>
      <w:r w:rsidRPr="00F55AB6">
        <w:rPr>
          <w:rFonts w:ascii="Times New Roman" w:hAnsi="Times New Roman" w:cs="Times New Roman"/>
          <w:sz w:val="28"/>
          <w:szCs w:val="28"/>
        </w:rPr>
        <w:t>проблеми забруднення навколишнього середовища та глобальні моделі екорозвитку.</w:t>
      </w:r>
    </w:p>
    <w:p w:rsidR="007E44E5" w:rsidRPr="00042BAD" w:rsidRDefault="007E44E5" w:rsidP="007E44E5">
      <w:pPr>
        <w:tabs>
          <w:tab w:val="left" w:pos="540"/>
        </w:tabs>
        <w:spacing w:after="0" w:line="360" w:lineRule="auto"/>
        <w:ind w:firstLine="709"/>
        <w:jc w:val="both"/>
        <w:rPr>
          <w:rFonts w:ascii="Times New Roman" w:hAnsi="Times New Roman" w:cs="Times New Roman"/>
          <w:color w:val="000000" w:themeColor="text1"/>
          <w:sz w:val="28"/>
          <w:szCs w:val="28"/>
        </w:rPr>
      </w:pPr>
      <w:r w:rsidRPr="00042BAD">
        <w:rPr>
          <w:rFonts w:ascii="Times New Roman" w:hAnsi="Times New Roman" w:cs="Times New Roman"/>
          <w:b/>
          <w:bCs/>
          <w:iCs/>
          <w:color w:val="000000" w:themeColor="text1"/>
          <w:sz w:val="28"/>
          <w:szCs w:val="28"/>
        </w:rPr>
        <w:t>Апробація результатів дослідження</w:t>
      </w:r>
      <w:r w:rsidRPr="00042BAD">
        <w:rPr>
          <w:rFonts w:ascii="Times New Roman" w:hAnsi="Times New Roman" w:cs="Times New Roman"/>
          <w:bCs/>
          <w:iCs/>
          <w:color w:val="000000" w:themeColor="text1"/>
          <w:sz w:val="28"/>
          <w:szCs w:val="28"/>
        </w:rPr>
        <w:t>. Основні положення</w:t>
      </w:r>
      <w:r w:rsidRPr="00042BAD">
        <w:rPr>
          <w:rFonts w:ascii="Times New Roman" w:hAnsi="Times New Roman" w:cs="Times New Roman"/>
          <w:color w:val="000000" w:themeColor="text1"/>
          <w:sz w:val="28"/>
          <w:szCs w:val="28"/>
        </w:rPr>
        <w:t xml:space="preserve"> та наукові результати дослідження пройшли апробацію в Міжнародній науково-практичній Інтернет-конференції студентів та молодих вчених «Проблеми сталого, креативного і прозорого розвитку: глобальний, європейський та український виміри» (14 – 15 березня 2019 р., м. Тернопіль).   </w:t>
      </w:r>
    </w:p>
    <w:p w:rsidR="007E44E5" w:rsidRPr="00042BAD" w:rsidRDefault="007E44E5" w:rsidP="004C587B">
      <w:pPr>
        <w:spacing w:after="0" w:line="360" w:lineRule="auto"/>
        <w:ind w:firstLine="708"/>
        <w:jc w:val="both"/>
        <w:rPr>
          <w:rFonts w:ascii="Times New Roman" w:hAnsi="Times New Roman" w:cs="Times New Roman"/>
          <w:b/>
          <w:sz w:val="28"/>
          <w:szCs w:val="28"/>
        </w:rPr>
      </w:pPr>
    </w:p>
    <w:p w:rsidR="00BA0BC5" w:rsidRPr="00F55AB6" w:rsidRDefault="00BA0BC5" w:rsidP="004C587B">
      <w:pPr>
        <w:spacing w:after="0" w:line="360" w:lineRule="auto"/>
        <w:ind w:firstLine="708"/>
        <w:jc w:val="both"/>
        <w:rPr>
          <w:rFonts w:ascii="Times New Roman" w:hAnsi="Times New Roman"/>
          <w:bCs/>
          <w:sz w:val="28"/>
          <w:szCs w:val="28"/>
        </w:rPr>
      </w:pPr>
      <w:r w:rsidRPr="00F55AB6">
        <w:rPr>
          <w:rFonts w:ascii="Times New Roman" w:hAnsi="Times New Roman"/>
          <w:b/>
          <w:bCs/>
          <w:sz w:val="28"/>
          <w:szCs w:val="28"/>
        </w:rPr>
        <w:t>Структура та обсяг роботи</w:t>
      </w:r>
      <w:r w:rsidRPr="00F55AB6">
        <w:rPr>
          <w:rFonts w:ascii="Times New Roman" w:hAnsi="Times New Roman"/>
          <w:bCs/>
          <w:sz w:val="28"/>
          <w:szCs w:val="28"/>
        </w:rPr>
        <w:t xml:space="preserve">.  </w:t>
      </w:r>
    </w:p>
    <w:p w:rsidR="00BA0BC5" w:rsidRDefault="00BA0BC5" w:rsidP="004C587B">
      <w:pPr>
        <w:spacing w:after="0" w:line="360" w:lineRule="auto"/>
        <w:ind w:firstLine="708"/>
        <w:jc w:val="both"/>
        <w:rPr>
          <w:rFonts w:ascii="Times New Roman" w:hAnsi="Times New Roman" w:cs="Times New Roman"/>
          <w:sz w:val="28"/>
          <w:szCs w:val="28"/>
        </w:rPr>
      </w:pPr>
      <w:r w:rsidRPr="00F55AB6">
        <w:rPr>
          <w:rFonts w:ascii="Times New Roman" w:hAnsi="Times New Roman" w:cs="Times New Roman"/>
          <w:sz w:val="28"/>
          <w:szCs w:val="28"/>
        </w:rPr>
        <w:t xml:space="preserve">Магістерська робота складається із вступу, трьох розділів, висновків, додатків та списку використаних </w:t>
      </w:r>
      <w:r w:rsidRPr="000047F7">
        <w:rPr>
          <w:rFonts w:ascii="Times New Roman" w:hAnsi="Times New Roman" w:cs="Times New Roman"/>
          <w:sz w:val="28"/>
          <w:szCs w:val="28"/>
        </w:rPr>
        <w:t>джерел. Заг</w:t>
      </w:r>
      <w:r w:rsidR="000047F7" w:rsidRPr="000047F7">
        <w:rPr>
          <w:rFonts w:ascii="Times New Roman" w:hAnsi="Times New Roman" w:cs="Times New Roman"/>
          <w:sz w:val="28"/>
          <w:szCs w:val="28"/>
        </w:rPr>
        <w:t>альний обсяг роботи становить 81 сторінок. У тексті розміщено 11</w:t>
      </w:r>
      <w:r w:rsidRPr="000047F7">
        <w:rPr>
          <w:rFonts w:ascii="Times New Roman" w:hAnsi="Times New Roman" w:cs="Times New Roman"/>
          <w:sz w:val="28"/>
          <w:szCs w:val="28"/>
        </w:rPr>
        <w:t xml:space="preserve"> рисунків. Список використаних джерел налічує 56 найменування.</w:t>
      </w:r>
      <w:r w:rsidRPr="0045171F">
        <w:rPr>
          <w:rFonts w:ascii="Times New Roman" w:hAnsi="Times New Roman" w:cs="Times New Roman"/>
          <w:sz w:val="28"/>
          <w:szCs w:val="28"/>
        </w:rPr>
        <w:t xml:space="preserve">  </w:t>
      </w:r>
    </w:p>
    <w:p w:rsidR="007E44E5" w:rsidRDefault="007E44E5" w:rsidP="004C587B">
      <w:pPr>
        <w:spacing w:after="0" w:line="360" w:lineRule="auto"/>
        <w:ind w:firstLine="851"/>
        <w:jc w:val="center"/>
        <w:rPr>
          <w:rFonts w:ascii="Times New Roman" w:hAnsi="Times New Roman" w:cs="Times New Roman"/>
          <w:sz w:val="28"/>
          <w:szCs w:val="28"/>
        </w:rPr>
      </w:pPr>
    </w:p>
    <w:p w:rsidR="007E44E5" w:rsidRDefault="007E44E5" w:rsidP="004C587B">
      <w:pPr>
        <w:spacing w:after="0" w:line="360" w:lineRule="auto"/>
        <w:ind w:firstLine="851"/>
        <w:jc w:val="center"/>
        <w:rPr>
          <w:rFonts w:ascii="Times New Roman" w:hAnsi="Times New Roman" w:cs="Times New Roman"/>
          <w:sz w:val="28"/>
          <w:szCs w:val="28"/>
        </w:rPr>
      </w:pPr>
    </w:p>
    <w:p w:rsidR="007E44E5" w:rsidRDefault="007E44E5" w:rsidP="004C587B">
      <w:pPr>
        <w:spacing w:after="0" w:line="360" w:lineRule="auto"/>
        <w:ind w:firstLine="851"/>
        <w:jc w:val="center"/>
        <w:rPr>
          <w:rFonts w:ascii="Times New Roman" w:hAnsi="Times New Roman" w:cs="Times New Roman"/>
          <w:sz w:val="28"/>
          <w:szCs w:val="28"/>
        </w:rPr>
      </w:pPr>
    </w:p>
    <w:p w:rsidR="007E44E5" w:rsidRDefault="007E44E5" w:rsidP="004C587B">
      <w:pPr>
        <w:spacing w:after="0" w:line="360" w:lineRule="auto"/>
        <w:ind w:firstLine="851"/>
        <w:jc w:val="center"/>
        <w:rPr>
          <w:rFonts w:ascii="Times New Roman" w:hAnsi="Times New Roman" w:cs="Times New Roman"/>
          <w:sz w:val="28"/>
          <w:szCs w:val="28"/>
        </w:rPr>
      </w:pPr>
    </w:p>
    <w:p w:rsidR="007E44E5" w:rsidRDefault="007E44E5" w:rsidP="004C587B">
      <w:pPr>
        <w:spacing w:after="0" w:line="360" w:lineRule="auto"/>
        <w:ind w:firstLine="851"/>
        <w:jc w:val="center"/>
        <w:rPr>
          <w:rFonts w:ascii="Times New Roman" w:hAnsi="Times New Roman" w:cs="Times New Roman"/>
          <w:sz w:val="28"/>
          <w:szCs w:val="28"/>
        </w:rPr>
      </w:pPr>
    </w:p>
    <w:p w:rsidR="007E44E5" w:rsidRDefault="007E44E5" w:rsidP="004C587B">
      <w:pPr>
        <w:spacing w:after="0" w:line="360" w:lineRule="auto"/>
        <w:ind w:firstLine="851"/>
        <w:jc w:val="center"/>
        <w:rPr>
          <w:rFonts w:ascii="Times New Roman" w:hAnsi="Times New Roman" w:cs="Times New Roman"/>
          <w:sz w:val="28"/>
          <w:szCs w:val="28"/>
        </w:rPr>
      </w:pPr>
    </w:p>
    <w:p w:rsidR="00042BAD" w:rsidRDefault="00042BAD" w:rsidP="004C587B">
      <w:pPr>
        <w:spacing w:after="0" w:line="360" w:lineRule="auto"/>
        <w:ind w:firstLine="851"/>
        <w:jc w:val="center"/>
        <w:rPr>
          <w:rFonts w:ascii="Times New Roman" w:hAnsi="Times New Roman" w:cs="Times New Roman"/>
          <w:b/>
          <w:sz w:val="28"/>
          <w:szCs w:val="28"/>
        </w:rPr>
      </w:pPr>
    </w:p>
    <w:p w:rsidR="00BA0BC5" w:rsidRDefault="00BA0BC5" w:rsidP="004C587B">
      <w:pPr>
        <w:spacing w:after="0" w:line="360" w:lineRule="auto"/>
        <w:ind w:firstLine="851"/>
        <w:jc w:val="center"/>
        <w:rPr>
          <w:rFonts w:ascii="Times New Roman" w:hAnsi="Times New Roman" w:cs="Times New Roman"/>
          <w:b/>
          <w:sz w:val="28"/>
          <w:szCs w:val="28"/>
        </w:rPr>
      </w:pPr>
      <w:r w:rsidRPr="004C587B">
        <w:rPr>
          <w:rFonts w:ascii="Times New Roman" w:hAnsi="Times New Roman" w:cs="Times New Roman"/>
          <w:b/>
          <w:sz w:val="28"/>
          <w:szCs w:val="28"/>
        </w:rPr>
        <w:lastRenderedPageBreak/>
        <w:t>РОЗДІЛ 1</w:t>
      </w:r>
    </w:p>
    <w:p w:rsidR="004C587B" w:rsidRPr="004C587B" w:rsidRDefault="004C587B" w:rsidP="004C587B">
      <w:pPr>
        <w:spacing w:after="0" w:line="360" w:lineRule="auto"/>
        <w:ind w:firstLine="851"/>
        <w:jc w:val="center"/>
        <w:rPr>
          <w:rFonts w:ascii="Times New Roman" w:hAnsi="Times New Roman" w:cs="Times New Roman"/>
          <w:b/>
          <w:sz w:val="28"/>
          <w:szCs w:val="28"/>
        </w:rPr>
      </w:pPr>
      <w:r w:rsidRPr="00B2240C">
        <w:rPr>
          <w:rFonts w:ascii="Times New Roman" w:hAnsi="Times New Roman" w:cs="Times New Roman"/>
          <w:b/>
          <w:sz w:val="28"/>
          <w:szCs w:val="28"/>
        </w:rPr>
        <w:t>КОНЦЕПТ</w:t>
      </w:r>
      <w:r>
        <w:rPr>
          <w:rFonts w:ascii="Times New Roman" w:hAnsi="Times New Roman" w:cs="Times New Roman"/>
          <w:b/>
          <w:sz w:val="28"/>
          <w:szCs w:val="28"/>
        </w:rPr>
        <w:t xml:space="preserve"> ГЛОБАЛЬНИХ МОДЕЛЕЙ </w:t>
      </w:r>
      <w:r w:rsidRPr="00B2240C">
        <w:rPr>
          <w:rFonts w:ascii="Times New Roman" w:hAnsi="Times New Roman" w:cs="Times New Roman"/>
          <w:b/>
          <w:sz w:val="28"/>
          <w:szCs w:val="28"/>
        </w:rPr>
        <w:t>ЕКО</w:t>
      </w:r>
      <w:r>
        <w:rPr>
          <w:rFonts w:ascii="Times New Roman" w:hAnsi="Times New Roman" w:cs="Times New Roman"/>
          <w:b/>
          <w:sz w:val="28"/>
          <w:szCs w:val="28"/>
        </w:rPr>
        <w:t>РОЗВИТКУ КРАЇН</w:t>
      </w:r>
    </w:p>
    <w:p w:rsidR="00EB30A5" w:rsidRPr="004C587B" w:rsidRDefault="004C587B" w:rsidP="004C587B">
      <w:pPr>
        <w:pStyle w:val="a3"/>
        <w:numPr>
          <w:ilvl w:val="1"/>
          <w:numId w:val="3"/>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Теоретизація  екологічного розвитку країн в глобальному вимірі</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Ембріональний період (до 1972 р.)</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Хоча терміни «стійкість» або «стабільний» вперше з’явилися у 20 столітті, еквівалент</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поняття використовувалися протягом століть. Ідея SD має довгу історію в Китаї, і концепція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SD можна простежити до основної ідеї китайської класичної філософії — «</w:t>
      </w:r>
      <w:r w:rsidRPr="00B63E31">
        <w:rPr>
          <w:rFonts w:ascii="Times New Roman" w:eastAsia="MS Gothic" w:hAnsi="Times New Roman" w:cs="Times New Roman"/>
          <w:sz w:val="28"/>
          <w:szCs w:val="28"/>
        </w:rPr>
        <w:t>天人合一</w:t>
      </w:r>
      <w:r w:rsidRPr="00B63E31">
        <w:rPr>
          <w:rFonts w:ascii="Times New Roman" w:hAnsi="Times New Roman" w:cs="Times New Roman"/>
          <w:sz w:val="28"/>
          <w:szCs w:val="28"/>
        </w:rPr>
        <w:t>» (Небо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людей в одному) [31]. Ще в епоху Західної династії Чжоу (1100-771 рр. до н.е.) імператори зрозуміли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що гори, ліси, річки слід раціонально використовувати за законами природи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а не надмірно його експлуатувати. Відтоді вживалися різноманітні заходи щодо охорони природи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ресурси, такі як створення призначених управлінських відділів, забезпечення державної монополії,</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збір податків з гір і садів, видання заборон [1]. Згодом по-іншому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причини погіршення довкілля, включаючи землеробство, лісозаготівлю та видобуток корисних копалин, обговорювалися в</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давньоєгипетська, месопотамська, грецька та римська цивілізації [3]. І якісь заходи були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також рекомендовано. Варрон (І століття нашої ери) стверджував, що «ми можемо, обережно зменшити злі наслідки» [32].</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Термін «стабільність» вперше був використаний у монографії Карловіца «Ореестація та економіка»,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який був опублікований у 1713 р. і систематично розглядав питання сталого лісового господарства [33].</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Німецький словник, який був опублікований у 1809 році, інтерпретував термін «стійкість» як щось</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на яку люди все ще можуть покладатися, коли все інше нежиттєздатне. Видно, що рання думка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УР в основному відбивається на збалансованому використанні природних ресурсів.</w:t>
      </w:r>
      <w:r w:rsidR="00B63E31">
        <w:rPr>
          <w:rFonts w:ascii="Times New Roman" w:hAnsi="Times New Roman" w:cs="Times New Roman"/>
          <w:sz w:val="28"/>
          <w:szCs w:val="28"/>
        </w:rPr>
        <w:t xml:space="preserve"> </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Період формування (1972–1987)</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Конференція ООН з навколишнього середовища в 1972 році</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З визнанням того, що політика розвитку насамперед зосереджена на економічному зростанні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збільшилася частота серйозних екологічних проблем, </w:t>
      </w:r>
      <w:r w:rsidRPr="00B63E31">
        <w:rPr>
          <w:rFonts w:ascii="Times New Roman" w:hAnsi="Times New Roman" w:cs="Times New Roman"/>
          <w:sz w:val="28"/>
          <w:szCs w:val="28"/>
        </w:rPr>
        <w:lastRenderedPageBreak/>
        <w:t>Організація Об'єднаних Націй провела всесвітній саміт</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 Стокгольмі, Швеція, у 1972 році. Конференція була першою конференцією щодо навколишнього середовища людини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символізував початок концепції УР [34]. Саміт закликав усі країни світу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посилити політику екологічного менеджменту, одночасно розвиваючи свою економіку. Відтоді,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інституційні зміни, пов'язані з охороною навколишнього середовища та енергійною екологічною обстановкою</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управління просунулися. Однак на саміті виникли серйозні глобальні розбіжності,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тобто, північні розвинені країни більше хвилювалися екологічними проблемами, тоді як</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країни, що розвиваються на півдні приділяли більше уваги проблемам бідності.</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1987 році Всесвітня комісія з навколишнього середовища та розвитку (WCED) підготувала доповідь</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про людський розвиток, «Наше спільне майбутнє», яка була вперше систематично сформульована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визначення SD. УР було визначено як «сталий розвиток — це розвиток, що відповідає вимогам</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потреби сьогодення без шкоди для можливості майбутніх поколінь задовольняти свої потреби» [35].</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доповіді йшлося про глобальне становище населення, продуктів харчування, видів і генетичних ресурсів, енергії,</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промисловість, людське житло і т. д. Крім того, у доповіді систематично обговорювався ряд основних</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економічні, соціальні та екологічні проблеми, з якими стикається людство, і чітко запропонував три точки зору:</w:t>
      </w:r>
    </w:p>
    <w:p w:rsid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 xml:space="preserve">1) кризу екології, енергетики та розвитку неможливо розділити; </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2) ресурси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енергії на землі недостатньо для потреб людського розвитку; і 3) поточний розвиток</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моделі мають бути змінені в інтересах нинішнього та майбутніх поколінь [35]. Ці визначення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точки зору є дуже загальними і стислими, але їм не вистачає прямого й практичного використання.</w:t>
      </w:r>
      <w:r w:rsidR="00B63E31">
        <w:rPr>
          <w:rFonts w:ascii="Times New Roman" w:hAnsi="Times New Roman" w:cs="Times New Roman"/>
          <w:sz w:val="28"/>
          <w:szCs w:val="28"/>
        </w:rPr>
        <w:t xml:space="preserve"> </w:t>
      </w:r>
    </w:p>
    <w:p w:rsidR="004731E8" w:rsidRDefault="004C587B" w:rsidP="004C587B">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29917C0A" wp14:editId="4D505776">
            <wp:extent cx="5486400" cy="3200400"/>
            <wp:effectExtent l="0" t="0" r="5080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4731E8" w:rsidRPr="004C587B" w:rsidRDefault="004C587B" w:rsidP="004C587B">
      <w:pPr>
        <w:spacing w:after="0" w:line="360" w:lineRule="auto"/>
        <w:jc w:val="center"/>
        <w:rPr>
          <w:rFonts w:ascii="Times New Roman" w:hAnsi="Times New Roman" w:cs="Times New Roman"/>
          <w:b/>
          <w:sz w:val="28"/>
          <w:szCs w:val="28"/>
        </w:rPr>
      </w:pPr>
      <w:r w:rsidRPr="004C587B">
        <w:rPr>
          <w:rFonts w:ascii="Times New Roman" w:hAnsi="Times New Roman" w:cs="Times New Roman"/>
          <w:b/>
          <w:sz w:val="28"/>
          <w:szCs w:val="28"/>
        </w:rPr>
        <w:t xml:space="preserve">Рис. 1.1. </w:t>
      </w:r>
      <w:r>
        <w:rPr>
          <w:rFonts w:ascii="Times New Roman" w:hAnsi="Times New Roman" w:cs="Times New Roman"/>
          <w:b/>
          <w:sz w:val="28"/>
          <w:szCs w:val="28"/>
        </w:rPr>
        <w:t xml:space="preserve"> Період становлення глобальних моделей екорозвитку країн</w:t>
      </w:r>
    </w:p>
    <w:p w:rsidR="004731E8" w:rsidRPr="00C2644D" w:rsidRDefault="00C2644D" w:rsidP="00C2644D">
      <w:pPr>
        <w:spacing w:after="0" w:line="360" w:lineRule="auto"/>
        <w:jc w:val="both"/>
        <w:rPr>
          <w:rFonts w:ascii="Times New Roman" w:hAnsi="Times New Roman" w:cs="Times New Roman"/>
          <w:sz w:val="24"/>
          <w:szCs w:val="24"/>
        </w:rPr>
      </w:pPr>
      <w:r w:rsidRPr="00C2644D">
        <w:rPr>
          <w:rFonts w:ascii="Times New Roman" w:hAnsi="Times New Roman" w:cs="Times New Roman"/>
          <w:sz w:val="24"/>
          <w:szCs w:val="24"/>
        </w:rPr>
        <w:t>Джерело: складено автором</w:t>
      </w:r>
    </w:p>
    <w:p w:rsidR="004731E8" w:rsidRDefault="004731E8" w:rsidP="004C587B">
      <w:pPr>
        <w:spacing w:after="0" w:line="360" w:lineRule="auto"/>
        <w:ind w:firstLine="851"/>
        <w:jc w:val="both"/>
        <w:rPr>
          <w:rFonts w:ascii="Times New Roman" w:hAnsi="Times New Roman" w:cs="Times New Roman"/>
          <w:sz w:val="28"/>
          <w:szCs w:val="28"/>
        </w:rPr>
      </w:pP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Період розвитку (1987 – дотепер)</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Конференція ООН з навколишнього середовища та розвитку 1992 року</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1992 році Організація Об'єднаних Націй провела конференцію в Ріо-де-Жанейро, Бразилія, присвячену питанням навколишнього середовища.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і розвиток, починаючи шлях SD у глобальному масштабі. Конференція пройшла і підписала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«Ріо-де-Жанейро декларація з навколишнього середовища та розвитку» та «Порядок денний 21». Більше того, одна угода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було визначено «загальну, але різну відповідальність» розвинутих країн і країн, що розвиваються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 вирішенні глобальних екологічних проблем, а також потреби розвинутих країн у фінансуванні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передати технологі</w:t>
      </w:r>
      <w:r w:rsidRPr="00B63E31">
        <w:rPr>
          <w:rFonts w:ascii="Times New Roman" w:hAnsi="Times New Roman" w:cs="Times New Roman"/>
          <w:i/>
          <w:sz w:val="28"/>
          <w:szCs w:val="28"/>
        </w:rPr>
        <w:t>ї країнам, що розвиваються. Ця зустріч також сформулювала цілі та плани дій</w:t>
      </w:r>
      <w:r w:rsidR="00B63E31">
        <w:rPr>
          <w:rFonts w:ascii="Times New Roman" w:hAnsi="Times New Roman" w:cs="Times New Roman"/>
          <w:i/>
          <w:sz w:val="28"/>
          <w:szCs w:val="28"/>
        </w:rPr>
        <w:t xml:space="preserve"> </w:t>
      </w:r>
      <w:r w:rsidRPr="00B63E31">
        <w:rPr>
          <w:rFonts w:ascii="Times New Roman" w:hAnsi="Times New Roman" w:cs="Times New Roman"/>
          <w:sz w:val="28"/>
          <w:szCs w:val="28"/>
        </w:rPr>
        <w:t>впроваджувати сталий розвиток та запровадити принцип побудови глобального партнерства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спільно вирішувати глобальні екологічні проблеми [34]. Це був перший випадок в історії людства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Стратегія </w:t>
      </w:r>
      <w:r w:rsidR="00C2644D">
        <w:rPr>
          <w:rFonts w:ascii="Times New Roman" w:hAnsi="Times New Roman" w:cs="Times New Roman"/>
          <w:sz w:val="28"/>
          <w:szCs w:val="28"/>
        </w:rPr>
        <w:t>С</w:t>
      </w:r>
      <w:r w:rsidRPr="00B63E31">
        <w:rPr>
          <w:rFonts w:ascii="Times New Roman" w:hAnsi="Times New Roman" w:cs="Times New Roman"/>
          <w:sz w:val="28"/>
          <w:szCs w:val="28"/>
        </w:rPr>
        <w:t>Р була реалізована з концепції в глобальну дію [36], яка встановила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значення </w:t>
      </w:r>
      <w:r w:rsidR="00C2644D">
        <w:rPr>
          <w:rFonts w:ascii="Times New Roman" w:hAnsi="Times New Roman" w:cs="Times New Roman"/>
          <w:sz w:val="28"/>
          <w:szCs w:val="28"/>
        </w:rPr>
        <w:t>С</w:t>
      </w:r>
      <w:r w:rsidRPr="00B63E31">
        <w:rPr>
          <w:rFonts w:ascii="Times New Roman" w:hAnsi="Times New Roman" w:cs="Times New Roman"/>
          <w:sz w:val="28"/>
          <w:szCs w:val="28"/>
        </w:rPr>
        <w:t>Р на рівні міжнародної політики. З тих пір SD став консенсусом</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всього людства [37]. Крім того, конференція розглядала SD як основну концепцію вирішення проблеми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очевидне протиріччя між економічним </w:t>
      </w:r>
      <w:r w:rsidRPr="00B63E31">
        <w:rPr>
          <w:rFonts w:ascii="Times New Roman" w:hAnsi="Times New Roman" w:cs="Times New Roman"/>
          <w:sz w:val="28"/>
          <w:szCs w:val="28"/>
        </w:rPr>
        <w:lastRenderedPageBreak/>
        <w:t>розвитком та охороною навколишнього середовища, вказуючи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що </w:t>
      </w:r>
      <w:r w:rsidR="00C2644D">
        <w:rPr>
          <w:rFonts w:ascii="Times New Roman" w:hAnsi="Times New Roman" w:cs="Times New Roman"/>
          <w:sz w:val="28"/>
          <w:szCs w:val="28"/>
        </w:rPr>
        <w:t>С</w:t>
      </w:r>
      <w:r w:rsidRPr="00B63E31">
        <w:rPr>
          <w:rFonts w:ascii="Times New Roman" w:hAnsi="Times New Roman" w:cs="Times New Roman"/>
          <w:sz w:val="28"/>
          <w:szCs w:val="28"/>
        </w:rPr>
        <w:t>Р передбачає стійкий розвиток щодо ресурсів та навколишнього середовища.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Конференція також підкреслила поляризацію суспільства та важливість справедливості, таким чином представивши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соціальний вимір теорії </w:t>
      </w:r>
      <w:r w:rsidR="00C2644D">
        <w:rPr>
          <w:rFonts w:ascii="Times New Roman" w:hAnsi="Times New Roman" w:cs="Times New Roman"/>
          <w:sz w:val="28"/>
          <w:szCs w:val="28"/>
        </w:rPr>
        <w:t>С</w:t>
      </w:r>
      <w:r w:rsidRPr="00B63E31">
        <w:rPr>
          <w:rFonts w:ascii="Times New Roman" w:hAnsi="Times New Roman" w:cs="Times New Roman"/>
          <w:sz w:val="28"/>
          <w:szCs w:val="28"/>
        </w:rPr>
        <w:t>Р. Виходячи з цього теоретичного прогресу, три стовпи SD були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розглядаються як економіка, суспільство та навколишнє середовище [38].</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вересні 2000 року в Організації Об'єднаних Націй відбувся Саміт тисячоліття ООН</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Штаб-квартира в Нью-Йорку. Представники 189 країн прийняли «Організацію Об’єднаних Націй</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Декларація тисячоліття», яка ототожнювала Цілі розвитку тисячоліття (ЦРТ) з</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розвиток та ліквідація крайньої бідності в центрі уваги, включаючи вісім ключових сфер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21 оперативна ціль [39]. Ці цілі стали міжнародно визнаною основою для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керувати національним розвитком і співробітництвом протягом наступних 15 років і надавати рекомендації</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для розвитку людства в новому столітті.</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Незважаючи на великі політичні досягнення щодо СД, багатьом вченим це було важко</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концептуалізувати та виміряти SD [29,40]. У 1999 році Національна дослідницька рада (NRC) опублікувала 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звіт під назвою «Наша спільна подорож: перехід до сталого розвитку». Звіт висунуто</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слово «наука про сталий розвиток» і пояснила його як «науку сталого розвитку» [41].</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2001 році статтю «Наука сталого розвитку» можна було розглядати як віху з моменту народження стійкого розвитку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Наука [42]. У статті наголошується, що наука про сталість має на меті пояснити взаємодію</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між природними та соціальними характеристиками та покращити здатність спрямовувати цю взаємодію</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більш стійка траєкторія. Відтоді сталий розвиток став науковою темою</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охоплюють сільське господарство, екологічну економіку, лісове господарство тощо [12,43].</w:t>
      </w:r>
    </w:p>
    <w:p w:rsidR="00940C00" w:rsidRPr="00B63E31" w:rsidRDefault="00940C0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Після 1992 року конфлікт інтересів між економікою, суспільством та навколишнім середовищем став</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все більш очевидним. Необхідність впровадження концепції кооперативного управління глобальною</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зацікавлені сторони стали більш вирішальними [44]. На цьому фоні Організація Об’єднаних </w:t>
      </w:r>
      <w:r w:rsidRPr="00B63E31">
        <w:rPr>
          <w:rFonts w:ascii="Times New Roman" w:hAnsi="Times New Roman" w:cs="Times New Roman"/>
          <w:sz w:val="28"/>
          <w:szCs w:val="28"/>
        </w:rPr>
        <w:lastRenderedPageBreak/>
        <w:t>Націй провела «Ріо+20»</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Саміт 2012 року. На саміті було зазначено, що зелена економіка є ключем до вирішення конфліктів між</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розвиток і навколишнє середовище [45]. Більше того, глобальне кооперативне управління може вирішувати конфлікти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серед економічних, соціальних та екологічних проблем. До кінця саміту SD розширився з трьох</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чотири стовпи: економічний, соціальний, екологічний та управлінський [46].</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У вересні 2015 року понад 150 глав держав і урядів брали участь в роботі Організації Об’єднаних Націй</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Саміт зі сталого розвитку в штаб-квартирі ООН у Нью-Йорку. Самміт</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оцінив виконання ЦРТ та ухвалив «Трансформуючи наш світ — Порядок денний до 2030 року».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 порядку денному були визначені Цілі сталого розвитку, що охоплює 17 напрямків діяльності та 169 конкретних цілей. У порівнянні з ЦРТ змінилися Ц</w:t>
      </w:r>
      <w:r w:rsidR="00C2644D">
        <w:rPr>
          <w:rFonts w:ascii="Times New Roman" w:hAnsi="Times New Roman" w:cs="Times New Roman"/>
          <w:sz w:val="28"/>
          <w:szCs w:val="28"/>
        </w:rPr>
        <w:t>С</w:t>
      </w:r>
      <w:r w:rsidRPr="00B63E31">
        <w:rPr>
          <w:rFonts w:ascii="Times New Roman" w:hAnsi="Times New Roman" w:cs="Times New Roman"/>
          <w:sz w:val="28"/>
          <w:szCs w:val="28"/>
        </w:rPr>
        <w:t>Р</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традиційна концепція розвитку принципово. Окрім переслідування виключно економічного зростання,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Ц</w:t>
      </w:r>
      <w:r w:rsidR="00C2644D">
        <w:rPr>
          <w:rFonts w:ascii="Times New Roman" w:hAnsi="Times New Roman" w:cs="Times New Roman"/>
          <w:sz w:val="28"/>
          <w:szCs w:val="28"/>
        </w:rPr>
        <w:t>С</w:t>
      </w:r>
      <w:r w:rsidRPr="00B63E31">
        <w:rPr>
          <w:rFonts w:ascii="Times New Roman" w:hAnsi="Times New Roman" w:cs="Times New Roman"/>
          <w:sz w:val="28"/>
          <w:szCs w:val="28"/>
        </w:rPr>
        <w:t>Р висувають концепцію інклюзивного зростання та SD, що включає скоординовані економічні, соціальні,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і екологічний розвиток.</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В даний час більшість вчених погоджуються з класифікацією природного капіталу, промислового капіталу,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людський капітал і соціальний капітал [27,48]. Щоб досягти </w:t>
      </w:r>
      <w:r w:rsidR="00C2644D">
        <w:rPr>
          <w:rFonts w:ascii="Times New Roman" w:hAnsi="Times New Roman" w:cs="Times New Roman"/>
          <w:sz w:val="28"/>
          <w:szCs w:val="28"/>
        </w:rPr>
        <w:t>С</w:t>
      </w:r>
      <w:r w:rsidRPr="00B63E31">
        <w:rPr>
          <w:rFonts w:ascii="Times New Roman" w:hAnsi="Times New Roman" w:cs="Times New Roman"/>
          <w:sz w:val="28"/>
          <w:szCs w:val="28"/>
        </w:rPr>
        <w:t>Р у людському суспільстві, воно повинно залежати від</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запас чотирьох видів капіталу та їх співвідношення протягом певного періоду. Розуміння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відносини між чотирма типами капіталу мають важливий вплив на те, як інтерпретувати і</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оцінити стійкість [31]. В даний час існує три основні інтерпретації взаємної заміни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між природним капіталом і промисловим капіталом (рис. </w:t>
      </w:r>
      <w:r w:rsidR="00C2644D">
        <w:rPr>
          <w:rFonts w:ascii="Times New Roman" w:hAnsi="Times New Roman" w:cs="Times New Roman"/>
          <w:sz w:val="28"/>
          <w:szCs w:val="28"/>
        </w:rPr>
        <w:t>1.2</w:t>
      </w:r>
      <w:r w:rsidRPr="00B63E31">
        <w:rPr>
          <w:rFonts w:ascii="Times New Roman" w:hAnsi="Times New Roman" w:cs="Times New Roman"/>
          <w:sz w:val="28"/>
          <w:szCs w:val="28"/>
        </w:rPr>
        <w:t>).</w:t>
      </w:r>
    </w:p>
    <w:p w:rsidR="00717002" w:rsidRPr="00B63E31" w:rsidRDefault="00717002" w:rsidP="004C587B">
      <w:pPr>
        <w:spacing w:after="0" w:line="360" w:lineRule="auto"/>
        <w:ind w:firstLine="851"/>
        <w:jc w:val="both"/>
        <w:rPr>
          <w:rFonts w:ascii="Times New Roman" w:hAnsi="Times New Roman" w:cs="Times New Roman"/>
          <w:sz w:val="28"/>
          <w:szCs w:val="28"/>
        </w:rPr>
      </w:pPr>
    </w:p>
    <w:p w:rsidR="00717002" w:rsidRPr="00B63E31" w:rsidRDefault="00717002" w:rsidP="00C2644D">
      <w:pPr>
        <w:spacing w:after="0" w:line="360" w:lineRule="auto"/>
        <w:jc w:val="both"/>
        <w:rPr>
          <w:rFonts w:ascii="Times New Roman" w:hAnsi="Times New Roman" w:cs="Times New Roman"/>
          <w:sz w:val="28"/>
          <w:szCs w:val="28"/>
        </w:rPr>
      </w:pPr>
      <w:r w:rsidRPr="00B63E31">
        <w:rPr>
          <w:rFonts w:ascii="Times New Roman" w:hAnsi="Times New Roman" w:cs="Times New Roman"/>
          <w:noProof/>
          <w:sz w:val="28"/>
          <w:szCs w:val="28"/>
          <w:lang w:eastAsia="uk-UA"/>
        </w:rPr>
        <w:lastRenderedPageBreak/>
        <w:drawing>
          <wp:inline distT="0" distB="0" distL="0" distR="0">
            <wp:extent cx="6120765" cy="4546743"/>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765" cy="4546743"/>
                    </a:xfrm>
                    <a:prstGeom prst="rect">
                      <a:avLst/>
                    </a:prstGeom>
                    <a:noFill/>
                    <a:ln>
                      <a:noFill/>
                    </a:ln>
                  </pic:spPr>
                </pic:pic>
              </a:graphicData>
            </a:graphic>
          </wp:inline>
        </w:drawing>
      </w:r>
    </w:p>
    <w:p w:rsidR="00717002" w:rsidRPr="00B63E31" w:rsidRDefault="00717002" w:rsidP="004C587B">
      <w:pPr>
        <w:spacing w:after="0" w:line="360" w:lineRule="auto"/>
        <w:ind w:firstLine="851"/>
        <w:jc w:val="both"/>
        <w:rPr>
          <w:rFonts w:ascii="Times New Roman" w:hAnsi="Times New Roman" w:cs="Times New Roman"/>
          <w:b/>
          <w:sz w:val="28"/>
          <w:szCs w:val="28"/>
        </w:rPr>
      </w:pPr>
    </w:p>
    <w:p w:rsidR="00717002" w:rsidRPr="000047F7" w:rsidRDefault="00964247" w:rsidP="004C587B">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rPr>
        <w:t>Рис.</w:t>
      </w:r>
      <w:r w:rsidR="00717002" w:rsidRPr="00B63E31">
        <w:rPr>
          <w:rFonts w:ascii="Times New Roman" w:hAnsi="Times New Roman" w:cs="Times New Roman"/>
          <w:b/>
          <w:sz w:val="28"/>
          <w:szCs w:val="28"/>
        </w:rPr>
        <w:t xml:space="preserve"> </w:t>
      </w:r>
      <w:r w:rsidR="00C2644D">
        <w:rPr>
          <w:rFonts w:ascii="Times New Roman" w:hAnsi="Times New Roman" w:cs="Times New Roman"/>
          <w:b/>
          <w:sz w:val="28"/>
          <w:szCs w:val="28"/>
        </w:rPr>
        <w:t>1.2</w:t>
      </w:r>
      <w:r w:rsidR="00717002" w:rsidRPr="00B63E31">
        <w:rPr>
          <w:rFonts w:ascii="Times New Roman" w:hAnsi="Times New Roman" w:cs="Times New Roman"/>
          <w:b/>
          <w:sz w:val="28"/>
          <w:szCs w:val="28"/>
        </w:rPr>
        <w:t>. Схематична діаграма різних типів стійкості (Примітка: частини, що перекриваються,</w:t>
      </w:r>
      <w:r w:rsidR="00B63E31">
        <w:rPr>
          <w:rFonts w:ascii="Times New Roman" w:hAnsi="Times New Roman" w:cs="Times New Roman"/>
          <w:b/>
          <w:sz w:val="28"/>
          <w:szCs w:val="28"/>
        </w:rPr>
        <w:t xml:space="preserve"> </w:t>
      </w:r>
      <w:r w:rsidR="00717002" w:rsidRPr="00B63E31">
        <w:rPr>
          <w:rFonts w:ascii="Times New Roman" w:hAnsi="Times New Roman" w:cs="Times New Roman"/>
          <w:b/>
          <w:sz w:val="28"/>
          <w:szCs w:val="28"/>
        </w:rPr>
        <w:t>два кола представляють капітал, який можна замінити один одним).</w:t>
      </w:r>
      <w:r w:rsidR="000047F7">
        <w:rPr>
          <w:rFonts w:ascii="Times New Roman" w:hAnsi="Times New Roman" w:cs="Times New Roman"/>
          <w:b/>
          <w:sz w:val="28"/>
          <w:szCs w:val="28"/>
        </w:rPr>
        <w:t xml:space="preserve"> </w:t>
      </w:r>
      <w:r w:rsidR="000047F7">
        <w:rPr>
          <w:rFonts w:ascii="Times New Roman" w:hAnsi="Times New Roman" w:cs="Times New Roman"/>
          <w:b/>
          <w:sz w:val="28"/>
          <w:szCs w:val="28"/>
          <w:lang w:val="en-US"/>
        </w:rPr>
        <w:t>[5]</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Слабка стійкість</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Слабка стійкість — це погляд, орієнтований на людину, що природний капітал можна замінити виробленим</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капітал. Як розширення неокласичної економіки добробуту [27], слабка стійкість розглядає загальну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величина виробленого капіталу і природного капіталу як найважливіші [49]. Тому, поки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загальна сума капіталу збільшується в процесі розвитку, навіть якщо природний капітал деградує</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до невідновного стану, він все ще є стійким [50].</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Сильна стійкість</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Сильна стійкість — це зосереджена на природі точка зору, що природний капітал відіграє незамінну роль</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у виробництві та споживанні. Ця концепція заснована на стаціонарній економічній теорії</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що виготовлений капітал не можна </w:t>
      </w:r>
      <w:r w:rsidRPr="00B63E31">
        <w:rPr>
          <w:rFonts w:ascii="Times New Roman" w:hAnsi="Times New Roman" w:cs="Times New Roman"/>
          <w:sz w:val="28"/>
          <w:szCs w:val="28"/>
        </w:rPr>
        <w:lastRenderedPageBreak/>
        <w:t xml:space="preserve">дублювати без залучення природного капіталу [51]. </w:t>
      </w:r>
      <w:r w:rsidR="00B63E31" w:rsidRPr="00B63E31">
        <w:rPr>
          <w:rFonts w:ascii="Times New Roman" w:hAnsi="Times New Roman" w:cs="Times New Roman"/>
          <w:sz w:val="28"/>
          <w:szCs w:val="28"/>
        </w:rPr>
        <w:t>Т</w:t>
      </w:r>
      <w:r w:rsidRPr="00B63E31">
        <w:rPr>
          <w:rFonts w:ascii="Times New Roman" w:hAnsi="Times New Roman" w:cs="Times New Roman"/>
          <w:sz w:val="28"/>
          <w:szCs w:val="28"/>
        </w:rPr>
        <w:t>ому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процес розвитку повинен вимагати не тільки збільшення загальної суми капіталу, а й</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вимагають раціональності структури капіталу та непереступання екологічних порогів [52]. Крім того,</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економічний розвиток не повинен перевищувати природну межу [53].</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Абсурдно сильна стійкість</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Абсурдно сильна стійкість не тільки вважає, що природний капітал не можна замінити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виробленого капіталу, але також вважає, що експлуатація та використання екосистем має бути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ліквідовано [53]. Після того, як ідея SD була розроблена, деякі радикальні екологи висунули цю точку зору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що люди та інші види рівні [54]. Вони вважають, що люди повинні розвиватися</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не змінюючи статус-кво природи. Тим більше, ті радикальні екологи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виступають за нерозвиток людського суспільства в обмін на відновлення і підтримку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природна, але така концепція нереальна [31].</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Порівняння слабкої, сильної та абсурдно сильної стійкості</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Перевага слабкої стійкості полягає в тому, що вона означає прогрес науки і техніки,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замінність природного і виробничого капіталу більше відповідає потребам економрозвиток. Недоліком слабкої стійкості є те, що вона занадто оптимістична щодо здібностей людини</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контролювати природу та технічний прогрес, і вона вважає, що природа не має обмежень і можливостей</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що всі функції екосистеми можна замінити. Перевага абсурдно сильної стійкості полягає в тому</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що економічна система є не самостійною, а природною підсистемою. Недолік</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абсурдно сильна стійкість полягає в тому, що роль технології недооцінюється, і все</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природний капітал вважається обмежуючим, тоді як насправді деякий природний капітал можна замінити.</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Наприклад, деякі мінеральні ресурси можна замінити іншими продуктами, виробленими людиною. Перевага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Сильна стійкість полягає в тому, що вона протистоїть двом наведеним вище крайнім поглядам, таким чином, сильна стійкість є</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концепцію, яку ми повинні прийняти [55]. Недоліком сильної </w:t>
      </w:r>
      <w:r w:rsidRPr="00B63E31">
        <w:rPr>
          <w:rFonts w:ascii="Times New Roman" w:hAnsi="Times New Roman" w:cs="Times New Roman"/>
          <w:sz w:val="28"/>
          <w:szCs w:val="28"/>
        </w:rPr>
        <w:lastRenderedPageBreak/>
        <w:t>стійкості є те, що вона встановлює ряд</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порогів, які не можна переступати, що може перешкоджати економічному розвитку особливо</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країни що розвиваються.</w:t>
      </w:r>
    </w:p>
    <w:p w:rsidR="00717002" w:rsidRPr="00B63E31" w:rsidRDefault="00717002"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На даний момент існує відносно небагато поглиблених досліджень сильних і слабких рівнів SD в</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 xml:space="preserve">різноманітні показники оцінки та методи вимірювання </w:t>
      </w:r>
      <w:r w:rsidR="000527AC">
        <w:rPr>
          <w:rFonts w:ascii="Times New Roman" w:hAnsi="Times New Roman" w:cs="Times New Roman"/>
          <w:sz w:val="28"/>
          <w:szCs w:val="28"/>
        </w:rPr>
        <w:t>С</w:t>
      </w:r>
      <w:r w:rsidRPr="00B63E31">
        <w:rPr>
          <w:rFonts w:ascii="Times New Roman" w:hAnsi="Times New Roman" w:cs="Times New Roman"/>
          <w:sz w:val="28"/>
          <w:szCs w:val="28"/>
        </w:rPr>
        <w:t>Р. Більшість з них засновані на погляді на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слабка стійкість, тобто проста сума трьох систем (економічної, соціальної та екологічної)</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виміряти рівень SD. Зелений ВВП, який розраховується шляхом віднімання витрат на екологічні та</w:t>
      </w:r>
      <w:r w:rsidR="00B63E31">
        <w:rPr>
          <w:rFonts w:ascii="Times New Roman" w:hAnsi="Times New Roman" w:cs="Times New Roman"/>
          <w:sz w:val="28"/>
          <w:szCs w:val="28"/>
        </w:rPr>
        <w:t xml:space="preserve"> </w:t>
      </w:r>
      <w:r w:rsidRPr="00B63E31">
        <w:rPr>
          <w:rFonts w:ascii="Times New Roman" w:hAnsi="Times New Roman" w:cs="Times New Roman"/>
          <w:sz w:val="28"/>
          <w:szCs w:val="28"/>
        </w:rPr>
        <w:t>екологічна шкода від умовного ВВП країни також має такі характеристики.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Екологічна система Бронфенбреннера</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Урі Бронфенбреннер критично ставився до попередніх соціально-екологічних теорій розвитку. Він стверджував, що дослідження дітей у незнайомих закритих лабораторіях, часто з незнайомою людиною, було екологічно недійсним.</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Його дисертація мала назву Екологічна та системна теорія (EST), яка ґрунтується на динамічній взаємодії між середовищем та дитиною, що розвивається. Його точка зору має певну схожість з теорією соціального навчання Альберта Бандури та соціокультурною теорією Льва Виготського, в яких контекст навколишнього середовища явно чи неявно розглядається як вплив на розвиток дитини.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Створюючи EST, Бронфенбреннер визнав, що багато аспектів життя дитини, що розвивається, взаємодіють один з одним.</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Урі Бронфенбреннер розробив теорію екологічних систем (EST), щоб пояснити, як соціальні характеристики та структури взаємодіють і, у свою чергу, впливають на розвиток людини. Згідно з теорією, діти часто опиняються в різних середовищах від найменшої домашньої екосистеми до більшої системи освіти і, нарешті, до найбільшої системи, яка включає суспільство та культуру.</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 xml:space="preserve">Відповідно до Бронфенбреннера, різні екосистеми в житті кожної дитини взаємодіють і впливають одна на одну. Філософія наголошує на необхідності </w:t>
      </w:r>
      <w:r w:rsidRPr="00FA5990">
        <w:rPr>
          <w:rFonts w:ascii="Times New Roman" w:hAnsi="Times New Roman" w:cs="Times New Roman"/>
          <w:sz w:val="28"/>
          <w:szCs w:val="28"/>
        </w:rPr>
        <w:lastRenderedPageBreak/>
        <w:t>вивчати дітей у різноманітних середовищах, також відомих як екологічні системи, щоб дізнатися більше та зрозуміти їх розвиток.</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Модель теорії екологічних систем</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Чотири системи, які запропонував Бронфенбреннер, мають ролі, стандарти та правила. Перша система — мікросистема, друга — мезосистема. Третя – екзосистема, яка не впливає безпосередньо на дітей, але може впливати на мікросистеми. На крайню систему розвитку дітей макросистема не впливає безпосередньо, хоча вона може контактувати з усіма соціальними, економічними та політичними системами.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Ці чотири системи, які конструюють EST, враховують вплив цих соціальних систем і вплив на розвиток дитини та людини. У контексті системи багато соціальних факторів впливають на розвиток дітей різними важливими способами, такими як поведінка та взаємодія, наприклад.</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Мікросистема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Теорії Бронфенбреннера стверджують, що мікросистема є найближчим і найменшим середовищем, де живуть діти. Мікросистема складається з повсякденного будинку, дитячого садка, шкільного середовища, а також середовища спільноти.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Мікросистеми – це люди, групи та організації, які безпосередньо впливають на розвиток дитини. Наприклад, слід включити таких людей, як вчителі, члени сім’ї, сусіди чи релігійні установи.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Те, як ці групи взаємодіють з цими дітьми, впливає на їхнє зростання. Особливі характеристики певної дитини в житті, включаючи її/її темперамент, відіграють певну роль у тому, як з нею/нею ставляться. Позитивна взаємодія та стосунки позитивно підуть на розвиток дітей.</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Мезосистеми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Мезосистема в EST Бронфенбреннера – це зв’язок і взаємодія між різними мікросистемами, в яких перебуває дитина. Це передбачає зв’язки між домом і школою, між однолітками, групою та сім’єю, а також між сім’єю та громадою.</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lastRenderedPageBreak/>
        <w:t>Відповідно до теорії екологічних систем Бронфенбреннера, батьки беруть активну участь у соціальній дружбі дітей, запрошуючи друзів своїх дітей грати і демонструючи позитивну реакцію на друзів своєї дитини. Більше того, якщо хтось відкрито критикує дитину і не любить її однолітків, у них, швидше за все, розвинеться нерівновага та суперечливі думки, які можуть призвести її дитину до негативного розвитку.</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Екзосистеми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Середовище все ще може взаємодіяти з ростом їхніх дітей способом, який може не впливати безпосередньо на них. Наприклад, якщо начальник постійно зазнає поганого поводження з босом на своїй роботі, він може зняти цей стрес із роботи і може зняти його на своїх дітей вдома.</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Багато з цих місць в екзосистемі можуть бути робочими місцями дітей або будинками та районами, де вони живуть. Екзосистема включає зв’язки, які можуть існувати між одним або кількома установками, які можуть не містити безпосередньо дітей, що розвиваються. Однак, згідно з аналізом Бронфенбреннера, ці середовища будуть впливати на розвиток дитини опосередковано.</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Макросистеми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Макросистема, як правило, є фактором впливу на культуру, який впливає на розвиток дитини в макросистемах і мезосистемах. Він включає такі речі, як соціально-економічний статус, етнічна приналежність, раса та географічне положення.</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Хроносистема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Хроносистема — це спосіб опису суспільних наук змін протягом їхнього життя. Це може включати соціально-історичні ситуації, які впливають на розвиток людини. Одним із прикладів цього є те, як народження нових братів і сестер, розлучення та переїзд мають серйозний вплив на дітей.</w:t>
      </w:r>
    </w:p>
    <w:p w:rsidR="00EB30A5" w:rsidRPr="00FA5990" w:rsidRDefault="00EB30A5" w:rsidP="004C587B">
      <w:pPr>
        <w:spacing w:after="0" w:line="360" w:lineRule="auto"/>
        <w:ind w:firstLine="851"/>
        <w:jc w:val="both"/>
        <w:rPr>
          <w:rFonts w:ascii="Times New Roman" w:hAnsi="Times New Roman" w:cs="Times New Roman"/>
          <w:sz w:val="28"/>
          <w:szCs w:val="28"/>
        </w:rPr>
      </w:pP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lastRenderedPageBreak/>
        <w:t>Згідно з більшістю досліджень, діти зазнають негативного впливу в перший рік після розлучення батьків. У наступні роки дитина дізнається, які стосунки між членами сім’ї стали більш стабільними та прийнятними.</w:t>
      </w:r>
    </w:p>
    <w:p w:rsidR="000527AC" w:rsidRDefault="000527AC" w:rsidP="000527AC">
      <w:pPr>
        <w:spacing w:after="0" w:line="360" w:lineRule="auto"/>
        <w:jc w:val="both"/>
        <w:rPr>
          <w:rFonts w:ascii="Times New Roman" w:hAnsi="Times New Roman" w:cs="Times New Roman"/>
          <w:sz w:val="28"/>
          <w:szCs w:val="28"/>
        </w:rPr>
      </w:pPr>
      <w:r>
        <w:rPr>
          <w:noProof/>
          <w:lang w:eastAsia="uk-UA"/>
        </w:rPr>
        <w:drawing>
          <wp:inline distT="0" distB="0" distL="0" distR="0" wp14:anchorId="098A9C01" wp14:editId="258F7D60">
            <wp:extent cx="6373243" cy="3784348"/>
            <wp:effectExtent l="0" t="50800" r="0" b="8953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527AC" w:rsidRPr="000527AC" w:rsidRDefault="000527AC" w:rsidP="004C587B">
      <w:pPr>
        <w:spacing w:after="0" w:line="360" w:lineRule="auto"/>
        <w:ind w:firstLine="851"/>
        <w:jc w:val="both"/>
        <w:rPr>
          <w:rFonts w:ascii="Times New Roman" w:hAnsi="Times New Roman" w:cs="Times New Roman"/>
          <w:b/>
          <w:sz w:val="28"/>
          <w:szCs w:val="28"/>
        </w:rPr>
      </w:pPr>
      <w:r w:rsidRPr="000527AC">
        <w:rPr>
          <w:rFonts w:ascii="Times New Roman" w:hAnsi="Times New Roman" w:cs="Times New Roman"/>
          <w:b/>
          <w:sz w:val="28"/>
          <w:szCs w:val="28"/>
        </w:rPr>
        <w:t xml:space="preserve">Рис. 1.3. </w:t>
      </w:r>
      <w:r w:rsidR="00D91025">
        <w:rPr>
          <w:rFonts w:ascii="Times New Roman" w:hAnsi="Times New Roman" w:cs="Times New Roman"/>
          <w:b/>
          <w:sz w:val="28"/>
          <w:szCs w:val="28"/>
        </w:rPr>
        <w:t>Теорія</w:t>
      </w:r>
      <w:r w:rsidR="00D91025" w:rsidRPr="00D91025">
        <w:rPr>
          <w:rFonts w:ascii="Times New Roman" w:hAnsi="Times New Roman" w:cs="Times New Roman"/>
          <w:b/>
          <w:sz w:val="28"/>
          <w:szCs w:val="28"/>
        </w:rPr>
        <w:t xml:space="preserve"> екологічних систем Урі Бронфенбреннер </w:t>
      </w:r>
    </w:p>
    <w:p w:rsidR="000047F7" w:rsidRPr="00C2644D" w:rsidRDefault="000047F7" w:rsidP="000047F7">
      <w:pPr>
        <w:spacing w:after="0" w:line="360" w:lineRule="auto"/>
        <w:jc w:val="both"/>
        <w:rPr>
          <w:rFonts w:ascii="Times New Roman" w:hAnsi="Times New Roman" w:cs="Times New Roman"/>
          <w:sz w:val="24"/>
          <w:szCs w:val="24"/>
        </w:rPr>
      </w:pPr>
      <w:r w:rsidRPr="00C2644D">
        <w:rPr>
          <w:rFonts w:ascii="Times New Roman" w:hAnsi="Times New Roman" w:cs="Times New Roman"/>
          <w:sz w:val="24"/>
          <w:szCs w:val="24"/>
        </w:rPr>
        <w:t>Джерело: складено автором</w:t>
      </w:r>
    </w:p>
    <w:p w:rsidR="000527AC" w:rsidRDefault="000527AC" w:rsidP="004C587B">
      <w:pPr>
        <w:spacing w:after="0" w:line="360" w:lineRule="auto"/>
        <w:ind w:firstLine="851"/>
        <w:jc w:val="both"/>
        <w:rPr>
          <w:rFonts w:ascii="Times New Roman" w:hAnsi="Times New Roman" w:cs="Times New Roman"/>
          <w:sz w:val="28"/>
          <w:szCs w:val="28"/>
        </w:rPr>
      </w:pP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Критична оцінка екологічної системи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EST забезпечує комплексний підхід до розвитку дитини. Паат (2013) думає про те, як теорії Бронфенбреннера можуть бути корисними при вивченні дітей-іммігрантів. Вони припускають, що досвід дітей іммігрантів, ймовірно, сформований їх культурним розмаїттям у різних екологічних системах.</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Розуміння екології цих дітей може покращити послуги з охорони дітей. Проте існує обмежена кількість досліджень, що вивчають мезосистеми, і поточні дослідження в основному зосереджені на взаємодії між сусідами або всередині сім’ї дитини.</w:t>
      </w:r>
    </w:p>
    <w:p w:rsidR="00EB30A5" w:rsidRPr="00FA5990" w:rsidRDefault="00EB30A5" w:rsidP="004C587B">
      <w:pPr>
        <w:spacing w:after="0" w:line="360" w:lineRule="auto"/>
        <w:ind w:firstLine="851"/>
        <w:jc w:val="both"/>
        <w:rPr>
          <w:rFonts w:ascii="Times New Roman" w:hAnsi="Times New Roman" w:cs="Times New Roman"/>
          <w:sz w:val="28"/>
          <w:szCs w:val="28"/>
        </w:rPr>
      </w:pPr>
      <w:r w:rsidRPr="00FA5990">
        <w:rPr>
          <w:rFonts w:ascii="Times New Roman" w:hAnsi="Times New Roman" w:cs="Times New Roman"/>
          <w:sz w:val="28"/>
          <w:szCs w:val="28"/>
        </w:rPr>
        <w:t xml:space="preserve">EST підтримує вчителів та шкільних адміністраторів у створенні освітнього середовища, що відповідає учням та їхнім власним потребам і рисам </w:t>
      </w:r>
      <w:r w:rsidRPr="00FA5990">
        <w:rPr>
          <w:rFonts w:ascii="Times New Roman" w:hAnsi="Times New Roman" w:cs="Times New Roman"/>
          <w:sz w:val="28"/>
          <w:szCs w:val="28"/>
        </w:rPr>
        <w:lastRenderedPageBreak/>
        <w:t>характеру на додаток до культури та суспільства. Ця модель підтримує батьків у навчанні своїх дітей. Це заохочує батьків допомагати дітям вибрати дружбу та знайти хороші школи.</w:t>
      </w:r>
      <w:r w:rsidR="00D91025">
        <w:rPr>
          <w:rFonts w:ascii="Times New Roman" w:hAnsi="Times New Roman" w:cs="Times New Roman"/>
          <w:sz w:val="28"/>
          <w:szCs w:val="28"/>
        </w:rPr>
        <w:t xml:space="preserve"> </w:t>
      </w:r>
    </w:p>
    <w:p w:rsidR="00EB30A5" w:rsidRPr="00FA5990" w:rsidRDefault="00EB30A5" w:rsidP="004C587B">
      <w:pPr>
        <w:spacing w:after="0" w:line="360" w:lineRule="auto"/>
        <w:ind w:firstLine="851"/>
        <w:jc w:val="both"/>
        <w:rPr>
          <w:rFonts w:ascii="Times New Roman" w:hAnsi="Times New Roman" w:cs="Times New Roman"/>
          <w:sz w:val="28"/>
          <w:szCs w:val="28"/>
        </w:rPr>
      </w:pPr>
    </w:p>
    <w:p w:rsidR="00EB30A5" w:rsidRPr="00FA5990" w:rsidRDefault="00EB30A5" w:rsidP="004C587B">
      <w:pPr>
        <w:spacing w:after="0" w:line="360" w:lineRule="auto"/>
        <w:ind w:firstLine="851"/>
        <w:jc w:val="both"/>
        <w:rPr>
          <w:rFonts w:ascii="Times New Roman" w:hAnsi="Times New Roman" w:cs="Times New Roman"/>
          <w:sz w:val="28"/>
          <w:szCs w:val="28"/>
        </w:rPr>
      </w:pPr>
    </w:p>
    <w:p w:rsidR="00625C58" w:rsidRPr="00D91025" w:rsidRDefault="00D91025" w:rsidP="00D91025">
      <w:pPr>
        <w:pStyle w:val="a3"/>
        <w:numPr>
          <w:ilvl w:val="1"/>
          <w:numId w:val="3"/>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Концепція циркулярної економіки як базової моделі новітнього екорозвитку країни</w:t>
      </w:r>
    </w:p>
    <w:p w:rsidR="00B63E31" w:rsidRPr="00B63E31" w:rsidRDefault="00B63E31" w:rsidP="004C587B">
      <w:pPr>
        <w:spacing w:after="0" w:line="360" w:lineRule="auto"/>
        <w:ind w:firstLine="851"/>
        <w:jc w:val="both"/>
        <w:rPr>
          <w:rFonts w:ascii="Times New Roman" w:hAnsi="Times New Roman" w:cs="Times New Roman"/>
          <w:b/>
          <w:sz w:val="28"/>
          <w:szCs w:val="28"/>
        </w:rPr>
      </w:pPr>
    </w:p>
    <w:p w:rsidR="00625C58" w:rsidRPr="00B63E31" w:rsidRDefault="00625C58"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Традиційна лінійна економічна модель «взяти, зробити і викинути» є нежиттєздатною (Frosch and Gallopoulos, 1989; Ness, 2008), що встановлює необхідність переходу до більш стійких соціально-технічних систем (Seiffert and Loch, 2005; Markard et al. , 2012). Зовнішні ефекти лінійної моделі виробництва загрожують економічній та екологічній стійкості нашої планети та її природних екосистем (EMF, 2012; Geng et al., 2012; Stiehl and Hirth, 2012; Su et al., 2013; Європейська комісія 2014a; Європейська комісія, 2014b; Парк і Чертоу, 2014). Так само, суспільство стикається з високим рівнем безробіття та поганими умовами праці, що спричиняє соціальну вразливість, яка концептуалізується через бідність та зростання нерівності (Sen, 2001; Banerjee et al., 2011). Сталість вимагає розвитку збалансованої виробничої системи, яка враховує економічні, соціальні, екологічні та технологічні аспекти (Ren et al., 2013). З цією метою циркулярна економіка (CE) є новою парадигмою, яка сприяє позитивному узгодженню всіх цих елементів (EMF, 2012; Birat, 2015).</w:t>
      </w:r>
    </w:p>
    <w:p w:rsidR="00625C58" w:rsidRPr="00B63E31" w:rsidRDefault="00625C58"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 xml:space="preserve">Концепція </w:t>
      </w:r>
      <w:r w:rsidR="00B63E31">
        <w:rPr>
          <w:rFonts w:ascii="Times New Roman" w:hAnsi="Times New Roman" w:cs="Times New Roman"/>
          <w:sz w:val="28"/>
          <w:szCs w:val="28"/>
        </w:rPr>
        <w:t>циркулярної</w:t>
      </w:r>
      <w:r w:rsidRPr="00B63E31">
        <w:rPr>
          <w:rFonts w:ascii="Times New Roman" w:hAnsi="Times New Roman" w:cs="Times New Roman"/>
          <w:sz w:val="28"/>
          <w:szCs w:val="28"/>
        </w:rPr>
        <w:t xml:space="preserve"> економіки поступово набула популярності в політичних програмах (Brennan et al., 2015), наприклад, в Європейській комісії, завдяки комплексному пакету Європейської циркулярної економіки (Європейська комісія, 2015), а в Китаї, через Закон про сприяння циркулярній економіці (Лідер і Рашид, 2016). З наукової точки зору все більшої уваги набуває також циркулярна економіка (CE), що призвело до публікації великої кількості тематичних досліджень, оглядів, наукових звітів, наукових статей тощо, спрямованих на розвиток концепції. циркулярної економіки (CE) (Yap, 2005; </w:t>
      </w:r>
      <w:r w:rsidRPr="00B63E31">
        <w:rPr>
          <w:rFonts w:ascii="Times New Roman" w:hAnsi="Times New Roman" w:cs="Times New Roman"/>
          <w:sz w:val="28"/>
          <w:szCs w:val="28"/>
        </w:rPr>
        <w:lastRenderedPageBreak/>
        <w:t>Andersen, 2007; Charonis, 2012; EMF, 2012; Lett, 2014; Naustdalslid, 2014; Prendeville та ін., 2014; Club of Rome, 2015; Argudo-Garci et al.; ., 2017; Моліна-Морено та ін., 2019).</w:t>
      </w:r>
    </w:p>
    <w:p w:rsidR="00625C58" w:rsidRPr="00B63E31" w:rsidRDefault="00625C58"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Концепція циркулярної економіки виникає як набір ідей, почерпнутих з різних економічних та екологічних парадигм, головною метою яких є підвищення ефективності використання ресурсів, щоб збалансувати відносини між економікою, навколишнім середовищем і суспільством (Ghisellini et al., 2016; Murray et al., 2017; Giampietro, 2019). Стахель і Редей (1976) ввели концепцію економіки промисловості, а Стахель (1982) ввів необхідність переходу від мислення власності до використання. Останніми роками в концепцію були включені нові функції, такі як теоретична концепція від люльки до колиски (McDonough and Braungart, 2010), екологія (Commoner, 2020), економіка та продуктивність циклу (Stahel, 2010), регенеративний дизайн ( Lyle, 1996), біомімікрія (Benyus, 1997) та блакитна економіка (Pauli, 2010).</w:t>
      </w:r>
    </w:p>
    <w:p w:rsidR="00625C58" w:rsidRPr="00B63E31" w:rsidRDefault="00625C58"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За даними Korhonen et al. (2018), походження циркулярної економіки лежить в екологічній економіці, тоді як для Andersen (2007) та Su et al. (2013), вона була вперше прийнята в 1989 році Пірсом і Тернером, коли вони досліджували, як природні ресурси забезпечують сировину для виробництва і споживання і в кінцевому підсумку стають відходами, під час дослідження характеристик традиційних економічних систем (Пірс і Тернер). , 1990).</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 xml:space="preserve">Проте наразі найбільш відомим є визначення, надане Фондом Еллен Макартур, який визначає циркулярну економіку як «індустріальну економіку, яка відновлюється або регенерує за наміром і задумом» (Fundación Ellen MacArthur EMF, 2013). Таким чином, компаніям необхідно розробити виробничі моделі, засновані на філософії 10r (зменшити, повторно використовувати, відкинути, переосмислити, перерозповсюджувати, ремонтувати, відновлювати, повторно використовувати, переробляти та відновлювати) (Bag et al., 2021). Згідно з цією філософією, концепція редизайну базується на здатності компаній інтенсивніше використовувати продукти та послуги та розвивати обізнаність зацікавлених сторін, зосереджуючи увагу на мінімальному використанні </w:t>
      </w:r>
      <w:r w:rsidRPr="00B63E31">
        <w:rPr>
          <w:rFonts w:ascii="Times New Roman" w:hAnsi="Times New Roman" w:cs="Times New Roman"/>
          <w:sz w:val="28"/>
          <w:szCs w:val="28"/>
        </w:rPr>
        <w:lastRenderedPageBreak/>
        <w:t xml:space="preserve">природних ресурсів (Gupta et al., 2019; Jabbour et al., 2020). Це заохочує до повторного використання продуктів, які все ще мають функціональні можливості, що сприяє розвитку систем ремонту (Goyal et al., 2018). У той же час компанії повинні враховувати переробку та ремонт, подовження терміну експлуатації продукції, як для однакового використання, так і для розробки різних функціональних можливостей (Gurita et al., 2018). Аналогічно, більш ефективне використання переробки, враховуючи принципи кругового циклу, дає змогу відновлювати енергію та матеріали, щоб або включити їх назад у цикл, або сприяти їх природному поглинанню (Fischer and Pascucci, 2017; Bag et al., 2021). </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 xml:space="preserve">Напруга між надмірним використанням природних ресурсів та межами </w:t>
      </w:r>
      <w:r w:rsidR="007921E0">
        <w:rPr>
          <w:rFonts w:ascii="Times New Roman" w:hAnsi="Times New Roman" w:cs="Times New Roman"/>
          <w:sz w:val="28"/>
          <w:szCs w:val="28"/>
        </w:rPr>
        <w:t>циркулярних</w:t>
      </w:r>
      <w:r w:rsidRPr="00B63E31">
        <w:rPr>
          <w:rFonts w:ascii="Times New Roman" w:hAnsi="Times New Roman" w:cs="Times New Roman"/>
          <w:sz w:val="28"/>
          <w:szCs w:val="28"/>
        </w:rPr>
        <w:t xml:space="preserve"> потоків є р</w:t>
      </w:r>
      <w:r w:rsidR="007921E0">
        <w:rPr>
          <w:rFonts w:ascii="Times New Roman" w:hAnsi="Times New Roman" w:cs="Times New Roman"/>
          <w:sz w:val="28"/>
          <w:szCs w:val="28"/>
        </w:rPr>
        <w:t>еальністю (Sehnem et al., 2019).</w:t>
      </w:r>
      <w:r w:rsidRPr="00B63E31">
        <w:rPr>
          <w:rFonts w:ascii="Times New Roman" w:hAnsi="Times New Roman" w:cs="Times New Roman"/>
          <w:sz w:val="28"/>
          <w:szCs w:val="28"/>
        </w:rPr>
        <w:t xml:space="preserve"> Циркулярна економіка представляє нову парадигму: «відходи – це їжа», яка передбачає, що всі матеріали та продукти є тимчасовим відкладенням матеріалів або поживних речовин, які стануть новими витратами та будуть включені назад у виробничий ланцюг, таким чином подовжуючи термін їх використання ( Туккер, 2015). Таким чином, поняття відходів усувається, щоб поживні речовини надходили постійно (Smol et al., 2015), таким чином зберігаючи статус відходів як виробничого ресурсу (Braungart, 2007).</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Циркулярна економіка має не тільки важливі наслідки з точки зору навколишнього середовища. З економічної точки зору Європейська комісія вважає, що циркулярна економіка може генерувати транзакції, які приносять річний прибуток у Європі на суму 600 000 євро для виробничого сектору (Fundación Ellen MacArthur EMF, 2013; Європейська комісія, 2014a). За даними Фонду відзначення незалежності Фінляндії, циркулярна економіка дасть щорічний прибуток у розмірі 2500 мільйонів євро, а світова економіка – 1000 мільйонів доларів на рік. Проте існує певна залежність між переходом до моделі циркулярної економіки та рівнем розвитку територій. За даними Singh and Ordoñez (2016), принципи циркулярності з’являються у розвинених країнах інтенсивніше, ніж у менш розвинених.</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lastRenderedPageBreak/>
        <w:t>Тим не менш, для Korhonen et al. (2018), циркулярну економіку розробляли та керували переважно експерти, тоді як емпіричний зміст залишається значною мірою невивченим. Такий обмежений теоретичний розвиток призводить до незрозумілих практичних наслідків для стійкості (Giampietro, 2019), що призводить до деякої невизначеності щодо кругової економіки. Інші автори ставлять під сумнів придатність концепції з точки зору соціальної інтеграції та зміни клімату (Sehnem et al., 2019). Тому в цій роботі робиться спроба проаналізувати рівень теоретичної та наукової розробки концепції циркулярної економіки та заповнити прогалину щодо її наслідків та теоретичних переваг для соціальної, економічної та екологічної стійкості.</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Наскільки нам відомо, деякі теоретичні огляди були представлені щодо концепції циркулярної економіки, але ми не виявили жодного бібліометричного аналізу, який є відповідним методом для виявлення ключових атрибутів та тем дослідження (Donthu et al., 2021; Kumar et al. ін., 2021). Основною метою даного дослідження було проаналізувати ступінь наукової чи теоретичної розробленості концепції циркулярної економіки на основі продуктивності наукових статей, авторів, журналів, установ та країн, які розглядають свої мережі міжнародного співробітництва, з метою встановлення поточні та майбутні напрямки досліджень.</w:t>
      </w:r>
    </w:p>
    <w:p w:rsidR="00272970" w:rsidRPr="00B63E31" w:rsidRDefault="00272970" w:rsidP="004C587B">
      <w:pPr>
        <w:spacing w:after="0" w:line="360" w:lineRule="auto"/>
        <w:ind w:firstLine="851"/>
        <w:jc w:val="both"/>
        <w:rPr>
          <w:rFonts w:ascii="Times New Roman" w:hAnsi="Times New Roman" w:cs="Times New Roman"/>
          <w:sz w:val="28"/>
          <w:szCs w:val="28"/>
        </w:rPr>
      </w:pPr>
      <w:r w:rsidRPr="00B63E31">
        <w:rPr>
          <w:rFonts w:ascii="Times New Roman" w:hAnsi="Times New Roman" w:cs="Times New Roman"/>
          <w:sz w:val="28"/>
          <w:szCs w:val="28"/>
        </w:rPr>
        <w:t xml:space="preserve">З цією метою дане дослідження демонструє відображення концепції циркулярної економіки через бібліометричну методологію, в якій сучасні знання та майбутні тенденції дослідження займають центральне місце. </w:t>
      </w:r>
    </w:p>
    <w:p w:rsidR="00272970" w:rsidRPr="00B63E31" w:rsidRDefault="00001424"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Зварич І.Я. стверджує, що </w:t>
      </w:r>
      <w:r w:rsidRPr="00001424">
        <w:rPr>
          <w:rFonts w:ascii="Times New Roman" w:hAnsi="Times New Roman" w:cs="Times New Roman"/>
          <w:sz w:val="28"/>
          <w:szCs w:val="28"/>
        </w:rPr>
        <w:t xml:space="preserve">циркулярна економіка – це модель економічного розвитку, спрямована на підтримку сталого зростання без завдання шкоди навколишньому середовищу та підвищення ролі соціальних орієнтирів розвитку суспільства, спрямована на максимізацію потенційно отриманих позитивних результатів (добробуту, зайнятості, повторного використання та переробки), зберігаючи за собою відновлювальну, регенеративну та цілісну (системну) функції. Відтак, циркулярну економіку запропоновано розглядати як цілісну систему в умовах реалізації цілей сталого розвитку, що є інклюзивною та </w:t>
      </w:r>
      <w:r w:rsidRPr="00001424">
        <w:rPr>
          <w:rFonts w:ascii="Times New Roman" w:hAnsi="Times New Roman" w:cs="Times New Roman"/>
          <w:sz w:val="28"/>
          <w:szCs w:val="28"/>
        </w:rPr>
        <w:lastRenderedPageBreak/>
        <w:t>забезпечує доступ кожного до переваг такого розвитку. Підтверджено, що головними стимулами впровадження Індустрії 4.0. є сталість, екологічні та соціальні можливості розвитку економік. Досліджено концептуальні базис</w:t>
      </w:r>
      <w:r>
        <w:rPr>
          <w:rFonts w:ascii="Times New Roman" w:hAnsi="Times New Roman" w:cs="Times New Roman"/>
          <w:sz w:val="28"/>
          <w:szCs w:val="28"/>
        </w:rPr>
        <w:t>и циркулярної економіки</w:t>
      </w:r>
      <w:r w:rsidRPr="00001424">
        <w:rPr>
          <w:rFonts w:ascii="Times New Roman" w:hAnsi="Times New Roman" w:cs="Times New Roman"/>
          <w:sz w:val="28"/>
          <w:szCs w:val="28"/>
        </w:rPr>
        <w:t>, які беруть початок з концепції регенерації (регенеративного дизайну), виражаючи вплив економіки в циклі на створення робочих місць, економічну конкурентоспроможність, економію ресурсів та попередження відходів.</w:t>
      </w:r>
    </w:p>
    <w:p w:rsidR="00625C58" w:rsidRPr="00B63E31" w:rsidRDefault="00625C58" w:rsidP="004C587B">
      <w:pPr>
        <w:spacing w:after="0" w:line="360" w:lineRule="auto"/>
        <w:ind w:firstLine="851"/>
        <w:jc w:val="both"/>
        <w:rPr>
          <w:rFonts w:ascii="Times New Roman" w:hAnsi="Times New Roman" w:cs="Times New Roman"/>
          <w:sz w:val="28"/>
          <w:szCs w:val="28"/>
        </w:rPr>
      </w:pPr>
    </w:p>
    <w:p w:rsidR="00625C58" w:rsidRDefault="00625C58" w:rsidP="004C587B">
      <w:pPr>
        <w:spacing w:after="0" w:line="360" w:lineRule="auto"/>
        <w:ind w:firstLine="851"/>
        <w:jc w:val="both"/>
        <w:rPr>
          <w:rFonts w:ascii="Times New Roman" w:hAnsi="Times New Roman" w:cs="Times New Roman"/>
          <w:sz w:val="28"/>
          <w:szCs w:val="28"/>
        </w:rPr>
      </w:pPr>
    </w:p>
    <w:p w:rsidR="002D14BD" w:rsidRPr="0003281F" w:rsidRDefault="0003281F" w:rsidP="0003281F">
      <w:pPr>
        <w:pStyle w:val="a3"/>
        <w:numPr>
          <w:ilvl w:val="1"/>
          <w:numId w:val="3"/>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Теоретичні основи екологічної макроекономіки.</w:t>
      </w:r>
    </w:p>
    <w:p w:rsidR="002D14BD" w:rsidRPr="00363A99" w:rsidRDefault="0003281F"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Ш</w:t>
      </w:r>
      <w:r w:rsidR="002D14BD" w:rsidRPr="00363A99">
        <w:rPr>
          <w:rFonts w:ascii="Times New Roman" w:hAnsi="Times New Roman" w:cs="Times New Roman"/>
          <w:sz w:val="28"/>
          <w:szCs w:val="28"/>
        </w:rPr>
        <w:t xml:space="preserve">ирокомасштабна деградація екосистем вимагає фундаментальної трансформації нашої економічної системи від безперервного економічного зростання (Jackson, 2009; Martínez-Alier et al., 2010; Victor, 2008). та ін. (2012) розрізняють три напрямки взаємодіючих літератур, які обговорюють цю справу, а саме «економіка стійкого стану», «нова економіка процвітання» та «розростання». Усі ці літературі спрямовані на розробку бачення процвітаючої економіки, яка не покладається на економічне зростання. Для простоти в цьому дослідженні вони будуть разом називатися підходами «після зростання». Підходи, зібрані тут під терміном «після зростання», відрізняються за своїм баченням того, як би виглядала стійка та процвітаюча економіка та яким чином матеріальний рівень життя був би можливим за умов екологічних обмежень. Однак, як прийшли до висновку Kallis et al. (2012), три підходи відстоюють схожу політику та інститути. Для цілей цього дослідження важливими вважаються ці подібності, а не відмінності, тому групування трьох підходів під терміном «пост-зростання» вважається виправданим. Важливо сказати, що мета з цих підходів не є нульовим (або спадаючим) зростанням ВВП. Мета – зменшити, а потім стабілізувати використання матеріалів та енергії в екологічних межах (O'Neill, 2012, 2015a). Через високий ступінь зв’язку між використанням ресурсів та економічною діяльністю (Ayres and Warr, 2009; Wiedmann et al., 2015) результатом може бути стабілізація (або зниження) ВВП, </w:t>
      </w:r>
      <w:r w:rsidR="002D14BD" w:rsidRPr="00363A99">
        <w:rPr>
          <w:rFonts w:ascii="Times New Roman" w:hAnsi="Times New Roman" w:cs="Times New Roman"/>
          <w:sz w:val="28"/>
          <w:szCs w:val="28"/>
        </w:rPr>
        <w:lastRenderedPageBreak/>
        <w:t>але це не є метою. наслідок, з яким економіка після зростання має бути в змозі впоратися. Однією з найважливіших проблем, з якими стикаються всі бачення після зростання, є той факт, що в нинішній системі негативні або низькі темпи економічного зростання, як правило, пов'язані з несприятливими соціальними наслідками, наприклад, масштабне безробіття (Kallis et al., 2013). Цю проблему важко вирішити, оскільки не вистачає макроекономічних рамок та інструментів моделювання, щоб перевірити, як запропонована політика після зростання може забезпечити стабільний перехід і життєздатну альтернативу економічному зростанню (Jackson et al., 2015). Існує потреба в розробці нових підходів макроекономічного моделювання або адаптації існуючих для дослідження потенційних перспектив розвитку після зростання. У цьому контексті цікаво помітити, що за останні кілька років з'явилася нова література з «екологічної макроекономіки», яка стосується розвитку макроекономічної теорії та моделей, придатних для проблеми сталого розвитку (наприклад, Rezai et al., 2013; Røpke, 2013). У той час як дослідження моделювання в екологічній макроекономіці лише частково зумовлені проблемою моделювання економіки після зростання, моделі, які розробляються, все ще можуть бути цінними.</w:t>
      </w:r>
    </w:p>
    <w:p w:rsidR="002D14BD" w:rsidRPr="00363A99" w:rsidRDefault="0003281F"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w:t>
      </w:r>
      <w:r w:rsidR="002D14BD" w:rsidRPr="00363A99">
        <w:rPr>
          <w:rFonts w:ascii="Times New Roman" w:hAnsi="Times New Roman" w:cs="Times New Roman"/>
          <w:sz w:val="28"/>
          <w:szCs w:val="28"/>
        </w:rPr>
        <w:t>нструменти для дослідження майбутніх періодів після зростання. Література з екологічних</w:t>
      </w:r>
      <w:r>
        <w:rPr>
          <w:rFonts w:ascii="Times New Roman" w:hAnsi="Times New Roman" w:cs="Times New Roman"/>
          <w:sz w:val="28"/>
          <w:szCs w:val="28"/>
        </w:rPr>
        <w:t xml:space="preserve"> </w:t>
      </w:r>
      <w:r w:rsidR="002D14BD" w:rsidRPr="00363A99">
        <w:rPr>
          <w:rFonts w:ascii="Times New Roman" w:hAnsi="Times New Roman" w:cs="Times New Roman"/>
          <w:sz w:val="28"/>
          <w:szCs w:val="28"/>
        </w:rPr>
        <w:t>макроекономічних моделей швидко зростає і включає кілька нових підходів до моделювання. Однак досі не проводилося систематичного перегляду та оцінки характеристик, якими володіють ці нові моделі, і типів економічних змін, які вони здатні моделювати. Це дослідження має на меті заповнити цю прогалину шляхом вивчення двох взаємопов’яза</w:t>
      </w:r>
      <w:r>
        <w:rPr>
          <w:rFonts w:ascii="Times New Roman" w:hAnsi="Times New Roman" w:cs="Times New Roman"/>
          <w:sz w:val="28"/>
          <w:szCs w:val="28"/>
        </w:rPr>
        <w:t>них дослідницьких запитань: я</w:t>
      </w:r>
      <w:r w:rsidR="002D14BD" w:rsidRPr="00363A99">
        <w:rPr>
          <w:rFonts w:ascii="Times New Roman" w:hAnsi="Times New Roman" w:cs="Times New Roman"/>
          <w:sz w:val="28"/>
          <w:szCs w:val="28"/>
        </w:rPr>
        <w:t>кі макроекономічні моделі зараз розробляються в літературі з екологічної макроекономіки</w:t>
      </w:r>
      <w:r>
        <w:rPr>
          <w:rFonts w:ascii="Times New Roman" w:hAnsi="Times New Roman" w:cs="Times New Roman"/>
          <w:sz w:val="28"/>
          <w:szCs w:val="28"/>
        </w:rPr>
        <w:t xml:space="preserve"> та я</w:t>
      </w:r>
      <w:r w:rsidR="002D14BD" w:rsidRPr="00363A99">
        <w:rPr>
          <w:rFonts w:ascii="Times New Roman" w:hAnsi="Times New Roman" w:cs="Times New Roman"/>
          <w:sz w:val="28"/>
          <w:szCs w:val="28"/>
        </w:rPr>
        <w:t>ка здатність цих моделей досліджувати та оцінювати політику, запропоновану</w:t>
      </w:r>
      <w:r>
        <w:rPr>
          <w:rFonts w:ascii="Times New Roman" w:hAnsi="Times New Roman" w:cs="Times New Roman"/>
          <w:sz w:val="28"/>
          <w:szCs w:val="28"/>
        </w:rPr>
        <w:t xml:space="preserve"> для економіки, що розвивається.</w:t>
      </w:r>
      <w:r w:rsidR="002D14BD" w:rsidRPr="00363A99">
        <w:rPr>
          <w:rFonts w:ascii="Times New Roman" w:hAnsi="Times New Roman" w:cs="Times New Roman"/>
          <w:sz w:val="28"/>
          <w:szCs w:val="28"/>
        </w:rPr>
        <w:t xml:space="preserve"> До другого питання дослідження підходять шляхом порівняння моделей з темами політики, отриманими з літератури після зростання. Це порівняння служить для визначення того, які аспекти порядку денного після зростання представлені та як вони моделюються.</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lastRenderedPageBreak/>
        <w:t xml:space="preserve">Екологічна макроекономіка. Останніми роками, а також після фінансової кризи, спостерігається зростання інтересу до макроекономічних тем серед економістів-економістів-екологів, область, яку деякі називають «екологічної макроекономікою» (наприклад, Джексон, 2009; Rezai et al. ., 2013). Цей інтерес відображений у спеціальному випуску з макроекономіки, нещодавно опублікованому в цьому журналі (Rezai and Stagl, 2016). Оскільки термін «екологічна макроекономіка» з’явився лише нещодавно, досі немає взаємно узгодженого визначення того, що він тягне за собою. Однак, оглядаючи літературу, можна виділити три важливі теми. Перша тема, яка також послужила основою для створення цього дослідження, – це необхідність керувати економікою без зростання. Перші корені концепції екологічної макроекономіки можна простежити до Дейлі (1991), який закликав до програми досліджень «екологічної макроекономіки», тоді як Джексон (2009) прямо говорив про необхідність «екологічної макроекономіки». Іншою ранньою роботою, яку регулярно цитують як найважливіший внесок в екологічну макроекономіку, хоча в ній не використовується цей термін, є дослідження моделювання Віктора та Розенблута (2007). Усі ці автори тісно пов’язані з літературою після зростання та з самого початку зробили внесок в екологічну макроекономіку. Для дослідників, які підходять до екологічної макроекономіки з точки зору пост-зростаючої перспективи, наголос робиться не лише на розробці нових аналітичних підходів до розуміння економіки, а й на нормативному перевизначенні цілей економіки. Наприклад, Røpke (2013, стор. 50) стверджує необхідність переосмислення того, що означає «здорова національна економіка», і визначає кілька проблем, які екологічна макроекономіка може допомогти вирішити. Ці проблеми включають екологічні проблеми, масштабну нерівність, проблеми глобальної безпеки. , і фінансова нестабільність. Проте не всі дослідження в новітній галузі екологічної макроекономіки стосуються цілей і пропонованої політики літератури після зростання. Другою важливою темою є ширший акцент на розробці нових аналітичних методів і моделей, які можуть відображати залежність макроекономіки від природного середовища (Harris, 2008; Fontana and Sawyer, </w:t>
      </w:r>
      <w:r w:rsidRPr="00363A99">
        <w:rPr>
          <w:rFonts w:ascii="Times New Roman" w:hAnsi="Times New Roman" w:cs="Times New Roman"/>
          <w:sz w:val="28"/>
          <w:szCs w:val="28"/>
        </w:rPr>
        <w:lastRenderedPageBreak/>
        <w:t>2016). Важливі проблеми включають те, як макроекономічні процеси, такі як безробіття, зростання та інфляція, залежать від природних ресурсів і утворюють відходи, і як екологічні збитки повертаються до макроекономіки (Dafermos et al., 2017). Наприклад, Rezai et al. (2013) наголошують, що екологічна політика потенційно може мати суперечливі макроекономічні ефекти, наприклад, макроекономічний ефект від збільшення інвестицій. Розглядаючи системну перспективу, Røpke (2016) стверджує, що екологічна макроекономіка повинна вийти за межі вивчення систем видобутку ресурсів і поводження з відходами на кордонах економічної системи і повинна враховувати соціальні процеси, які опосередковано призводять до впливу на навколишнє середовище, включаючи економічні системи. виробництва, торгівлі та грошей. Третьою важливою темою, яка виникає в літературі з екологічної макроекономіки, є поєднання посткейнсіанського та екологоекономічного підходів. Загалом автори в галузі екологічної макроекономіки відкидають ортодоксальні моделі зростання, які часто використовуються для аналізу взаємодій між навколишнім середовищем і економікою (наприклад, Edenhofer et al., 2014; Nordhaus, 2008), в основному на основі того, що основні припущення ортодоксальних моделі в корені помилкові. Ці припущення включають ідею про те, що раціональна поведінка фірм і споживачів на ринках, що максимізує корисність або максимізує прибуток, призведе до оптимального рівноважного шляху зростання (Taylor et al., 2016). Натомість Резай і Стагл (2016) наголошують, що екологічна макроекономіка повинна спиратися на погляди, отримані в інших неортодоксальних сферах економіки, таких як марксистська, нео-рікардіанська та еволюційна економіка. Поки що це переважно роботи посткейнсіанських авторів, які були інтегровані в екологічну макроекономіку, оскільки посткейнсіанська та екологічна економіка поділяють багато основних припущень (наприклад, Gowdy, 1991; Kronenberg, 2010b).199L. Хардт, Д.В. О'Ніл / Екологічна економіка 134 (2017) 198–211</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 xml:space="preserve">Scrieciu та ін. (2013) Pollitt et al. (2010) Джексон, 2009 Резай та ін., 2013 Резай та Стагл, 2016 Дейлі (1991) Джексон (2009) Віктор і Розенблут (2007) Рьопке (2013, с. 50) Гарріс, 2008 Сафер та Резафер та2008Ф. . (2013)Røpke </w:t>
      </w:r>
      <w:r w:rsidRPr="00363A99">
        <w:rPr>
          <w:rFonts w:ascii="Times New Roman" w:hAnsi="Times New Roman" w:cs="Times New Roman"/>
          <w:sz w:val="28"/>
          <w:szCs w:val="28"/>
        </w:rPr>
        <w:lastRenderedPageBreak/>
        <w:t>(2016)Edenhofer et al., 2014Nordhaus, 2008Taylor et al., 2016Rezai and Stagl(2016)Gowdy, 1991Kronenberg, 2010b</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Одна синергія, виділена Rezai et al. (2013) полягає в тому, що посткейнсіанська економіка не спирається на припущення максимізації корисності і тому сумісна з ціннісним плюралізмом, який пропагується в екологічній економіці. Крім того, посткейнсіанська та екологічна економіка також концептуалізують виробництво подібним чином, наголошуючи на незамінності між ресурсами (Fontana and Sawyer, 2016; Kronenberg, 2010b). Інші елементи, спільні в обох підходах a</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Теорія екологічних систем для розуміння людського розвитку</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У дослідженнях розвитку дитини EST використовувався для опису початкового розвитку немовлят під впливом особистих, соціальних і політичних умов. Наразі EST добре застосовується до різних доменів. Школи можуть використовувати EST для покращення досягнень своїх учнів і забезпечення їхнього викладання, щоб найкращим чином відповідати потребам учнів.</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Теорія екологічних систем вказує на те, що розвиток людини залежить від різних типів екологічних систем. Ця теоретична теорія допомагає нам зрозуміти, що змушує людей поводитися по-іншому, шукаючи зразки, які протиставляють поведінку вдома з поведінкою в школі чи на роботі, наприклад.</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Релігія та соціальна екологія</w:t>
      </w:r>
    </w:p>
    <w:p w:rsidR="002D14BD" w:rsidRPr="00363A99" w:rsidRDefault="002D14BD" w:rsidP="004C587B">
      <w:pPr>
        <w:spacing w:after="0" w:line="360" w:lineRule="auto"/>
        <w:ind w:firstLine="851"/>
        <w:jc w:val="both"/>
        <w:rPr>
          <w:rFonts w:ascii="Times New Roman" w:hAnsi="Times New Roman" w:cs="Times New Roman"/>
          <w:sz w:val="28"/>
          <w:szCs w:val="28"/>
        </w:rPr>
      </w:pPr>
      <w:r w:rsidRPr="00363A99">
        <w:rPr>
          <w:rFonts w:ascii="Times New Roman" w:hAnsi="Times New Roman" w:cs="Times New Roman"/>
          <w:sz w:val="28"/>
          <w:szCs w:val="28"/>
        </w:rPr>
        <w:t>Як описують Вернон Рейнольдс і Ральф Таннер у своїй книзі «Соціальна екологія релігії», «релігії мають приземлені функції в контролі та управлінні основними подіями людського життєвого циклу — народження, шлюб, смерть та події між ними». Захист наших дітей має бути ключовою частиною наших релігійних обрядів. Від цього залежить наше майбутнє.</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 xml:space="preserve">Близько 1,4 мільярда людей у ​​світі страждають від енергетичної бідності. П'ятдесят мільйонів із цих людей є громадянами Європи. Неможливість або стикання з обмеженнями у задоволенні основних потреб, таких як приготування їжі, освітлення та опалення, впливає на якість життя та соціальну мобільність людей, посилюючи інші форми нерівності. Енергетична бідність може мати </w:t>
      </w:r>
      <w:r w:rsidRPr="00CE2FAA">
        <w:rPr>
          <w:rFonts w:ascii="Times New Roman" w:hAnsi="Times New Roman" w:cs="Times New Roman"/>
          <w:sz w:val="28"/>
          <w:szCs w:val="28"/>
        </w:rPr>
        <w:lastRenderedPageBreak/>
        <w:t>негативний вплив на якість освіти та доступ до неї, може погіршити здоров’я людей і в цілому обмежити можливості людей покращити умови життя. Однак політика боротьби зі зміною клімату та стимулювання екологічного переходу часто є соціально сліпою та продовжує соціальну нерівність. Рамку екологічного добробуту можна використовувати як політичний інструмент для узгодження екологічного переходу із соціальною справедливістю.</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Останніми роками зусилля, спрямовані на вирішення цієї проблеми, збільшилися. У 2011 році Організація Об’єднаних Націй запустила ініціативу «Стала енергія для всіх» (SE4ALL) з метою досягнення загального доступу до енергії до 2030 року шляхом глобального підвищення енергоефективності та виробництва з відновлюваних джерел. Зменшення енергетичної бідності також є однією з цілей сталого розвитку (Ц</w:t>
      </w:r>
      <w:r w:rsidR="00FA1D5A">
        <w:rPr>
          <w:rFonts w:ascii="Times New Roman" w:hAnsi="Times New Roman" w:cs="Times New Roman"/>
          <w:sz w:val="28"/>
          <w:szCs w:val="28"/>
        </w:rPr>
        <w:t>С</w:t>
      </w:r>
      <w:r w:rsidRPr="00CE2FAA">
        <w:rPr>
          <w:rFonts w:ascii="Times New Roman" w:hAnsi="Times New Roman" w:cs="Times New Roman"/>
          <w:sz w:val="28"/>
          <w:szCs w:val="28"/>
        </w:rPr>
        <w:t>Р 7).</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Незважаючи на те, що екологічний перехід в даний час інтегрується в численні національні та міжнародні програми, справедливий і рівний доступ до енергетичних систем все ще залишається невирішеним питанням. Хоча промислово розвинені країни здійснюють політику боротьби зі зміною клімату, існує ризик того, що ця політика не спрямована ні на соціальне залучення, ні на боротьбу з бідністю.</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Екологічна модернізація бачить сумісність зростання обсягів проданих товарів і стійкості. Сумісність, яка має стати можливою завдяки технологічним інноваціям, щоб зробити виробничі системи більш ефективними. Проте екологічна модернізація не враховує соціальні наслідки енергетичного переходу у своїй моделі «зеленого капіталізму».</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 xml:space="preserve">Більшість інструментів, прийнятих урядами для стимулювання перехідного періоду, є ринковою політикою, яка спрямована на досягнення цілей декарбонізації через регулювання та системи стимулювання. Поєднання технологічних інновацій і ринкової системи породило політику, яка, наприклад, заохочувала виробництво енергії з відновлюваних джерел та впровадження технологій для енергетичного переобладнання існуючих будівель; використання </w:t>
      </w:r>
      <w:r w:rsidRPr="00CE2FAA">
        <w:rPr>
          <w:rFonts w:ascii="Times New Roman" w:hAnsi="Times New Roman" w:cs="Times New Roman"/>
          <w:sz w:val="28"/>
          <w:szCs w:val="28"/>
        </w:rPr>
        <w:lastRenderedPageBreak/>
        <w:t>механізмів сертифікації будівель для стимулювання енергоефективності; і заохочував до покупки електричних або гібридних автомобілів.</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Громадяни отримали нерівну користь від цієї політики. Було зроблено вибір, щоб прискорити енергетичний перехід шляхом стимулювання інновацій у вищому середньому класі: стимулювання власників будинків, сімей зі стабільними доходами, заощадженнями та витратними можливостями робити великі інвестиції, такі як встановлення фотоелектричних панелей та інші заходи з підвищення енергоефективності в житлі, покупка електричної автомобіль або придбання будинків з високою енергетичною продуктивністю.</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Нижчий і середній класи мали труднощі з доступом до цієї політики. Наприклад, сім’ї з низькими доходами, які не мають заощаджень, стикаються з обмеженнями у доступі до політики, заснованої на пільгах або податкових вирахуваннях. Ці самі соціальні класи також висловлюють найбільший скептицизм щодо екологічної проблеми; наслідком того факту, що вони не бачать відчутного зв'язку між переходом та покращенням якості свого життя. «Справедливий перехід» не виникає автоматично із заміни викопного палива на відновлювані джерела енергії. Політика екологічної модернізації є соціально сліпою і, як наслідок, сприяє відтворенню соціальної нерівності.</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За останні чотири десятиліття ми стали свідками значних трансформацій соціальної держави. На додаток до зростання так званих нових соціальних ризиків (таких як нестабільність праці, старіння, посилена сегрегація, фінансові обмеження в домогосподарствах), екологічні проблеми почали впливати на стійкість систем соціального забезпечення. На сьогоднішній день державна політика розглядала екологічну кризу та кризу системи соціального забезпечення як окремі питання. Однак із загостренням кліматичної кризи ряд вчених почали розглядати взаємозв’язок між ними, досліджуючи появу так званої «держави екологічного добробуту».</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 xml:space="preserve">Екологічна держава добробуту пояснює зростаючий попит на адаптацію до клімату, яка, як передбачається, чинитиме більший тиск на напружені фіскальні та соціальні системи, враховуючи, що зміна клімату супроводжується </w:t>
      </w:r>
      <w:r w:rsidRPr="00CE2FAA">
        <w:rPr>
          <w:rFonts w:ascii="Times New Roman" w:hAnsi="Times New Roman" w:cs="Times New Roman"/>
          <w:sz w:val="28"/>
          <w:szCs w:val="28"/>
        </w:rPr>
        <w:lastRenderedPageBreak/>
        <w:t>новими конфігураціями ризиків і нерівностей. Узгодження екологічного переходу із соціальною справедливістю вимагає виявлення та вирішення можливих взаємозалежностей між соціальною та екологічною політикою. Структура екологічного добробуту може стати інструментом, який дозволить системам добробуту та навколишнього середовища керувати політикою перед розповсюдженням. У цьому відношенні політика попереднього розподілу може гарантувати, що найбільш вразливі соціальні класи та населення виграють від соціально-екологічного переходу. Вони відрізняються від консолідованих моделей політики розподілу та перерозподілу, оскільки вони поєднують принципи регулювання з особливою увагою до соціальних наслідків політичних втручань, звертаючись до регуляторних та соціальних механізмів формування багатства.</w:t>
      </w:r>
    </w:p>
    <w:p w:rsidR="005B2DEA" w:rsidRPr="00CE2FAA" w:rsidRDefault="005B2DEA" w:rsidP="004C587B">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Ми розглядаємо екологічний добробут як нову політичну структуру, яка переплітає теми, які зазвичай розглядаються в соціальній політиці (наприклад, бідність у її різноманітних формах, від економічних обмежень до інших, більш складних форм, таких як енергетична бідність) та екологічні проблеми, пов’язані з екологічний перехід. У рамках екологічного добробуту вирішення проблем енергетичної бідності передбачає зусилля щодо скорочення викидів у різних сферах (від мобільності до використання побутових приладів), заохочення природних форм охолодження (наприклад, через громадські та приватні парки), забезпечення здорових будівель та можливостей людей доступ до енергії та її використання, аж до колективних форм виробництва та споживання енергії на рівні місцевої громади. Екологічний добробут означає діяти разом з людьми та в місцях, де створюється бідність, щоб інструменти політики для прискорення енергетичного переходу були спрямовані на боротьбу із соціальною нерівністю.</w:t>
      </w:r>
    </w:p>
    <w:p w:rsidR="00FA1D5A" w:rsidRDefault="00FA1D5A"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можна виділити наступні теоретичні напрямки глобального екорозвитку країн:</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Динамічні моделі екосистем</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Аналіз невизначеності</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Ансамблеве моделювання</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lastRenderedPageBreak/>
        <w:t>Методи засвоєння та оптимізації даних</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Машинне навчання та (великі) дані</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Інтеграція моделей, метамоделі</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Індивідуальне моделювання</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Програмне забезпечення та інструменти</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Біоенергетика: динамічні енергетичні бюджетні моделі</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Моделювання мережі</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Моделі соціально-екологічних систем</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Моделі глобальних змін клімату та землекористування</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Стійкість і стійкість</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Екосистемні послуги</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Біорізноманіття та збереження</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Моделі спільноти</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Морська екологія та рибальство</w:t>
      </w:r>
    </w:p>
    <w:p w:rsidR="005B2DEA" w:rsidRPr="00FA1D5A" w:rsidRDefault="005B2DEA" w:rsidP="00501D17">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Ліси</w:t>
      </w:r>
      <w:r w:rsidR="00FA1D5A" w:rsidRPr="00FA1D5A">
        <w:rPr>
          <w:rFonts w:ascii="Times New Roman" w:hAnsi="Times New Roman" w:cs="Times New Roman"/>
          <w:sz w:val="28"/>
          <w:szCs w:val="28"/>
        </w:rPr>
        <w:t xml:space="preserve">, </w:t>
      </w:r>
      <w:r w:rsidR="00FA1D5A">
        <w:rPr>
          <w:rFonts w:ascii="Times New Roman" w:hAnsi="Times New Roman" w:cs="Times New Roman"/>
          <w:sz w:val="28"/>
          <w:szCs w:val="28"/>
        </w:rPr>
        <w:t>п</w:t>
      </w:r>
      <w:r w:rsidRPr="00FA1D5A">
        <w:rPr>
          <w:rFonts w:ascii="Times New Roman" w:hAnsi="Times New Roman" w:cs="Times New Roman"/>
          <w:sz w:val="28"/>
          <w:szCs w:val="28"/>
        </w:rPr>
        <w:t>рісні води (озера та річки)</w:t>
      </w:r>
    </w:p>
    <w:p w:rsidR="005B2DEA" w:rsidRPr="00FA1D5A" w:rsidRDefault="005B2DEA" w:rsidP="00FA1D5A">
      <w:pPr>
        <w:pStyle w:val="a3"/>
        <w:numPr>
          <w:ilvl w:val="0"/>
          <w:numId w:val="4"/>
        </w:numPr>
        <w:spacing w:after="0" w:line="360" w:lineRule="auto"/>
        <w:jc w:val="both"/>
        <w:rPr>
          <w:rFonts w:ascii="Times New Roman" w:hAnsi="Times New Roman" w:cs="Times New Roman"/>
          <w:sz w:val="28"/>
          <w:szCs w:val="28"/>
        </w:rPr>
      </w:pPr>
      <w:r w:rsidRPr="00FA1D5A">
        <w:rPr>
          <w:rFonts w:ascii="Times New Roman" w:hAnsi="Times New Roman" w:cs="Times New Roman"/>
          <w:sz w:val="28"/>
          <w:szCs w:val="28"/>
        </w:rPr>
        <w:t>Моделі епідемій</w:t>
      </w:r>
    </w:p>
    <w:p w:rsidR="005B2DEA" w:rsidRPr="00CE2FAA" w:rsidRDefault="005B2DEA" w:rsidP="004C587B">
      <w:pPr>
        <w:spacing w:after="0" w:line="360" w:lineRule="auto"/>
        <w:ind w:firstLine="851"/>
        <w:jc w:val="both"/>
        <w:rPr>
          <w:rFonts w:ascii="Times New Roman" w:hAnsi="Times New Roman" w:cs="Times New Roman"/>
          <w:sz w:val="28"/>
          <w:szCs w:val="28"/>
        </w:rPr>
      </w:pPr>
    </w:p>
    <w:p w:rsidR="005B2DEA" w:rsidRPr="00FA1D5A" w:rsidRDefault="00FA1D5A" w:rsidP="004C587B">
      <w:pPr>
        <w:spacing w:after="0" w:line="360" w:lineRule="auto"/>
        <w:ind w:firstLine="851"/>
        <w:jc w:val="both"/>
        <w:rPr>
          <w:rFonts w:ascii="Times New Roman" w:hAnsi="Times New Roman" w:cs="Times New Roman"/>
          <w:b/>
          <w:sz w:val="28"/>
          <w:szCs w:val="28"/>
        </w:rPr>
      </w:pPr>
      <w:r w:rsidRPr="00FA1D5A">
        <w:rPr>
          <w:rFonts w:ascii="Times New Roman" w:hAnsi="Times New Roman" w:cs="Times New Roman"/>
          <w:b/>
          <w:sz w:val="28"/>
          <w:szCs w:val="28"/>
        </w:rPr>
        <w:t>Висновки до 1 розділу</w:t>
      </w:r>
    </w:p>
    <w:p w:rsidR="002D14BD" w:rsidRPr="00363A99" w:rsidRDefault="002D14BD" w:rsidP="004C587B">
      <w:pPr>
        <w:spacing w:after="0" w:line="360" w:lineRule="auto"/>
        <w:ind w:firstLine="851"/>
        <w:jc w:val="both"/>
        <w:rPr>
          <w:rFonts w:ascii="Times New Roman" w:hAnsi="Times New Roman" w:cs="Times New Roman"/>
          <w:sz w:val="28"/>
          <w:szCs w:val="28"/>
        </w:rPr>
      </w:pP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Екологічна модернізація бачить сумісність зростання обсягів проданих товарів і стійкості. Сумісність, яка має стати можливою завдяки технологічним інноваціям, щоб зробити виробничі системи більш ефективними. Проте екологічна модернізація не враховує соціальні наслідки енергетичного переходу у своїй моделі «зеленого капіталізму».</w:t>
      </w: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 xml:space="preserve">Більшість інструментів, прийнятих урядами для стимулювання перехідного періоду, є ринковою політикою, яка спрямована на досягнення цілей декарбонізації через регулювання та системи стимулювання. Поєднання технологічних інновацій і ринкової системи породило політику, яка, наприклад, заохочувала виробництво енергії з відновлюваних джерел та впровадження технологій для енергетичного переобладнання існуючих будівель; використання </w:t>
      </w:r>
      <w:r w:rsidRPr="00CE2FAA">
        <w:rPr>
          <w:rFonts w:ascii="Times New Roman" w:hAnsi="Times New Roman" w:cs="Times New Roman"/>
          <w:sz w:val="28"/>
          <w:szCs w:val="28"/>
        </w:rPr>
        <w:lastRenderedPageBreak/>
        <w:t>механізмів сертифікації будівель для стимулювання енергоефективності; і заохочував до покупки електричних або гібридних автомобілів.</w:t>
      </w: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Громадяни отримали нерівну користь від цієї політики. Було зроблено вибір, щоб прискорити енергетичний перехід шляхом стимулювання інновацій у вищому середньому класі: стимулювання власників будинків, сімей зі стабільними доходами, заощадженнями та витратними можливостями робити великі інвестиції, такі як встановлення фотоелектричних панелей та інші заходи з підвищення енергоефективності в житлі, покупка електричної автомобіль або придбання будинків з високою енергетичною продуктивністю.</w:t>
      </w: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Нижчий і середній класи мали труднощі з доступом до цієї політики. Наприклад, сім’ї з низькими доходами, які не мають заощаджень, стикаються з обмеженнями у доступі до політики, заснованої на пільгах або податкових вирахуваннях. Ці самі соціальні класи також висловлюють найбільший скептицизм щодо екологічної проблеми; наслідком того факту, що вони не бачать відчутного зв'язку між переходом та покращенням якості свого життя. «Справедливий перехід» не виникає автоматично із заміни викопного палива на відновлювані джерела енергії. Політика екологічної модернізації є соціально сліпою і, як наслідок, сприяє відтворенню соціальної нерівності.</w:t>
      </w: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За останні чотири десятиліття ми стали свідками значних трансформацій соціальної держави. На додаток до зростання так званих нових соціальних ризиків (таких як нестабільність праці, старіння, посилена сегрегація, фінансові обмеження в домогосподарствах), екологічні проблеми почали впливати на стійкість систем соціального забезпечення. На сьогоднішній день державна політика розглядала екологічну кризу та кризу системи соціального забезпечення як окремі питання. Однак із загостренням кліматичної кризи ряд вчених почали розглядати взаємозв’язок між ними, досліджуючи появу так званої «держави екологічного добробуту».</w:t>
      </w:r>
    </w:p>
    <w:p w:rsidR="00811C8F" w:rsidRPr="00CE2FAA" w:rsidRDefault="00811C8F" w:rsidP="00811C8F">
      <w:pPr>
        <w:spacing w:after="0" w:line="360" w:lineRule="auto"/>
        <w:ind w:firstLine="851"/>
        <w:jc w:val="both"/>
        <w:rPr>
          <w:rFonts w:ascii="Times New Roman" w:hAnsi="Times New Roman" w:cs="Times New Roman"/>
          <w:sz w:val="28"/>
          <w:szCs w:val="28"/>
        </w:rPr>
      </w:pPr>
      <w:r w:rsidRPr="00CE2FAA">
        <w:rPr>
          <w:rFonts w:ascii="Times New Roman" w:hAnsi="Times New Roman" w:cs="Times New Roman"/>
          <w:sz w:val="28"/>
          <w:szCs w:val="28"/>
        </w:rPr>
        <w:t xml:space="preserve">Екологічна держава добробуту пояснює зростаючий попит на адаптацію до клімату, яка, як передбачається, чинитиме більший тиск на напружені фіскальні та соціальні системи, враховуючи, що зміна клімату супроводжується </w:t>
      </w:r>
      <w:r w:rsidRPr="00CE2FAA">
        <w:rPr>
          <w:rFonts w:ascii="Times New Roman" w:hAnsi="Times New Roman" w:cs="Times New Roman"/>
          <w:sz w:val="28"/>
          <w:szCs w:val="28"/>
        </w:rPr>
        <w:lastRenderedPageBreak/>
        <w:t>новими конфігураціями ризиків і нерівностей. Узгодження екологічного переходу із соціальною справедливістю вимагає виявлення та вирішення можливих взаємозалежностей між соціальною та екологічною політикою. Структура екологічного добробуту може стати інструментом, який дозволить системам добробуту та навколишнього середовища керувати політикою перед розповсюдженням. У цьому відношенні політика попереднього розподілу може гарантувати, що найбільш вразливі соціальні класи та населення виграють від соціально-екологічного переходу. Вони відрізняються від консолідованих моделей політики розподілу та перерозподілу, оскільки вони поєднують принципи регулювання з особливою увагою до соціальних наслідків політичних втручань, звертаючись до регуляторних та соціальних механізмів формування багатства.</w:t>
      </w:r>
    </w:p>
    <w:p w:rsidR="002D14BD" w:rsidRDefault="002D14BD" w:rsidP="004C587B">
      <w:pPr>
        <w:spacing w:after="0" w:line="360" w:lineRule="auto"/>
        <w:ind w:firstLine="851"/>
        <w:jc w:val="both"/>
        <w:rPr>
          <w:rFonts w:ascii="Times New Roman" w:hAnsi="Times New Roman" w:cs="Times New Roman"/>
          <w:sz w:val="28"/>
          <w:szCs w:val="28"/>
        </w:rPr>
      </w:pPr>
    </w:p>
    <w:p w:rsidR="00811C8F" w:rsidRPr="00363A99" w:rsidRDefault="00811C8F" w:rsidP="004C587B">
      <w:pPr>
        <w:spacing w:after="0" w:line="360" w:lineRule="auto"/>
        <w:ind w:firstLine="851"/>
        <w:jc w:val="both"/>
        <w:rPr>
          <w:rFonts w:ascii="Times New Roman" w:hAnsi="Times New Roman" w:cs="Times New Roman"/>
          <w:sz w:val="28"/>
          <w:szCs w:val="28"/>
        </w:rPr>
      </w:pPr>
    </w:p>
    <w:p w:rsidR="002D14BD" w:rsidRPr="00363A99" w:rsidRDefault="002D14BD" w:rsidP="004C587B">
      <w:pPr>
        <w:spacing w:after="0" w:line="360" w:lineRule="auto"/>
        <w:ind w:firstLine="851"/>
        <w:jc w:val="both"/>
        <w:rPr>
          <w:rFonts w:ascii="Times New Roman" w:hAnsi="Times New Roman" w:cs="Times New Roman"/>
          <w:sz w:val="28"/>
          <w:szCs w:val="28"/>
        </w:rPr>
      </w:pPr>
    </w:p>
    <w:p w:rsidR="002D14BD" w:rsidRPr="00363A99" w:rsidRDefault="002D14BD" w:rsidP="004C587B">
      <w:pPr>
        <w:spacing w:after="0" w:line="360" w:lineRule="auto"/>
        <w:ind w:firstLine="851"/>
        <w:jc w:val="both"/>
        <w:rPr>
          <w:rFonts w:ascii="Times New Roman" w:hAnsi="Times New Roman" w:cs="Times New Roman"/>
          <w:sz w:val="28"/>
          <w:szCs w:val="28"/>
        </w:rPr>
      </w:pPr>
    </w:p>
    <w:p w:rsidR="002D14BD" w:rsidRPr="00363A99" w:rsidRDefault="002D14BD" w:rsidP="004C587B">
      <w:pPr>
        <w:spacing w:after="0" w:line="360" w:lineRule="auto"/>
        <w:ind w:firstLine="851"/>
        <w:jc w:val="both"/>
        <w:rPr>
          <w:rFonts w:ascii="Times New Roman" w:hAnsi="Times New Roman" w:cs="Times New Roman"/>
          <w:sz w:val="28"/>
          <w:szCs w:val="28"/>
        </w:rPr>
      </w:pPr>
    </w:p>
    <w:p w:rsidR="002D14BD" w:rsidRPr="00363A99"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964247" w:rsidRDefault="00964247" w:rsidP="004C587B">
      <w:pPr>
        <w:spacing w:after="0" w:line="360" w:lineRule="auto"/>
        <w:ind w:firstLine="851"/>
        <w:jc w:val="both"/>
        <w:rPr>
          <w:rFonts w:ascii="Times New Roman" w:hAnsi="Times New Roman" w:cs="Times New Roman"/>
          <w:sz w:val="28"/>
          <w:szCs w:val="28"/>
        </w:rPr>
      </w:pPr>
    </w:p>
    <w:p w:rsidR="00964247" w:rsidRDefault="00964247" w:rsidP="004C587B">
      <w:pPr>
        <w:spacing w:after="0" w:line="360" w:lineRule="auto"/>
        <w:ind w:firstLine="851"/>
        <w:jc w:val="both"/>
        <w:rPr>
          <w:rFonts w:ascii="Times New Roman" w:hAnsi="Times New Roman" w:cs="Times New Roman"/>
          <w:sz w:val="28"/>
          <w:szCs w:val="28"/>
        </w:rPr>
      </w:pPr>
    </w:p>
    <w:p w:rsidR="00964247" w:rsidRDefault="00964247" w:rsidP="004C587B">
      <w:pPr>
        <w:spacing w:after="0" w:line="360" w:lineRule="auto"/>
        <w:ind w:firstLine="851"/>
        <w:jc w:val="both"/>
        <w:rPr>
          <w:rFonts w:ascii="Times New Roman" w:hAnsi="Times New Roman" w:cs="Times New Roman"/>
          <w:sz w:val="28"/>
          <w:szCs w:val="28"/>
        </w:rPr>
      </w:pPr>
    </w:p>
    <w:p w:rsidR="00964247" w:rsidRDefault="00964247" w:rsidP="004C587B">
      <w:pPr>
        <w:spacing w:after="0" w:line="360" w:lineRule="auto"/>
        <w:ind w:firstLine="851"/>
        <w:jc w:val="both"/>
        <w:rPr>
          <w:rFonts w:ascii="Times New Roman" w:hAnsi="Times New Roman" w:cs="Times New Roman"/>
          <w:sz w:val="28"/>
          <w:szCs w:val="28"/>
        </w:rPr>
      </w:pPr>
    </w:p>
    <w:p w:rsidR="00964247" w:rsidRDefault="00964247"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2D14BD" w:rsidP="004C587B">
      <w:pPr>
        <w:spacing w:after="0" w:line="360" w:lineRule="auto"/>
        <w:ind w:firstLine="851"/>
        <w:jc w:val="both"/>
        <w:rPr>
          <w:rFonts w:ascii="Times New Roman" w:hAnsi="Times New Roman" w:cs="Times New Roman"/>
          <w:sz w:val="28"/>
          <w:szCs w:val="28"/>
        </w:rPr>
      </w:pPr>
    </w:p>
    <w:p w:rsidR="002D14BD" w:rsidRDefault="00D354BA" w:rsidP="00811C8F">
      <w:pPr>
        <w:spacing w:after="0" w:line="360" w:lineRule="auto"/>
        <w:ind w:firstLine="851"/>
        <w:jc w:val="center"/>
        <w:rPr>
          <w:rFonts w:ascii="Times New Roman" w:hAnsi="Times New Roman" w:cs="Times New Roman"/>
          <w:b/>
          <w:sz w:val="28"/>
          <w:szCs w:val="28"/>
        </w:rPr>
      </w:pPr>
      <w:r w:rsidRPr="00640F5F">
        <w:rPr>
          <w:rFonts w:ascii="Times New Roman" w:hAnsi="Times New Roman" w:cs="Times New Roman"/>
          <w:b/>
          <w:sz w:val="28"/>
          <w:szCs w:val="28"/>
        </w:rPr>
        <w:t xml:space="preserve">2 </w:t>
      </w:r>
      <w:r w:rsidR="00811C8F" w:rsidRPr="00640F5F">
        <w:rPr>
          <w:rFonts w:ascii="Times New Roman" w:hAnsi="Times New Roman" w:cs="Times New Roman"/>
          <w:b/>
          <w:sz w:val="28"/>
          <w:szCs w:val="28"/>
        </w:rPr>
        <w:t>РОЗДІЛ</w:t>
      </w:r>
    </w:p>
    <w:p w:rsidR="00811C8F" w:rsidRDefault="00811C8F" w:rsidP="00811C8F">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АНАЛІЗ ГЛОБАЛЬНИХ МОДЕЛЕЙ ЕКОРОЗВИТКУ КРАЇН</w:t>
      </w:r>
    </w:p>
    <w:p w:rsidR="00811C8F" w:rsidRPr="00640F5F" w:rsidRDefault="00811C8F" w:rsidP="00811C8F">
      <w:pPr>
        <w:spacing w:after="0" w:line="360" w:lineRule="auto"/>
        <w:ind w:firstLine="851"/>
        <w:jc w:val="center"/>
        <w:rPr>
          <w:rFonts w:ascii="Times New Roman" w:hAnsi="Times New Roman" w:cs="Times New Roman"/>
          <w:b/>
          <w:sz w:val="28"/>
          <w:szCs w:val="28"/>
        </w:rPr>
      </w:pPr>
    </w:p>
    <w:p w:rsidR="00D354BA" w:rsidRDefault="00D354BA" w:rsidP="004C587B">
      <w:pPr>
        <w:spacing w:after="0" w:line="360" w:lineRule="auto"/>
        <w:ind w:firstLine="851"/>
        <w:jc w:val="both"/>
        <w:rPr>
          <w:rFonts w:ascii="Times New Roman" w:hAnsi="Times New Roman" w:cs="Times New Roman"/>
          <w:b/>
          <w:sz w:val="28"/>
          <w:szCs w:val="28"/>
        </w:rPr>
      </w:pPr>
      <w:r w:rsidRPr="00640F5F">
        <w:rPr>
          <w:rFonts w:ascii="Times New Roman" w:hAnsi="Times New Roman" w:cs="Times New Roman"/>
          <w:b/>
          <w:sz w:val="28"/>
          <w:szCs w:val="28"/>
        </w:rPr>
        <w:t>2.1.</w:t>
      </w:r>
      <w:r w:rsidR="00811C8F">
        <w:rPr>
          <w:rFonts w:ascii="Times New Roman" w:hAnsi="Times New Roman" w:cs="Times New Roman"/>
          <w:b/>
          <w:sz w:val="28"/>
          <w:szCs w:val="28"/>
        </w:rPr>
        <w:t xml:space="preserve"> Декаплінг як емерджентна модель екорозвитку країн (на прикладі Китаю).</w:t>
      </w:r>
    </w:p>
    <w:p w:rsidR="00E42050" w:rsidRPr="00811C8F" w:rsidRDefault="00E42050" w:rsidP="004C587B">
      <w:pPr>
        <w:spacing w:after="0" w:line="360" w:lineRule="auto"/>
        <w:ind w:firstLine="851"/>
        <w:jc w:val="both"/>
        <w:rPr>
          <w:rFonts w:ascii="Times New Roman" w:hAnsi="Times New Roman" w:cs="Times New Roman"/>
          <w:sz w:val="28"/>
          <w:szCs w:val="28"/>
        </w:rPr>
      </w:pPr>
      <w:r w:rsidRPr="00811C8F">
        <w:rPr>
          <w:rFonts w:ascii="Times New Roman" w:hAnsi="Times New Roman" w:cs="Times New Roman"/>
          <w:sz w:val="28"/>
          <w:szCs w:val="28"/>
        </w:rPr>
        <w:t>Коли щось поєднане, це означає, що вони пов’язані. Якщо один компонент зростає, то росте і інший. Якщо він впаде, інший падає разом з ним.</w:t>
      </w:r>
      <w:r w:rsidR="00811C8F">
        <w:rPr>
          <w:rFonts w:ascii="Times New Roman" w:hAnsi="Times New Roman" w:cs="Times New Roman"/>
          <w:sz w:val="28"/>
          <w:szCs w:val="28"/>
        </w:rPr>
        <w:t xml:space="preserve"> </w:t>
      </w:r>
      <w:r w:rsidRPr="00811C8F">
        <w:rPr>
          <w:rFonts w:ascii="Times New Roman" w:hAnsi="Times New Roman" w:cs="Times New Roman"/>
          <w:sz w:val="28"/>
          <w:szCs w:val="28"/>
        </w:rPr>
        <w:t>Роз’єднання означає розрив цього зв’язку, щоб один компонент міг зростати, а інший зменшувався.</w:t>
      </w:r>
      <w:r w:rsidR="00811C8F">
        <w:rPr>
          <w:rFonts w:ascii="Times New Roman" w:hAnsi="Times New Roman" w:cs="Times New Roman"/>
          <w:sz w:val="28"/>
          <w:szCs w:val="28"/>
        </w:rPr>
        <w:t xml:space="preserve"> </w:t>
      </w:r>
      <w:r w:rsidRPr="00811C8F">
        <w:rPr>
          <w:rFonts w:ascii="Times New Roman" w:hAnsi="Times New Roman" w:cs="Times New Roman"/>
          <w:sz w:val="28"/>
          <w:szCs w:val="28"/>
        </w:rPr>
        <w:t>Еколого-економічне роз’єднання</w:t>
      </w:r>
      <w:r w:rsidR="00811C8F">
        <w:rPr>
          <w:rFonts w:ascii="Times New Roman" w:hAnsi="Times New Roman" w:cs="Times New Roman"/>
          <w:sz w:val="28"/>
          <w:szCs w:val="28"/>
        </w:rPr>
        <w:t xml:space="preserve"> або іншим и словами декаплінг</w:t>
      </w:r>
      <w:r w:rsidRPr="00811C8F">
        <w:rPr>
          <w:rFonts w:ascii="Times New Roman" w:hAnsi="Times New Roman" w:cs="Times New Roman"/>
          <w:sz w:val="28"/>
          <w:szCs w:val="28"/>
        </w:rPr>
        <w:t xml:space="preserve"> полягає в розриві зв’язку між економічним зростанням та погіршенням навколишнього середовища.</w:t>
      </w:r>
    </w:p>
    <w:p w:rsidR="00E42050" w:rsidRPr="00811C8F" w:rsidRDefault="00E42050" w:rsidP="004C587B">
      <w:pPr>
        <w:spacing w:after="0" w:line="360" w:lineRule="auto"/>
        <w:ind w:firstLine="851"/>
        <w:jc w:val="both"/>
        <w:rPr>
          <w:rFonts w:ascii="Times New Roman" w:hAnsi="Times New Roman" w:cs="Times New Roman"/>
          <w:sz w:val="28"/>
          <w:szCs w:val="28"/>
        </w:rPr>
      </w:pPr>
      <w:r w:rsidRPr="00811C8F">
        <w:rPr>
          <w:rFonts w:ascii="Times New Roman" w:hAnsi="Times New Roman" w:cs="Times New Roman"/>
          <w:sz w:val="28"/>
          <w:szCs w:val="28"/>
        </w:rPr>
        <w:t>У ідеальному світі роз’єднання гарантує, що наша економіка може продовжувати процвітати, в той час як тиск на навколишнє середовище падає. Це означає менше споживання ресурсів, менше викидів, здоровішу планету та процвітаючу людську расу.</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 xml:space="preserve">Постійно зростаюча економіка, як правило, розглядається як життєздатна та бажана соціальна мета [1–4]. Хоча «нескінченне зростання» не може бути тими словами, які використовуються для характеристики та закликання до постійно зростаючої економіки, вони, тим не менш, є точною характеристикою мети. У сучасній моді для захисту життєздатності економіки, що постійно зростає, є такі фрази, як «зелене зростання», «дематеріалізація» та «роз’єднання» [5–9]. Питання десятиліттями «Чи є економічне зростання екологічно стійким?» залишається спірним, незважаючи на його очевидну простоту. The Limits to Growth [10] була основоположною роботою, яка попереджала про наслідки експоненціального зростання з обмеженими ресурсами. Моделі World3, що лежать в основі аналізу Limits to Growth, були перевірені з використанням фактичних даних через двадцять і тридцять років [11,12]. Подальша незалежна оцінка прогнозів моделей World3 показала, що наша фактична траєкторія з 1972 </w:t>
      </w:r>
      <w:r w:rsidRPr="00D354BA">
        <w:rPr>
          <w:rFonts w:ascii="Times New Roman" w:hAnsi="Times New Roman" w:cs="Times New Roman"/>
          <w:sz w:val="28"/>
          <w:szCs w:val="28"/>
        </w:rPr>
        <w:lastRenderedPageBreak/>
        <w:t>року дуже точно відповідає сценарію «Business as Usual» [13]. Поглиблене визнання причин і наслідків зміни клімату викликало великі сумніви щодо доцільності одночасного забезпечення економічного зростання та запобігання та/або пом’якшення зміни клімату [14–18]. Сучасні роботи в цій широкій області оцінки антропогенного впливу на планету припускають, що було перетнуто кілька «планетних кордонів» [19].</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Питання про те, чи може людське суспільство відокремити економічне зростання – яке визначається як зростання валового внутрішнього продукту (ВВП) – від впливу на навколишнє середовище, не було вирішене. Сама дискусія про розв’язку поляризована з перевагою економістів-неокласиків з одного боку (роз’єднання життєздатне) та економістів-екологів з іншого (роз’єднання нежиттєздатне) [20]. Розбіжність щодо сумісності економічного зростання та екологічних обмежень поширюється на широку громадськість [2] із значною поляризацією в ідеях роз’єднання, дематеріалізації та обмеження зростання.</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Врегулювання дебатів має далекосяжні наслідки для політики. Відділення все частіше описується в популярній пресі як життєздатна політична ціль [21,22]. Роз’єднання було включено в міжнародні показники сталого розвитку [23] та цілі політики, такі як «Цілі сталого розвитку» ООН [24]. Якщо відокремлення можливе, тоді ці політики є дійсними постійними цілями; однак, якщо відокремлення виявиться нежиттєздатним, суспільству доведеться відійти від поточної моделі «нескінченного зростання».</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 xml:space="preserve">Роз’єднання визначається як «відносне» (він же «слабке») або «абсолютне» (він же «сильне»). Відносне роз’єднання означає вищі темпи економічного зростання, ніж темпи зростання споживання матеріалів та енергії та впливу на навколишнє середовище. В результаті відносне роз’єднання передбачає підвищення ефективності, а не усунення зв’язку між впливом і ВВП. Останні тенденції (1990–2012) щодо ВВП [25], використання матеріалів [26] та енергоспоживання [27] у різних країнах та регіонах демонструють різну поведінку (рис. </w:t>
      </w:r>
      <w:r w:rsidR="00811C8F">
        <w:rPr>
          <w:rFonts w:ascii="Times New Roman" w:hAnsi="Times New Roman" w:cs="Times New Roman"/>
          <w:sz w:val="28"/>
          <w:szCs w:val="28"/>
        </w:rPr>
        <w:t>2.</w:t>
      </w:r>
      <w:r w:rsidRPr="00D354BA">
        <w:rPr>
          <w:rFonts w:ascii="Times New Roman" w:hAnsi="Times New Roman" w:cs="Times New Roman"/>
          <w:sz w:val="28"/>
          <w:szCs w:val="28"/>
        </w:rPr>
        <w:t xml:space="preserve">1). У Китаї відбулося відносне роз’єднання, оскільки за 22-річний період ВВП (ринкові ціни в поточних доларах США) збільшився більш </w:t>
      </w:r>
      <w:r w:rsidRPr="00D354BA">
        <w:rPr>
          <w:rFonts w:ascii="Times New Roman" w:hAnsi="Times New Roman" w:cs="Times New Roman"/>
          <w:sz w:val="28"/>
          <w:szCs w:val="28"/>
        </w:rPr>
        <w:lastRenderedPageBreak/>
        <w:t>ніж у 20 разів, тоді як споживання енергії зросло трохи більше ніж у чотири рази, а використання матеріалів майже п'ять. У той же час у Німеччині спостерігалося повільніше зростання ВВП, ніж у Китаї, але в той же час зменшилося споживання енергії на 10% і загальне використання матеріалів на 40%. ОЕСР дотримується схожої історії з Німеччиною, хоча і з постійним, а не з падінням споживання енергії та матеріалів. Хоча Німеччина та ОЕСР дають надію на те, що абсолютне від’єднання може бути досяжним, на глобальному рівні ми бачимо лише відносне роз’єднання з використанням енергії та матеріалів, що зросло на 54% та 66% відповідно за 22 роки.</w:t>
      </w:r>
    </w:p>
    <w:p w:rsidR="00D354BA" w:rsidRPr="00D354BA" w:rsidRDefault="00D354BA" w:rsidP="004C587B">
      <w:pPr>
        <w:spacing w:after="0" w:line="360" w:lineRule="auto"/>
        <w:ind w:firstLine="851"/>
        <w:jc w:val="both"/>
        <w:rPr>
          <w:rFonts w:ascii="Times New Roman" w:hAnsi="Times New Roman" w:cs="Times New Roman"/>
          <w:sz w:val="28"/>
          <w:szCs w:val="28"/>
        </w:rPr>
      </w:pPr>
    </w:p>
    <w:p w:rsidR="00D354BA" w:rsidRPr="00D354BA" w:rsidRDefault="00D354BA" w:rsidP="004C587B">
      <w:pPr>
        <w:spacing w:after="0" w:line="360" w:lineRule="auto"/>
        <w:ind w:firstLine="851"/>
        <w:jc w:val="both"/>
        <w:rPr>
          <w:rFonts w:ascii="Times New Roman" w:hAnsi="Times New Roman" w:cs="Times New Roman"/>
          <w:sz w:val="28"/>
          <w:szCs w:val="28"/>
        </w:rPr>
      </w:pPr>
    </w:p>
    <w:p w:rsidR="00D354BA" w:rsidRPr="00D354BA" w:rsidRDefault="00D354BA" w:rsidP="00811C8F">
      <w:pPr>
        <w:spacing w:after="0" w:line="360" w:lineRule="auto"/>
        <w:jc w:val="both"/>
        <w:rPr>
          <w:rFonts w:ascii="Times New Roman" w:hAnsi="Times New Roman" w:cs="Times New Roman"/>
          <w:sz w:val="28"/>
          <w:szCs w:val="28"/>
        </w:rPr>
      </w:pPr>
      <w:r w:rsidRPr="00D354BA">
        <w:rPr>
          <w:rFonts w:ascii="Times New Roman" w:hAnsi="Times New Roman" w:cs="Times New Roman"/>
          <w:noProof/>
          <w:sz w:val="28"/>
          <w:szCs w:val="28"/>
          <w:lang w:eastAsia="uk-UA"/>
        </w:rPr>
        <w:drawing>
          <wp:inline distT="0" distB="0" distL="0" distR="0" wp14:anchorId="3B0BADD1" wp14:editId="4A17F3E8">
            <wp:extent cx="6120765" cy="4002060"/>
            <wp:effectExtent l="0" t="0" r="0" b="0"/>
            <wp:docPr id="1" name="Рисунок 1" descr="D:\DOCUMENTS\МАГІСТЕРСЬКІ РОБОТИ\Лялька Іра_2021\pone.0164733.g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МАГІСТЕРСЬКІ РОБОТИ\Лялька Іра_2021\pone.0164733.g001.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765" cy="4002060"/>
                    </a:xfrm>
                    <a:prstGeom prst="rect">
                      <a:avLst/>
                    </a:prstGeom>
                    <a:noFill/>
                    <a:ln>
                      <a:noFill/>
                    </a:ln>
                  </pic:spPr>
                </pic:pic>
              </a:graphicData>
            </a:graphic>
          </wp:inline>
        </w:drawing>
      </w:r>
    </w:p>
    <w:p w:rsidR="00D354BA" w:rsidRPr="000047F7" w:rsidRDefault="00D354BA" w:rsidP="00811C8F">
      <w:pPr>
        <w:spacing w:after="0" w:line="360" w:lineRule="auto"/>
        <w:ind w:firstLine="851"/>
        <w:jc w:val="center"/>
        <w:rPr>
          <w:rFonts w:ascii="Times New Roman" w:hAnsi="Times New Roman" w:cs="Times New Roman"/>
          <w:b/>
          <w:sz w:val="28"/>
          <w:szCs w:val="28"/>
          <w:lang w:val="en-US"/>
        </w:rPr>
      </w:pPr>
      <w:r w:rsidRPr="00811C8F">
        <w:rPr>
          <w:rFonts w:ascii="Times New Roman" w:hAnsi="Times New Roman" w:cs="Times New Roman"/>
          <w:b/>
          <w:sz w:val="28"/>
          <w:szCs w:val="28"/>
        </w:rPr>
        <w:t xml:space="preserve">Рис. </w:t>
      </w:r>
      <w:r w:rsidR="00811C8F" w:rsidRPr="00811C8F">
        <w:rPr>
          <w:rFonts w:ascii="Times New Roman" w:hAnsi="Times New Roman" w:cs="Times New Roman"/>
          <w:b/>
          <w:sz w:val="28"/>
          <w:szCs w:val="28"/>
        </w:rPr>
        <w:t>2.</w:t>
      </w:r>
      <w:r w:rsidRPr="00811C8F">
        <w:rPr>
          <w:rFonts w:ascii="Times New Roman" w:hAnsi="Times New Roman" w:cs="Times New Roman"/>
          <w:b/>
          <w:sz w:val="28"/>
          <w:szCs w:val="28"/>
        </w:rPr>
        <w:t>1. Останні тенденції реального ВВП, загального споживання енергії та загального використання матеріалів для Китаю, Німеччини, ОЕСР та світу.</w:t>
      </w:r>
      <w:r w:rsidR="000047F7">
        <w:rPr>
          <w:rFonts w:ascii="Times New Roman" w:hAnsi="Times New Roman" w:cs="Times New Roman"/>
          <w:b/>
          <w:sz w:val="28"/>
          <w:szCs w:val="28"/>
          <w:lang w:val="en-US"/>
        </w:rPr>
        <w:t>[32]</w:t>
      </w:r>
    </w:p>
    <w:p w:rsidR="00D354BA" w:rsidRPr="00D354BA" w:rsidRDefault="00D354BA" w:rsidP="004C587B">
      <w:pPr>
        <w:spacing w:after="0" w:line="360" w:lineRule="auto"/>
        <w:ind w:firstLine="851"/>
        <w:jc w:val="both"/>
        <w:rPr>
          <w:rFonts w:ascii="Times New Roman" w:hAnsi="Times New Roman" w:cs="Times New Roman"/>
          <w:sz w:val="28"/>
          <w:szCs w:val="28"/>
        </w:rPr>
      </w:pP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Дані нормалізуються до 100 у 1990 році.</w:t>
      </w:r>
      <w:r w:rsidR="00811C8F">
        <w:rPr>
          <w:rFonts w:ascii="Times New Roman" w:hAnsi="Times New Roman" w:cs="Times New Roman"/>
          <w:sz w:val="28"/>
          <w:szCs w:val="28"/>
        </w:rPr>
        <w:t xml:space="preserve"> </w:t>
      </w:r>
      <w:r w:rsidRPr="00D354BA">
        <w:rPr>
          <w:rFonts w:ascii="Times New Roman" w:hAnsi="Times New Roman" w:cs="Times New Roman"/>
          <w:sz w:val="28"/>
          <w:szCs w:val="28"/>
        </w:rPr>
        <w:t xml:space="preserve">Подібні докази до рис. </w:t>
      </w:r>
      <w:r w:rsidR="00811C8F">
        <w:rPr>
          <w:rFonts w:ascii="Times New Roman" w:hAnsi="Times New Roman" w:cs="Times New Roman"/>
          <w:sz w:val="28"/>
          <w:szCs w:val="28"/>
        </w:rPr>
        <w:t>2.</w:t>
      </w:r>
      <w:r w:rsidRPr="00D354BA">
        <w:rPr>
          <w:rFonts w:ascii="Times New Roman" w:hAnsi="Times New Roman" w:cs="Times New Roman"/>
          <w:sz w:val="28"/>
          <w:szCs w:val="28"/>
        </w:rPr>
        <w:t xml:space="preserve">1, що показує очевидне відокремлення ВВП від конкретних ресурсів, було показано в </w:t>
      </w:r>
      <w:r w:rsidRPr="00D354BA">
        <w:rPr>
          <w:rFonts w:ascii="Times New Roman" w:hAnsi="Times New Roman" w:cs="Times New Roman"/>
          <w:sz w:val="28"/>
          <w:szCs w:val="28"/>
        </w:rPr>
        <w:lastRenderedPageBreak/>
        <w:t>більшій частині ОЕСР [28]. Однак існує кілька обмежень для висновку про відокремлення від національних або регіональних даних. Існує три різні механізми, за допомогою яких ілюзія відокремлення може бути представлена ​​як реальність, коли насправді вона взагалі не відбувається: 1) заміна одного ресурсу іншим; 2) фінансіалізація одного або кількох компонентів ВВП, що передбачає збільшення грошових потоків без супутнього збільшення обсягів виробництва матеріалів та/або енергії, і 3) експорт впливу на навколишнє середовище в іншу країну або регіон світу (тобто поділ виробництва і споживання). Ці ілюзорні форми розв’язки описані щодо енергії нашим колегою [29].</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Додатковий механізм роз’єднання пов’язаний із зростанням нерівності доходів і багатства, що може дозволити ВВП зрости в цілому, в той час як більшість працівників не бачать реального прибутку [30]. Це зростання нерівності може проявлятися як вищий ВВП без пропорційного збільшення матеріального та енергетичного потоку (тобто відносного розмежування), коли багата меншість населення отримує найбільшу частку приросту ВВП, але не обов’язково збільшує рівень свого споживання при такому великому попиті. для енергії та матеріалів [31]. У таких випадках на сукупному рівні спостерігалося б роз’єднання, але сумнівно, що такий нерівний розподіл зростання ВВП означає покращення добробуту.</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 xml:space="preserve">На загальносвітовому рівні, рис. </w:t>
      </w:r>
      <w:r w:rsidR="00811C8F">
        <w:rPr>
          <w:rFonts w:ascii="Times New Roman" w:hAnsi="Times New Roman" w:cs="Times New Roman"/>
          <w:sz w:val="28"/>
          <w:szCs w:val="28"/>
        </w:rPr>
        <w:t>2.</w:t>
      </w:r>
      <w:r w:rsidRPr="00D354BA">
        <w:rPr>
          <w:rFonts w:ascii="Times New Roman" w:hAnsi="Times New Roman" w:cs="Times New Roman"/>
          <w:sz w:val="28"/>
          <w:szCs w:val="28"/>
        </w:rPr>
        <w:t xml:space="preserve">1 показує відносне розрив із зростаючим розривом між ВВП та споживанням ресурсів. У контексті досягнення планетарних кордонів і глобальних екологічних меж, однак, відносне роз’єднання буде недостатнім для підтримки людської цивілізації, орієнтованої на зростання ВВП. Єдиний спосіб досягти по-справжньому сталого зростання – це постійне абсолютне від’єднання. Абсолютне роз’єднання теоретично відбувається, коли вплив на навколишнє середовище зменшується, а економічне зростання триває. Хоча відносне роз’єднання спостерігається в багатьох країнах, абсолютне роз’єднання залишається невловимим [32–34]. Згідно з одним дослідженням [35] жодна країна не досягла абсолютного відокремлення за останні 50 років. В іншому дослідженні [36] повідомляється, що зростання </w:t>
      </w:r>
      <w:r w:rsidRPr="00D354BA">
        <w:rPr>
          <w:rFonts w:ascii="Times New Roman" w:hAnsi="Times New Roman" w:cs="Times New Roman"/>
          <w:sz w:val="28"/>
          <w:szCs w:val="28"/>
        </w:rPr>
        <w:lastRenderedPageBreak/>
        <w:t>населення та зростання достатку є переважним підвищенням ефективності в глобальному масштабі. Вони не знайшли жодних доказів абсолютного зменшення впливу на навколишнє середовище, і на сьогоднішній день мало доказів навіть для зн</w:t>
      </w:r>
      <w:r>
        <w:rPr>
          <w:rFonts w:ascii="Times New Roman" w:hAnsi="Times New Roman" w:cs="Times New Roman"/>
          <w:sz w:val="28"/>
          <w:szCs w:val="28"/>
        </w:rPr>
        <w:t>ачного відносного розмежування.</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Слід зазначити, що технологічний прогрес може призвести до абсолютного розмежування для конкретних видів впливу [37]. Можна, наприклад, замінити забруднювальну діяльність діяльністю, що не забруднює, і значні приклади включають видалення тетраетилсвинцю з автомобільного палива та фреонів з холодоагентів і паливних речовин. Також можна передбачити сценарій, за яким зростання ВВП буде відокремлено від використання викопного палива та пов’язаних з цим викидів CO2 шляхом переходу на 100% відновлювану енергію, але це не те саме, що від’єднання зростання ВВП від використання енергії. У контексті даного дослідження нас цікавлять насамперед фундаментальні ресурси (речовини та енергії) як основи економічної діяльності.</w:t>
      </w:r>
    </w:p>
    <w:p w:rsidR="00D354BA" w:rsidRPr="00D354BA" w:rsidRDefault="00D354BA" w:rsidP="004C587B">
      <w:pPr>
        <w:spacing w:after="0" w:line="360" w:lineRule="auto"/>
        <w:ind w:firstLine="851"/>
        <w:jc w:val="both"/>
        <w:rPr>
          <w:rFonts w:ascii="Times New Roman" w:hAnsi="Times New Roman" w:cs="Times New Roman"/>
          <w:sz w:val="28"/>
          <w:szCs w:val="28"/>
        </w:rPr>
      </w:pPr>
      <w:r w:rsidRPr="00D354BA">
        <w:rPr>
          <w:rFonts w:ascii="Times New Roman" w:hAnsi="Times New Roman" w:cs="Times New Roman"/>
          <w:sz w:val="28"/>
          <w:szCs w:val="28"/>
        </w:rPr>
        <w:t>Проста модель була відкалібрована за опублікованими даними, отриманими в результаті складних прогнозних досліджень роз’єднання, і використана для розробки довгострокового прогнозу впливу на навколишнє середовище в умовах постійного зростання ВВП. Результати потім використовуються для того, щоб зробити висновки про довгострокову життєздатність зростання ВВП як суспільної мети.</w:t>
      </w:r>
    </w:p>
    <w:p w:rsidR="00D354BA" w:rsidRPr="00D354BA" w:rsidRDefault="00D354BA" w:rsidP="004C587B">
      <w:pPr>
        <w:spacing w:after="0" w:line="360" w:lineRule="auto"/>
        <w:ind w:firstLine="851"/>
        <w:jc w:val="both"/>
        <w:rPr>
          <w:rFonts w:ascii="Times New Roman" w:hAnsi="Times New Roman" w:cs="Times New Roman"/>
          <w:sz w:val="28"/>
          <w:szCs w:val="28"/>
        </w:rPr>
      </w:pPr>
    </w:p>
    <w:p w:rsidR="00D354BA" w:rsidRPr="003B4644" w:rsidRDefault="00D354BA" w:rsidP="004C587B">
      <w:pPr>
        <w:spacing w:after="0" w:line="360" w:lineRule="auto"/>
        <w:ind w:firstLine="851"/>
        <w:jc w:val="both"/>
        <w:rPr>
          <w:rFonts w:ascii="Times New Roman" w:hAnsi="Times New Roman" w:cs="Times New Roman"/>
          <w:sz w:val="28"/>
          <w:szCs w:val="28"/>
          <w:lang w:val="en-US"/>
        </w:rPr>
      </w:pPr>
    </w:p>
    <w:p w:rsidR="00D354BA" w:rsidRPr="00D354BA" w:rsidRDefault="00D354BA" w:rsidP="004C587B">
      <w:pPr>
        <w:spacing w:after="0" w:line="360" w:lineRule="auto"/>
        <w:ind w:firstLine="851"/>
        <w:jc w:val="both"/>
        <w:rPr>
          <w:rFonts w:ascii="Times New Roman" w:hAnsi="Times New Roman" w:cs="Times New Roman"/>
          <w:sz w:val="28"/>
          <w:szCs w:val="28"/>
        </w:rPr>
      </w:pPr>
    </w:p>
    <w:p w:rsidR="002D14BD" w:rsidRPr="00D354BA" w:rsidRDefault="002D14BD" w:rsidP="004C587B">
      <w:pPr>
        <w:spacing w:after="0" w:line="360" w:lineRule="auto"/>
        <w:ind w:firstLine="851"/>
        <w:jc w:val="both"/>
        <w:rPr>
          <w:rFonts w:ascii="Times New Roman" w:hAnsi="Times New Roman" w:cs="Times New Roman"/>
          <w:sz w:val="28"/>
          <w:szCs w:val="28"/>
        </w:rPr>
      </w:pPr>
    </w:p>
    <w:p w:rsidR="002D14BD" w:rsidRPr="00D354BA" w:rsidRDefault="003B4644" w:rsidP="00811C8F">
      <w:pPr>
        <w:spacing w:after="0" w:line="360" w:lineRule="auto"/>
        <w:jc w:val="both"/>
        <w:rPr>
          <w:rFonts w:ascii="Times New Roman" w:hAnsi="Times New Roman" w:cs="Times New Roman"/>
          <w:sz w:val="28"/>
          <w:szCs w:val="28"/>
        </w:rPr>
      </w:pPr>
      <w:r w:rsidRPr="003B4644">
        <w:rPr>
          <w:rFonts w:ascii="Times New Roman" w:hAnsi="Times New Roman" w:cs="Times New Roman"/>
          <w:noProof/>
          <w:sz w:val="28"/>
          <w:szCs w:val="28"/>
          <w:lang w:eastAsia="uk-UA"/>
        </w:rPr>
        <w:lastRenderedPageBreak/>
        <w:drawing>
          <wp:inline distT="0" distB="0" distL="0" distR="0">
            <wp:extent cx="6120765" cy="430648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765" cy="4306482"/>
                    </a:xfrm>
                    <a:prstGeom prst="rect">
                      <a:avLst/>
                    </a:prstGeom>
                    <a:noFill/>
                    <a:ln>
                      <a:noFill/>
                    </a:ln>
                  </pic:spPr>
                </pic:pic>
              </a:graphicData>
            </a:graphic>
          </wp:inline>
        </w:drawing>
      </w:r>
    </w:p>
    <w:p w:rsidR="002D14BD" w:rsidRPr="000047F7" w:rsidRDefault="00811C8F" w:rsidP="004C587B">
      <w:pPr>
        <w:spacing w:after="0" w:line="360" w:lineRule="auto"/>
        <w:ind w:firstLine="851"/>
        <w:jc w:val="both"/>
        <w:rPr>
          <w:rFonts w:ascii="Times New Roman" w:hAnsi="Times New Roman" w:cs="Times New Roman"/>
          <w:b/>
          <w:sz w:val="28"/>
          <w:szCs w:val="28"/>
          <w:lang w:val="en-US"/>
        </w:rPr>
      </w:pPr>
      <w:r w:rsidRPr="00811C8F">
        <w:rPr>
          <w:rFonts w:ascii="Times New Roman" w:hAnsi="Times New Roman" w:cs="Times New Roman"/>
          <w:b/>
          <w:sz w:val="28"/>
          <w:szCs w:val="28"/>
        </w:rPr>
        <w:t xml:space="preserve">Рис. 2.2. </w:t>
      </w:r>
      <w:r w:rsidR="005F609C">
        <w:rPr>
          <w:rFonts w:ascii="Times New Roman" w:hAnsi="Times New Roman" w:cs="Times New Roman"/>
          <w:b/>
          <w:sz w:val="28"/>
          <w:szCs w:val="28"/>
        </w:rPr>
        <w:t>Регіоналізація Китаю за декаплінгом</w:t>
      </w:r>
      <w:r w:rsidR="000047F7">
        <w:rPr>
          <w:rFonts w:ascii="Times New Roman" w:hAnsi="Times New Roman" w:cs="Times New Roman"/>
          <w:b/>
          <w:sz w:val="28"/>
          <w:szCs w:val="28"/>
          <w:lang w:val="en-US"/>
        </w:rPr>
        <w:t xml:space="preserve"> [34]</w:t>
      </w:r>
    </w:p>
    <w:p w:rsidR="002D14BD" w:rsidRPr="00D354BA" w:rsidRDefault="002D14BD" w:rsidP="004C587B">
      <w:pPr>
        <w:spacing w:after="0" w:line="360" w:lineRule="auto"/>
        <w:ind w:firstLine="851"/>
        <w:jc w:val="both"/>
        <w:rPr>
          <w:rFonts w:ascii="Times New Roman" w:hAnsi="Times New Roman" w:cs="Times New Roman"/>
          <w:sz w:val="28"/>
          <w:szCs w:val="28"/>
        </w:rPr>
      </w:pPr>
    </w:p>
    <w:p w:rsidR="004D035F" w:rsidRPr="004D035F" w:rsidRDefault="004D035F" w:rsidP="004C587B">
      <w:pPr>
        <w:spacing w:after="0" w:line="360" w:lineRule="auto"/>
        <w:ind w:firstLine="851"/>
        <w:jc w:val="both"/>
        <w:rPr>
          <w:rFonts w:ascii="Times New Roman" w:hAnsi="Times New Roman" w:cs="Times New Roman"/>
          <w:sz w:val="28"/>
          <w:szCs w:val="28"/>
        </w:rPr>
      </w:pPr>
      <w:r w:rsidRPr="004D035F">
        <w:rPr>
          <w:rFonts w:ascii="Times New Roman" w:hAnsi="Times New Roman" w:cs="Times New Roman"/>
          <w:sz w:val="28"/>
          <w:szCs w:val="28"/>
        </w:rPr>
        <w:t>У період з 2000 по 2019 рр. національна економіка підтримувала високі темпи зростання, прич</w:t>
      </w:r>
      <w:r w:rsidR="00F64871">
        <w:rPr>
          <w:rFonts w:ascii="Times New Roman" w:hAnsi="Times New Roman" w:cs="Times New Roman"/>
          <w:sz w:val="28"/>
          <w:szCs w:val="28"/>
        </w:rPr>
        <w:t xml:space="preserve">ому </w:t>
      </w:r>
      <w:r w:rsidRPr="004D035F">
        <w:rPr>
          <w:rFonts w:ascii="Times New Roman" w:hAnsi="Times New Roman" w:cs="Times New Roman"/>
          <w:sz w:val="28"/>
          <w:szCs w:val="28"/>
        </w:rPr>
        <w:t>річні темпи зростання ВВП та ВВП на душу населення залишаються вище 6,4% та 5,8% відповідно. З 2000 по 2007 р. темпи зростання ВВП і ВВП на душу населення зросли з</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9,7% до 14,6% та з 9,2% до 13,9% відповідно. Однак у 2008–2012 рр. зростання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цих параметрів помітно сповільнилися, при цьому ВВП і ВВП на душу населення впали від них</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досягає піку у 2007 р. до 10,3% та 9,6% відповідно у 2012 р. У 2014–2019 рр. зростання цих</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параметри знизилися, але залишилися стабільними на рівні близько 6%.</w:t>
      </w:r>
    </w:p>
    <w:p w:rsidR="002D14BD" w:rsidRPr="00D354BA" w:rsidRDefault="004D035F" w:rsidP="004C587B">
      <w:pPr>
        <w:spacing w:after="0" w:line="360" w:lineRule="auto"/>
        <w:ind w:firstLine="851"/>
        <w:jc w:val="both"/>
        <w:rPr>
          <w:rFonts w:ascii="Times New Roman" w:hAnsi="Times New Roman" w:cs="Times New Roman"/>
          <w:sz w:val="28"/>
          <w:szCs w:val="28"/>
        </w:rPr>
      </w:pPr>
      <w:r w:rsidRPr="004D035F">
        <w:rPr>
          <w:rFonts w:ascii="Times New Roman" w:hAnsi="Times New Roman" w:cs="Times New Roman"/>
          <w:sz w:val="28"/>
          <w:szCs w:val="28"/>
        </w:rPr>
        <w:t>Протягом 2000–2019 років економіка трьох ключових регіонів зберігала високий рівень</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темпи зростання, при річних темпах зростання ВВП і ВВП на душу населення 6,1% і 4,6%,</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відповідно; ці темпи зростання приблизно такі ж, як і по всій країні протягом минулого року</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той самий період. Період 2001–2007 рр. був періодом високого зростання, з річним</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Темпи зростання ВВП досягли максимального значення 14,9% (PRD у 2007 р.) і ВВП на</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 xml:space="preserve">темпи зростання на </w:t>
      </w:r>
      <w:r w:rsidRPr="004D035F">
        <w:rPr>
          <w:rFonts w:ascii="Times New Roman" w:hAnsi="Times New Roman" w:cs="Times New Roman"/>
          <w:sz w:val="28"/>
          <w:szCs w:val="28"/>
        </w:rPr>
        <w:lastRenderedPageBreak/>
        <w:t>душу населення досягли максимального значення 14,3% (BTHS у 2005 році). У 2008–2012 рр</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було помітне уповільнення економічного зростання, причому PRD мала найповільніше зростання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ставка; у цьому регіоні річні темпи зростання ВВП та ВВП на душу населення у 2012 р. становили</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8,2% та 7,3% відповідно. З 2014 по 2019 роки темпи економічного зростання тривали</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повільно в усіх регіонах, за винятком ПРР, де ВВП на душу населення значно знизився в</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2018–2019 рр., при цьому темпи зростання інших регіонів близькі до середньодержавних</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рівні, із середньою різницею менше ніж 1%.</w:t>
      </w:r>
    </w:p>
    <w:p w:rsidR="002D14BD" w:rsidRPr="00D354BA" w:rsidRDefault="002D14BD" w:rsidP="004C587B">
      <w:pPr>
        <w:spacing w:after="0" w:line="360" w:lineRule="auto"/>
        <w:ind w:firstLine="851"/>
        <w:jc w:val="both"/>
        <w:rPr>
          <w:rFonts w:ascii="Times New Roman" w:hAnsi="Times New Roman" w:cs="Times New Roman"/>
          <w:sz w:val="28"/>
          <w:szCs w:val="28"/>
        </w:rPr>
      </w:pPr>
    </w:p>
    <w:p w:rsidR="002D14BD" w:rsidRDefault="004D035F" w:rsidP="005F609C">
      <w:pPr>
        <w:spacing w:after="0" w:line="360" w:lineRule="auto"/>
        <w:jc w:val="both"/>
        <w:rPr>
          <w:rFonts w:ascii="Times New Roman" w:hAnsi="Times New Roman" w:cs="Times New Roman"/>
          <w:sz w:val="28"/>
          <w:szCs w:val="28"/>
        </w:rPr>
      </w:pPr>
      <w:r w:rsidRPr="004D035F">
        <w:rPr>
          <w:rFonts w:ascii="Times New Roman" w:hAnsi="Times New Roman" w:cs="Times New Roman"/>
          <w:noProof/>
          <w:sz w:val="28"/>
          <w:szCs w:val="28"/>
          <w:lang w:eastAsia="uk-UA"/>
        </w:rPr>
        <w:drawing>
          <wp:inline distT="0" distB="0" distL="0" distR="0">
            <wp:extent cx="6120765" cy="223499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765" cy="2234996"/>
                    </a:xfrm>
                    <a:prstGeom prst="rect">
                      <a:avLst/>
                    </a:prstGeom>
                    <a:noFill/>
                    <a:ln>
                      <a:noFill/>
                    </a:ln>
                  </pic:spPr>
                </pic:pic>
              </a:graphicData>
            </a:graphic>
          </wp:inline>
        </w:drawing>
      </w:r>
    </w:p>
    <w:p w:rsidR="004D035F" w:rsidRPr="000047F7" w:rsidRDefault="005F609C" w:rsidP="004C587B">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rPr>
        <w:t>Рис. 2.</w:t>
      </w:r>
      <w:r w:rsidR="004D035F" w:rsidRPr="00F64871">
        <w:rPr>
          <w:rFonts w:ascii="Times New Roman" w:hAnsi="Times New Roman" w:cs="Times New Roman"/>
          <w:b/>
          <w:sz w:val="28"/>
          <w:szCs w:val="28"/>
        </w:rPr>
        <w:t>3. Темпи зростання (а) ВВП і (б) ВВП на душу населення в ключових регіонах (BTHS, YRD, PRD) і типових провінціях</w:t>
      </w:r>
      <w:r w:rsidR="00F64871" w:rsidRPr="00F64871">
        <w:rPr>
          <w:rFonts w:ascii="Times New Roman" w:hAnsi="Times New Roman" w:cs="Times New Roman"/>
          <w:b/>
          <w:sz w:val="28"/>
          <w:szCs w:val="28"/>
        </w:rPr>
        <w:t xml:space="preserve"> </w:t>
      </w:r>
      <w:r w:rsidR="004D035F" w:rsidRPr="00F64871">
        <w:rPr>
          <w:rFonts w:ascii="Times New Roman" w:hAnsi="Times New Roman" w:cs="Times New Roman"/>
          <w:b/>
          <w:sz w:val="28"/>
          <w:szCs w:val="28"/>
        </w:rPr>
        <w:t>(Пекін, Шеньсі), Китай, 2001–2019.</w:t>
      </w:r>
      <w:r w:rsidR="000047F7">
        <w:rPr>
          <w:rFonts w:ascii="Times New Roman" w:hAnsi="Times New Roman" w:cs="Times New Roman"/>
          <w:b/>
          <w:sz w:val="28"/>
          <w:szCs w:val="28"/>
          <w:lang w:val="en-US"/>
        </w:rPr>
        <w:t>[24]</w:t>
      </w:r>
    </w:p>
    <w:p w:rsidR="004D035F" w:rsidRPr="004D035F" w:rsidRDefault="004D035F" w:rsidP="004C587B">
      <w:pPr>
        <w:spacing w:after="0" w:line="360" w:lineRule="auto"/>
        <w:ind w:firstLine="851"/>
        <w:jc w:val="both"/>
        <w:rPr>
          <w:rFonts w:ascii="Times New Roman" w:hAnsi="Times New Roman" w:cs="Times New Roman"/>
          <w:sz w:val="28"/>
          <w:szCs w:val="28"/>
        </w:rPr>
      </w:pPr>
      <w:r w:rsidRPr="004D035F">
        <w:rPr>
          <w:rFonts w:ascii="Times New Roman" w:hAnsi="Times New Roman" w:cs="Times New Roman"/>
          <w:sz w:val="28"/>
          <w:szCs w:val="28"/>
        </w:rPr>
        <w:t>У період з 2000 по 2019 роки темпи економічного зростання Пекіна та Шеньсі показали</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зовсім інші тенденції. З 2001 по 2007 роки економіка Пекіна підтримувала високі темпи зростання,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при цьому річні темпи зростання ВВП і ВВП на душу населення залишаються вище 7%. У 2008 р.</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темпи зростання різко впали, при цьому знизилися річні темпи зростання ВВП на душу населення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до 3,2%. З 2009 по 2019 роки темпи зростання ВВП Пекіна мали тенденцію до зниження,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найнижчий річний темп приросту 6,1% спостерігався у 2019 р., тоді як темп зростання</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ВВП на душу населення зростав щороку, досягнувши піку в 7,5% у 2018 році. Пекін – єдиний регіон</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розглядається в цьому дослідженні, де темпи зростання ВВП на душу населення збільшувалися щороку між ними</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2010 та 2019 рр. Це явище може бути пов’язане із уповільненням зростання населення</w:t>
      </w:r>
      <w:r w:rsidR="00396CC5">
        <w:rPr>
          <w:rFonts w:ascii="Times New Roman" w:hAnsi="Times New Roman" w:cs="Times New Roman"/>
          <w:sz w:val="28"/>
          <w:szCs w:val="28"/>
        </w:rPr>
        <w:t xml:space="preserve"> </w:t>
      </w:r>
      <w:r w:rsidRPr="004D035F">
        <w:rPr>
          <w:rFonts w:ascii="Times New Roman" w:hAnsi="Times New Roman" w:cs="Times New Roman"/>
          <w:sz w:val="28"/>
          <w:szCs w:val="28"/>
        </w:rPr>
        <w:lastRenderedPageBreak/>
        <w:t>в Пекіні в цей період; Приріст населення Пекіна знизився з 5,5% у 2010 р</w:t>
      </w:r>
      <w:r w:rsidR="00F64871">
        <w:rPr>
          <w:rFonts w:ascii="Times New Roman" w:hAnsi="Times New Roman" w:cs="Times New Roman"/>
          <w:sz w:val="28"/>
          <w:szCs w:val="28"/>
        </w:rPr>
        <w:t xml:space="preserve"> </w:t>
      </w:r>
      <w:r w:rsidRPr="004D035F">
        <w:rPr>
          <w:rFonts w:ascii="Times New Roman" w:hAnsi="Times New Roman" w:cs="Times New Roman"/>
          <w:sz w:val="28"/>
          <w:szCs w:val="28"/>
        </w:rPr>
        <w:t>0% у 2019 році. Тенденція економічного зростання Шеньсі була приблизно такою ж, як і національна</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в середньому, при цьому ВВП і ВВП на душу населення досягають відповідних піків у 16,4% і</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16,1% у 2008 році та їх відповідні мінімуми 6,0% та 6,1% у 2019 році.</w:t>
      </w:r>
    </w:p>
    <w:p w:rsidR="00B23868" w:rsidRPr="00B23868" w:rsidRDefault="004D035F" w:rsidP="004C587B">
      <w:pPr>
        <w:spacing w:after="0" w:line="360" w:lineRule="auto"/>
        <w:ind w:firstLine="851"/>
        <w:jc w:val="both"/>
        <w:rPr>
          <w:rFonts w:ascii="Times New Roman" w:hAnsi="Times New Roman" w:cs="Times New Roman"/>
          <w:sz w:val="28"/>
          <w:szCs w:val="28"/>
        </w:rPr>
      </w:pPr>
      <w:r w:rsidRPr="00E0775F">
        <w:rPr>
          <w:rFonts w:ascii="Times New Roman" w:hAnsi="Times New Roman" w:cs="Times New Roman"/>
          <w:i/>
          <w:sz w:val="28"/>
          <w:szCs w:val="28"/>
        </w:rPr>
        <w:t>Аналіз відокремлення економічного зростання від концентрації SO2</w:t>
      </w:r>
      <w:r w:rsidR="00E0775F">
        <w:rPr>
          <w:rFonts w:ascii="Times New Roman" w:hAnsi="Times New Roman" w:cs="Times New Roman"/>
          <w:i/>
          <w:sz w:val="28"/>
          <w:szCs w:val="28"/>
        </w:rPr>
        <w:t xml:space="preserve">. </w:t>
      </w:r>
      <w:r w:rsidRPr="004D035F">
        <w:rPr>
          <w:rFonts w:ascii="Times New Roman" w:hAnsi="Times New Roman" w:cs="Times New Roman"/>
          <w:sz w:val="28"/>
          <w:szCs w:val="28"/>
        </w:rPr>
        <w:t>З 2000 по 2019 рік середня концентрація SO2 в Китаї різко знизилася,</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з 2000 по 2019 рр. знизилася на 75,6%. Середня національна концентрація SO2 повільно</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зростав з 2001 по 2003 рр., збільшившись на 13,9% у 2003 р. З 2004 по 2012 рр.</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стійка тенденція до зниження, при цьому максимальне щорічне зниження на 9,1% припало на 2012 рік.</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З 2014 по 2019 рік середня національна концентрація SO2 знизилася більшою мірою</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порівняно з попередніми роками, причому найбільше зниження на 22,1% спостерігалося у 2018 р. Для ключового</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регіонах (, концентрації SO2 також значно знизилися між 2000 р</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 xml:space="preserve">2019 року зі зменшенням на 79,5%, 64,4% та 53,8% у </w:t>
      </w:r>
      <w:r w:rsidR="00E0775F">
        <w:rPr>
          <w:rFonts w:ascii="Times New Roman" w:hAnsi="Times New Roman" w:cs="Times New Roman"/>
          <w:sz w:val="28"/>
          <w:szCs w:val="28"/>
        </w:rPr>
        <w:t>BTHS, YRD та PRD відповідно. З</w:t>
      </w:r>
      <w:r w:rsidRPr="004D035F">
        <w:rPr>
          <w:rFonts w:ascii="Times New Roman" w:hAnsi="Times New Roman" w:cs="Times New Roman"/>
          <w:sz w:val="28"/>
          <w:szCs w:val="28"/>
        </w:rPr>
        <w:t>ниження між 2014 і 2017 роками було більшим, ніж у попередні роки, зі зменшенням на</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20,1%, 15,9% та 26,2% відповідно. У період з 2018 по 2019 роки концентрації SO2 в</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регіони BTHS і YRD продовжували значно скорочуватися, досягнувши найвищого річного значення</w:t>
      </w:r>
      <w:r w:rsidR="00E0775F">
        <w:rPr>
          <w:rFonts w:ascii="Times New Roman" w:hAnsi="Times New Roman" w:cs="Times New Roman"/>
          <w:sz w:val="28"/>
          <w:szCs w:val="28"/>
        </w:rPr>
        <w:t xml:space="preserve"> </w:t>
      </w:r>
      <w:r w:rsidRPr="004D035F">
        <w:rPr>
          <w:rFonts w:ascii="Times New Roman" w:hAnsi="Times New Roman" w:cs="Times New Roman"/>
          <w:sz w:val="28"/>
          <w:szCs w:val="28"/>
        </w:rPr>
        <w:t>зменшується на 30,8% та 23,8% відповідно, у 2018 році, тоді як зниження PRD було меншим.</w:t>
      </w:r>
      <w:r w:rsidR="00E0775F">
        <w:rPr>
          <w:rFonts w:ascii="Times New Roman" w:hAnsi="Times New Roman" w:cs="Times New Roman"/>
          <w:sz w:val="28"/>
          <w:szCs w:val="28"/>
        </w:rPr>
        <w:t xml:space="preserve"> </w:t>
      </w:r>
      <w:r w:rsidR="00B23868" w:rsidRPr="00B23868">
        <w:rPr>
          <w:rFonts w:ascii="Times New Roman" w:hAnsi="Times New Roman" w:cs="Times New Roman"/>
          <w:sz w:val="28"/>
          <w:szCs w:val="28"/>
        </w:rPr>
        <w:t>Коефіцієнти розмежування між забрудненням SO2 і ВВП, а також ВВП на душу населення</w:t>
      </w:r>
      <w:r w:rsidR="00E0775F">
        <w:rPr>
          <w:rFonts w:ascii="Times New Roman" w:hAnsi="Times New Roman" w:cs="Times New Roman"/>
          <w:sz w:val="28"/>
          <w:szCs w:val="28"/>
        </w:rPr>
        <w:t xml:space="preserve"> </w:t>
      </w:r>
      <w:r w:rsidR="00B23868" w:rsidRPr="00B23868">
        <w:rPr>
          <w:rFonts w:ascii="Times New Roman" w:hAnsi="Times New Roman" w:cs="Times New Roman"/>
          <w:sz w:val="28"/>
          <w:szCs w:val="28"/>
        </w:rPr>
        <w:t>у ключових регіонах і типових провінціях Китаю з 2001 по 2019 рр.</w:t>
      </w:r>
      <w:r w:rsidR="00E0775F">
        <w:rPr>
          <w:rFonts w:ascii="Times New Roman" w:hAnsi="Times New Roman" w:cs="Times New Roman"/>
          <w:sz w:val="28"/>
          <w:szCs w:val="28"/>
        </w:rPr>
        <w:t xml:space="preserve"> </w:t>
      </w:r>
    </w:p>
    <w:p w:rsidR="00B23868" w:rsidRPr="00B23868" w:rsidRDefault="00B23868" w:rsidP="004C587B">
      <w:pPr>
        <w:spacing w:after="0" w:line="360" w:lineRule="auto"/>
        <w:ind w:firstLine="851"/>
        <w:jc w:val="both"/>
        <w:rPr>
          <w:rFonts w:ascii="Times New Roman" w:hAnsi="Times New Roman" w:cs="Times New Roman"/>
          <w:sz w:val="28"/>
          <w:szCs w:val="28"/>
        </w:rPr>
      </w:pPr>
      <w:r w:rsidRPr="00B23868">
        <w:rPr>
          <w:rFonts w:ascii="Times New Roman" w:hAnsi="Times New Roman" w:cs="Times New Roman"/>
          <w:sz w:val="28"/>
          <w:szCs w:val="28"/>
        </w:rPr>
        <w:t xml:space="preserve">Спостерігалися такі характеристики: </w:t>
      </w:r>
      <w:r w:rsidR="00E0775F">
        <w:rPr>
          <w:rFonts w:ascii="Times New Roman" w:hAnsi="Times New Roman" w:cs="Times New Roman"/>
          <w:sz w:val="28"/>
          <w:szCs w:val="28"/>
        </w:rPr>
        <w:t>у</w:t>
      </w:r>
      <w:r w:rsidRPr="00B23868">
        <w:rPr>
          <w:rFonts w:ascii="Times New Roman" w:hAnsi="Times New Roman" w:cs="Times New Roman"/>
          <w:sz w:val="28"/>
          <w:szCs w:val="28"/>
        </w:rPr>
        <w:t xml:space="preserve"> загальнонаціональній перспективі Китай має хороший рівень розмежування між забрудненням SO2 і</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економічний розвиток. За винятком 2003 року, всі інші роки мають сильне та слабке розмежування,</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з яких 89,4% припадає на роки сильного розмежування. Коефіцієнт розв’язки показав</w:t>
      </w:r>
      <w:r w:rsidR="00E0775F">
        <w:rPr>
          <w:rFonts w:ascii="Times New Roman" w:hAnsi="Times New Roman" w:cs="Times New Roman"/>
          <w:sz w:val="28"/>
          <w:szCs w:val="28"/>
        </w:rPr>
        <w:t xml:space="preserve"> чітку тенденцію</w:t>
      </w:r>
      <w:r w:rsidRPr="00B23868">
        <w:rPr>
          <w:rFonts w:ascii="Times New Roman" w:hAnsi="Times New Roman" w:cs="Times New Roman"/>
          <w:sz w:val="28"/>
          <w:szCs w:val="28"/>
        </w:rPr>
        <w:t xml:space="preserve"> до зниження від піку 1,20 у 2003 році до найнижчого значення 3,56 у 2018 році.</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Коефіцієнт роз’єднання помітно знизився з 2004 по 2005 роки, з</w:t>
      </w:r>
      <w:r w:rsidR="00E0775F">
        <w:rPr>
          <w:rFonts w:ascii="Times New Roman" w:hAnsi="Times New Roman" w:cs="Times New Roman"/>
          <w:sz w:val="28"/>
          <w:szCs w:val="28"/>
        </w:rPr>
        <w:t xml:space="preserve"> експансивної негативної </w:t>
      </w:r>
      <w:r w:rsidRPr="00B23868">
        <w:rPr>
          <w:rFonts w:ascii="Times New Roman" w:hAnsi="Times New Roman" w:cs="Times New Roman"/>
          <w:sz w:val="28"/>
          <w:szCs w:val="28"/>
        </w:rPr>
        <w:t>розв'язк</w:t>
      </w:r>
      <w:r w:rsidR="00E0775F">
        <w:rPr>
          <w:rFonts w:ascii="Times New Roman" w:hAnsi="Times New Roman" w:cs="Times New Roman"/>
          <w:sz w:val="28"/>
          <w:szCs w:val="28"/>
        </w:rPr>
        <w:t>и</w:t>
      </w:r>
      <w:r w:rsidRPr="00B23868">
        <w:rPr>
          <w:rFonts w:ascii="Times New Roman" w:hAnsi="Times New Roman" w:cs="Times New Roman"/>
          <w:sz w:val="28"/>
          <w:szCs w:val="28"/>
        </w:rPr>
        <w:t xml:space="preserve"> до сильної або слабкої розв'язки. Крім того,</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 xml:space="preserve">було ще одне значне зниження між 2014 та 2015 </w:t>
      </w:r>
      <w:r w:rsidRPr="00B23868">
        <w:rPr>
          <w:rFonts w:ascii="Times New Roman" w:hAnsi="Times New Roman" w:cs="Times New Roman"/>
          <w:sz w:val="28"/>
          <w:szCs w:val="28"/>
        </w:rPr>
        <w:lastRenderedPageBreak/>
        <w:t>роками. Коефіцієнти роз’єднання</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регіони BTHS та PRD досягли найнижчих рівнів 5,06 та 3,87 відповідно у</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2018 р., тоді як показник PRD досяг найнижчого рівня 3,88 у 2015 р. (3) З 2014 по 2019 рр.</w:t>
      </w:r>
      <w:r w:rsidR="00E0775F">
        <w:rPr>
          <w:rFonts w:ascii="Times New Roman" w:hAnsi="Times New Roman" w:cs="Times New Roman"/>
          <w:sz w:val="28"/>
          <w:szCs w:val="28"/>
        </w:rPr>
        <w:t xml:space="preserve"> В</w:t>
      </w:r>
      <w:r w:rsidRPr="00B23868">
        <w:rPr>
          <w:rFonts w:ascii="Times New Roman" w:hAnsi="Times New Roman" w:cs="Times New Roman"/>
          <w:sz w:val="28"/>
          <w:szCs w:val="28"/>
        </w:rPr>
        <w:t>ідокремлення в регіонах BTHS та YRD було кращим, ніж у середньому по країні та</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що PRD. Протягом цього періоду середні коефіцієнти роз’єднання в BTHS, YRD,</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та ПРД регіонів та всієї країни, становили 2,97, 2,63, 1,75 та 2,42 відповідно.</w:t>
      </w:r>
      <w:r w:rsidR="00E0775F">
        <w:rPr>
          <w:rFonts w:ascii="Times New Roman" w:hAnsi="Times New Roman" w:cs="Times New Roman"/>
          <w:sz w:val="28"/>
          <w:szCs w:val="28"/>
        </w:rPr>
        <w:t xml:space="preserve"> </w:t>
      </w:r>
    </w:p>
    <w:p w:rsidR="00B23868" w:rsidRPr="00B23868" w:rsidRDefault="00B23868" w:rsidP="004C587B">
      <w:pPr>
        <w:spacing w:after="0" w:line="360" w:lineRule="auto"/>
        <w:ind w:firstLine="851"/>
        <w:jc w:val="both"/>
        <w:rPr>
          <w:rFonts w:ascii="Times New Roman" w:hAnsi="Times New Roman" w:cs="Times New Roman"/>
          <w:sz w:val="28"/>
          <w:szCs w:val="28"/>
        </w:rPr>
      </w:pPr>
      <w:r w:rsidRPr="00B23868">
        <w:rPr>
          <w:rFonts w:ascii="Times New Roman" w:hAnsi="Times New Roman" w:cs="Times New Roman"/>
          <w:sz w:val="28"/>
          <w:szCs w:val="28"/>
        </w:rPr>
        <w:t>З 2017 по 2019 рік коефіцієнт розв’язки в регіоні PRD був значно вищим</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ніж у регіонах BTHS та YRD, що значно сприяло його високому</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середній рівень з 2014 по 2019 рр. По-третє, для типових провінцій, з 2014 р.</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до 2019 року відокремлення в Пекіні загалом було значно кращим, ніж у середньому по країні.</w:t>
      </w:r>
    </w:p>
    <w:p w:rsidR="00B23868" w:rsidRDefault="00B23868" w:rsidP="004C587B">
      <w:pPr>
        <w:spacing w:after="0" w:line="360" w:lineRule="auto"/>
        <w:ind w:firstLine="851"/>
        <w:jc w:val="both"/>
        <w:rPr>
          <w:rFonts w:ascii="Times New Roman" w:hAnsi="Times New Roman" w:cs="Times New Roman"/>
          <w:sz w:val="28"/>
          <w:szCs w:val="28"/>
        </w:rPr>
      </w:pPr>
      <w:r w:rsidRPr="00B23868">
        <w:rPr>
          <w:rFonts w:ascii="Times New Roman" w:hAnsi="Times New Roman" w:cs="Times New Roman"/>
          <w:sz w:val="28"/>
          <w:szCs w:val="28"/>
        </w:rPr>
        <w:t>З 2018 по 2019 рр. відокремлення в Шеньсі значно покращилося.</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коефіцієнт значно знизився. У 2019 році коефіцієнт роз’єднання в Шеньсі зберігся</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тенденція до зниження, незважаючи на загальне відновлення в країні, досягнувши рекордно низького рівня</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з 4,41; це був перший раз з 2016 року, коли він був нижчим за середній по країні (2,38 у</w:t>
      </w:r>
      <w:r w:rsidR="00E0775F">
        <w:rPr>
          <w:rFonts w:ascii="Times New Roman" w:hAnsi="Times New Roman" w:cs="Times New Roman"/>
          <w:sz w:val="28"/>
          <w:szCs w:val="28"/>
        </w:rPr>
        <w:t xml:space="preserve"> </w:t>
      </w:r>
      <w:r w:rsidRPr="00B23868">
        <w:rPr>
          <w:rFonts w:ascii="Times New Roman" w:hAnsi="Times New Roman" w:cs="Times New Roman"/>
          <w:sz w:val="28"/>
          <w:szCs w:val="28"/>
        </w:rPr>
        <w:t>2019), а різниця (2,03) була найбільшою за всю історію.</w:t>
      </w:r>
    </w:p>
    <w:p w:rsidR="00010295" w:rsidRPr="00010295" w:rsidRDefault="00010295" w:rsidP="004C587B">
      <w:pPr>
        <w:spacing w:after="0" w:line="360" w:lineRule="auto"/>
        <w:ind w:firstLine="851"/>
        <w:jc w:val="both"/>
        <w:rPr>
          <w:rFonts w:ascii="Times New Roman" w:hAnsi="Times New Roman" w:cs="Times New Roman"/>
          <w:sz w:val="28"/>
          <w:szCs w:val="28"/>
        </w:rPr>
      </w:pPr>
      <w:r w:rsidRPr="00010295">
        <w:rPr>
          <w:rFonts w:ascii="Times New Roman" w:hAnsi="Times New Roman" w:cs="Times New Roman"/>
          <w:sz w:val="28"/>
          <w:szCs w:val="28"/>
        </w:rPr>
        <w:t>За даними регресійного аналізу концентрації SO2 та ВВП на душу населення в</w:t>
      </w:r>
      <w:r w:rsidR="00396CC5">
        <w:rPr>
          <w:rFonts w:ascii="Times New Roman" w:hAnsi="Times New Roman" w:cs="Times New Roman"/>
          <w:sz w:val="28"/>
          <w:szCs w:val="28"/>
        </w:rPr>
        <w:t xml:space="preserve"> </w:t>
      </w:r>
      <w:r w:rsidRPr="00010295">
        <w:rPr>
          <w:rFonts w:ascii="Times New Roman" w:hAnsi="Times New Roman" w:cs="Times New Roman"/>
          <w:sz w:val="28"/>
          <w:szCs w:val="28"/>
        </w:rPr>
        <w:t xml:space="preserve">трьох ключових регіонах з 2001 по 2019 (рис. </w:t>
      </w:r>
      <w:r w:rsidR="00396CC5">
        <w:rPr>
          <w:rFonts w:ascii="Times New Roman" w:hAnsi="Times New Roman" w:cs="Times New Roman"/>
          <w:sz w:val="28"/>
          <w:szCs w:val="28"/>
        </w:rPr>
        <w:t>2.4</w:t>
      </w:r>
      <w:r w:rsidRPr="00010295">
        <w:rPr>
          <w:rFonts w:ascii="Times New Roman" w:hAnsi="Times New Roman" w:cs="Times New Roman"/>
          <w:sz w:val="28"/>
          <w:szCs w:val="28"/>
        </w:rPr>
        <w:t>), значення R2 відповідних кривих між</w:t>
      </w:r>
      <w:r w:rsidR="00E0775F">
        <w:rPr>
          <w:rFonts w:ascii="Times New Roman" w:hAnsi="Times New Roman" w:cs="Times New Roman"/>
          <w:sz w:val="28"/>
          <w:szCs w:val="28"/>
        </w:rPr>
        <w:t xml:space="preserve"> концентрацією</w:t>
      </w:r>
      <w:r w:rsidRPr="00010295">
        <w:rPr>
          <w:rFonts w:ascii="Times New Roman" w:hAnsi="Times New Roman" w:cs="Times New Roman"/>
          <w:sz w:val="28"/>
          <w:szCs w:val="28"/>
        </w:rPr>
        <w:t xml:space="preserve"> SO2 та ВВП на душу населення у трьох ключових регіонах більше ніж 0,6,</w:t>
      </w:r>
      <w:r w:rsidR="00E0775F">
        <w:rPr>
          <w:rFonts w:ascii="Times New Roman" w:hAnsi="Times New Roman" w:cs="Times New Roman"/>
          <w:sz w:val="28"/>
          <w:szCs w:val="28"/>
        </w:rPr>
        <w:t xml:space="preserve"> </w:t>
      </w:r>
      <w:r w:rsidRPr="00010295">
        <w:rPr>
          <w:rFonts w:ascii="Times New Roman" w:hAnsi="Times New Roman" w:cs="Times New Roman"/>
          <w:sz w:val="28"/>
          <w:szCs w:val="28"/>
        </w:rPr>
        <w:t>показуючи сильну кореляцію. Зі збіль</w:t>
      </w:r>
      <w:r w:rsidR="00E0775F">
        <w:rPr>
          <w:rFonts w:ascii="Times New Roman" w:hAnsi="Times New Roman" w:cs="Times New Roman"/>
          <w:sz w:val="28"/>
          <w:szCs w:val="28"/>
        </w:rPr>
        <w:t xml:space="preserve">шенням ВВП концентрація SO2 </w:t>
      </w:r>
      <w:r w:rsidRPr="00010295">
        <w:rPr>
          <w:rFonts w:ascii="Times New Roman" w:hAnsi="Times New Roman" w:cs="Times New Roman"/>
          <w:sz w:val="28"/>
          <w:szCs w:val="28"/>
        </w:rPr>
        <w:t>ключові регіони загалом демонстрували стійку тенденцію до зниження; це свідчить про те, що в останні роки</w:t>
      </w:r>
      <w:r w:rsidR="00E0775F">
        <w:rPr>
          <w:rFonts w:ascii="Times New Roman" w:hAnsi="Times New Roman" w:cs="Times New Roman"/>
          <w:sz w:val="28"/>
          <w:szCs w:val="28"/>
        </w:rPr>
        <w:t xml:space="preserve"> з</w:t>
      </w:r>
      <w:r w:rsidRPr="00010295">
        <w:rPr>
          <w:rFonts w:ascii="Times New Roman" w:hAnsi="Times New Roman" w:cs="Times New Roman"/>
          <w:sz w:val="28"/>
          <w:szCs w:val="28"/>
        </w:rPr>
        <w:t>абруднення SO2 в цих ключових регіонах поступово зменшується разом із економічним зростанням,</w:t>
      </w:r>
      <w:r w:rsidR="00E0775F">
        <w:rPr>
          <w:rFonts w:ascii="Times New Roman" w:hAnsi="Times New Roman" w:cs="Times New Roman"/>
          <w:sz w:val="28"/>
          <w:szCs w:val="28"/>
        </w:rPr>
        <w:t xml:space="preserve"> </w:t>
      </w:r>
      <w:r w:rsidRPr="00010295">
        <w:rPr>
          <w:rFonts w:ascii="Times New Roman" w:hAnsi="Times New Roman" w:cs="Times New Roman"/>
          <w:sz w:val="28"/>
          <w:szCs w:val="28"/>
        </w:rPr>
        <w:t>і стосунки між ними добре скоординовані, що взаємно підтверджується</w:t>
      </w:r>
      <w:r w:rsidR="00E0775F">
        <w:rPr>
          <w:rFonts w:ascii="Times New Roman" w:hAnsi="Times New Roman" w:cs="Times New Roman"/>
          <w:sz w:val="28"/>
          <w:szCs w:val="28"/>
        </w:rPr>
        <w:t xml:space="preserve"> </w:t>
      </w:r>
      <w:r w:rsidRPr="00010295">
        <w:rPr>
          <w:rFonts w:ascii="Times New Roman" w:hAnsi="Times New Roman" w:cs="Times New Roman"/>
          <w:sz w:val="28"/>
          <w:szCs w:val="28"/>
        </w:rPr>
        <w:t>результати аналізу відокремлення.</w:t>
      </w:r>
    </w:p>
    <w:p w:rsidR="00010295" w:rsidRDefault="00010295" w:rsidP="004C587B">
      <w:pPr>
        <w:spacing w:after="0" w:line="360" w:lineRule="auto"/>
        <w:ind w:firstLine="851"/>
        <w:jc w:val="both"/>
        <w:rPr>
          <w:rFonts w:ascii="Times New Roman" w:hAnsi="Times New Roman" w:cs="Times New Roman"/>
          <w:sz w:val="28"/>
          <w:szCs w:val="28"/>
        </w:rPr>
      </w:pPr>
      <w:r w:rsidRPr="00010295">
        <w:rPr>
          <w:rFonts w:ascii="Times New Roman" w:hAnsi="Times New Roman" w:cs="Times New Roman"/>
          <w:sz w:val="28"/>
          <w:szCs w:val="28"/>
        </w:rPr>
        <w:t>З 2001 по 2019 рік загальна концентрація PM10 в Китаї демонструвала постійне зниження</w:t>
      </w:r>
      <w:r w:rsidR="00E0775F">
        <w:rPr>
          <w:rFonts w:ascii="Times New Roman" w:hAnsi="Times New Roman" w:cs="Times New Roman"/>
          <w:sz w:val="28"/>
          <w:szCs w:val="28"/>
        </w:rPr>
        <w:t xml:space="preserve"> тенденції</w:t>
      </w:r>
      <w:r w:rsidRPr="00010295">
        <w:rPr>
          <w:rFonts w:ascii="Times New Roman" w:hAnsi="Times New Roman" w:cs="Times New Roman"/>
          <w:sz w:val="28"/>
          <w:szCs w:val="28"/>
        </w:rPr>
        <w:t xml:space="preserve"> до падіння загалом на 44,2%. З 2003 по 2005 рр. відбулося значне зниження,</w:t>
      </w:r>
      <w:r w:rsidR="001271D1">
        <w:rPr>
          <w:rFonts w:ascii="Times New Roman" w:hAnsi="Times New Roman" w:cs="Times New Roman"/>
          <w:sz w:val="28"/>
          <w:szCs w:val="28"/>
        </w:rPr>
        <w:t xml:space="preserve"> </w:t>
      </w:r>
      <w:r w:rsidRPr="00010295">
        <w:rPr>
          <w:rFonts w:ascii="Times New Roman" w:hAnsi="Times New Roman" w:cs="Times New Roman"/>
          <w:sz w:val="28"/>
          <w:szCs w:val="28"/>
        </w:rPr>
        <w:t>з темпами зниження 12,0% та 11,1% у 2005 та 2015 роках відповідно. Між</w:t>
      </w:r>
      <w:r w:rsidR="001271D1">
        <w:rPr>
          <w:rFonts w:ascii="Times New Roman" w:hAnsi="Times New Roman" w:cs="Times New Roman"/>
          <w:sz w:val="28"/>
          <w:szCs w:val="28"/>
        </w:rPr>
        <w:t xml:space="preserve"> </w:t>
      </w:r>
      <w:r w:rsidRPr="00010295">
        <w:rPr>
          <w:rFonts w:ascii="Times New Roman" w:hAnsi="Times New Roman" w:cs="Times New Roman"/>
          <w:sz w:val="28"/>
          <w:szCs w:val="28"/>
        </w:rPr>
        <w:t>2001 і 2019 рр. концентрація PM10 зменшилася на 33,6%, 46,7% і 27,9% у BTHS,</w:t>
      </w:r>
      <w:r w:rsidR="001271D1">
        <w:rPr>
          <w:rFonts w:ascii="Times New Roman" w:hAnsi="Times New Roman" w:cs="Times New Roman"/>
          <w:sz w:val="28"/>
          <w:szCs w:val="28"/>
        </w:rPr>
        <w:t xml:space="preserve"> </w:t>
      </w:r>
      <w:r w:rsidRPr="00010295">
        <w:rPr>
          <w:rFonts w:ascii="Times New Roman" w:hAnsi="Times New Roman" w:cs="Times New Roman"/>
          <w:sz w:val="28"/>
          <w:szCs w:val="28"/>
        </w:rPr>
        <w:t xml:space="preserve">YRD та PRD регіони відповідно. З 2002 по 2017 рр. </w:t>
      </w:r>
      <w:r w:rsidRPr="00010295">
        <w:rPr>
          <w:rFonts w:ascii="Times New Roman" w:hAnsi="Times New Roman" w:cs="Times New Roman"/>
          <w:sz w:val="28"/>
          <w:szCs w:val="28"/>
        </w:rPr>
        <w:lastRenderedPageBreak/>
        <w:t>загалом був стабільний</w:t>
      </w:r>
      <w:r w:rsidR="001271D1">
        <w:rPr>
          <w:rFonts w:ascii="Times New Roman" w:hAnsi="Times New Roman" w:cs="Times New Roman"/>
          <w:sz w:val="28"/>
          <w:szCs w:val="28"/>
        </w:rPr>
        <w:t xml:space="preserve"> </w:t>
      </w:r>
      <w:r w:rsidRPr="00010295">
        <w:rPr>
          <w:rFonts w:ascii="Times New Roman" w:hAnsi="Times New Roman" w:cs="Times New Roman"/>
          <w:sz w:val="28"/>
          <w:szCs w:val="28"/>
        </w:rPr>
        <w:t>зниження у всіх трьох регіонах. З 2018 по 2019 рік концентрація продовжувала знижуватися</w:t>
      </w:r>
      <w:r w:rsidR="001271D1">
        <w:rPr>
          <w:rFonts w:ascii="Times New Roman" w:hAnsi="Times New Roman" w:cs="Times New Roman"/>
          <w:sz w:val="28"/>
          <w:szCs w:val="28"/>
        </w:rPr>
        <w:t xml:space="preserve"> </w:t>
      </w:r>
      <w:r w:rsidRPr="00010295">
        <w:rPr>
          <w:rFonts w:ascii="Times New Roman" w:hAnsi="Times New Roman" w:cs="Times New Roman"/>
          <w:sz w:val="28"/>
          <w:szCs w:val="28"/>
        </w:rPr>
        <w:t xml:space="preserve">регіонах BTHS і YRD, тоді як в регіоні PRD він спочатку знизився, а потім підвищився. </w:t>
      </w:r>
    </w:p>
    <w:p w:rsidR="00010295" w:rsidRDefault="00010295" w:rsidP="000C012B">
      <w:pPr>
        <w:spacing w:after="0" w:line="360" w:lineRule="auto"/>
        <w:jc w:val="both"/>
        <w:rPr>
          <w:rFonts w:ascii="Times New Roman" w:hAnsi="Times New Roman" w:cs="Times New Roman"/>
          <w:sz w:val="28"/>
          <w:szCs w:val="28"/>
        </w:rPr>
      </w:pPr>
      <w:r w:rsidRPr="00010295">
        <w:rPr>
          <w:rFonts w:ascii="Times New Roman" w:hAnsi="Times New Roman" w:cs="Times New Roman"/>
          <w:noProof/>
          <w:sz w:val="28"/>
          <w:szCs w:val="28"/>
          <w:lang w:eastAsia="uk-UA"/>
        </w:rPr>
        <w:drawing>
          <wp:inline distT="0" distB="0" distL="0" distR="0">
            <wp:extent cx="6120765" cy="35086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765" cy="3508620"/>
                    </a:xfrm>
                    <a:prstGeom prst="rect">
                      <a:avLst/>
                    </a:prstGeom>
                    <a:noFill/>
                    <a:ln>
                      <a:noFill/>
                    </a:ln>
                  </pic:spPr>
                </pic:pic>
              </a:graphicData>
            </a:graphic>
          </wp:inline>
        </w:drawing>
      </w:r>
    </w:p>
    <w:p w:rsidR="00EE119E" w:rsidRPr="000047F7" w:rsidRDefault="00EE119E" w:rsidP="004C587B">
      <w:pPr>
        <w:spacing w:after="0" w:line="360" w:lineRule="auto"/>
        <w:ind w:firstLine="851"/>
        <w:jc w:val="center"/>
        <w:rPr>
          <w:rFonts w:ascii="Times New Roman" w:hAnsi="Times New Roman" w:cs="Times New Roman"/>
          <w:b/>
          <w:sz w:val="28"/>
          <w:szCs w:val="28"/>
          <w:lang w:val="en-US"/>
        </w:rPr>
      </w:pPr>
      <w:r w:rsidRPr="00396CC5">
        <w:rPr>
          <w:rFonts w:ascii="Times New Roman" w:hAnsi="Times New Roman" w:cs="Times New Roman"/>
          <w:b/>
          <w:sz w:val="28"/>
          <w:szCs w:val="28"/>
        </w:rPr>
        <w:t>Рис</w:t>
      </w:r>
      <w:r w:rsidR="00396CC5" w:rsidRPr="00396CC5">
        <w:rPr>
          <w:rFonts w:ascii="Times New Roman" w:hAnsi="Times New Roman" w:cs="Times New Roman"/>
          <w:b/>
          <w:sz w:val="28"/>
          <w:szCs w:val="28"/>
        </w:rPr>
        <w:t>. 2.4</w:t>
      </w:r>
      <w:r w:rsidRPr="00396CC5">
        <w:rPr>
          <w:rFonts w:ascii="Times New Roman" w:hAnsi="Times New Roman" w:cs="Times New Roman"/>
          <w:b/>
          <w:sz w:val="28"/>
          <w:szCs w:val="28"/>
        </w:rPr>
        <w:t>.</w:t>
      </w:r>
      <w:r w:rsidRPr="00EE119E">
        <w:rPr>
          <w:rFonts w:ascii="Times New Roman" w:hAnsi="Times New Roman" w:cs="Times New Roman"/>
          <w:b/>
          <w:sz w:val="28"/>
          <w:szCs w:val="28"/>
        </w:rPr>
        <w:t xml:space="preserve"> Тенденція концентрації SO2 та ВВП на душу населення в ключових регіонах Китаю, 2001–2019 рр.</w:t>
      </w:r>
      <w:r w:rsidR="000047F7">
        <w:rPr>
          <w:rFonts w:ascii="Times New Roman" w:hAnsi="Times New Roman" w:cs="Times New Roman"/>
          <w:b/>
          <w:sz w:val="28"/>
          <w:szCs w:val="28"/>
          <w:lang w:val="en-US"/>
        </w:rPr>
        <w:t>[24]</w:t>
      </w:r>
    </w:p>
    <w:p w:rsidR="001271D1" w:rsidRPr="007F3380" w:rsidRDefault="007F3380" w:rsidP="004C587B">
      <w:pPr>
        <w:spacing w:after="0" w:line="360" w:lineRule="auto"/>
        <w:ind w:firstLine="851"/>
        <w:jc w:val="both"/>
        <w:rPr>
          <w:rFonts w:ascii="Times New Roman" w:hAnsi="Times New Roman" w:cs="Times New Roman"/>
          <w:sz w:val="28"/>
          <w:szCs w:val="28"/>
        </w:rPr>
      </w:pPr>
      <w:r w:rsidRPr="007F3380">
        <w:rPr>
          <w:rFonts w:ascii="Times New Roman" w:hAnsi="Times New Roman" w:cs="Times New Roman"/>
          <w:sz w:val="28"/>
          <w:szCs w:val="28"/>
        </w:rPr>
        <w:t>Коефіцієнти розв'язки між концентрацією NO2 і ВВП, а також ВВП</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на душу населення в ключових регіонах і типових провінціях Китаю з 2002 по 2019 рр.</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Тенденції зміни коефіцієнтів розв'язки між концентрацією NO2</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і ВВП, а також ВВП на душу населення в осн</w:t>
      </w:r>
      <w:r w:rsidR="001271D1">
        <w:rPr>
          <w:rFonts w:ascii="Times New Roman" w:hAnsi="Times New Roman" w:cs="Times New Roman"/>
          <w:sz w:val="28"/>
          <w:szCs w:val="28"/>
        </w:rPr>
        <w:t xml:space="preserve">овному однакові. Далі ВВП на </w:t>
      </w:r>
      <w:r w:rsidRPr="007F3380">
        <w:rPr>
          <w:rFonts w:ascii="Times New Roman" w:hAnsi="Times New Roman" w:cs="Times New Roman"/>
          <w:sz w:val="28"/>
          <w:szCs w:val="28"/>
        </w:rPr>
        <w:t>душу населення береться за приклад. Спостерігаються такі характеристики: По-перше, від</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У загальнонаціональній перспективі Китай має хороший рівень розмежування між забрудненням NO2</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та економічний розвиток. У період з 2002 по 2019 роки розрив був або сильним</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 xml:space="preserve">або слабкий, із сильним розривом, який становить 66,7% років. </w:t>
      </w:r>
    </w:p>
    <w:p w:rsidR="007F3380" w:rsidRPr="007F3380" w:rsidRDefault="007F3380" w:rsidP="004C587B">
      <w:pPr>
        <w:spacing w:after="0" w:line="360" w:lineRule="auto"/>
        <w:ind w:firstLine="851"/>
        <w:jc w:val="both"/>
        <w:rPr>
          <w:rFonts w:ascii="Times New Roman" w:hAnsi="Times New Roman" w:cs="Times New Roman"/>
          <w:sz w:val="28"/>
          <w:szCs w:val="28"/>
        </w:rPr>
      </w:pPr>
      <w:r w:rsidRPr="007F3380">
        <w:rPr>
          <w:rFonts w:ascii="Times New Roman" w:hAnsi="Times New Roman" w:cs="Times New Roman"/>
          <w:sz w:val="28"/>
          <w:szCs w:val="28"/>
        </w:rPr>
        <w:t>У період з 2014 по 2019 роки не відбулося суттєвих покращень у від’єднанні.</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За цей період трьом ключовим регіонам не вдалося досягти сильного розмежування в 50% регіонів</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років, а максимальна різниця в середньому коефіцієнті розв’язки становила 0,15 від</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2002–2012 рр. З 2014 по 2019 рр. відокремлення в регіонах BTHS та YRD було</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 xml:space="preserve">трохи краще, ніж у PRD, а також у </w:t>
      </w:r>
      <w:r w:rsidRPr="007F3380">
        <w:rPr>
          <w:rFonts w:ascii="Times New Roman" w:hAnsi="Times New Roman" w:cs="Times New Roman"/>
          <w:sz w:val="28"/>
          <w:szCs w:val="28"/>
        </w:rPr>
        <w:lastRenderedPageBreak/>
        <w:t>середньому по країні. При цьому середня</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коефіцієнти роз'єднання в регіонах BTHS, YRD і PRD і в цілому по країні були</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0,23, 0,11, 0,05 і 0,16 відповідно. По-третє, для типових провінцій з 2014 по 2019 рік коефіцієнт розв’язки в Пекіні був нижчим, ніж середній по країні,</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за винятком того, що на нього вплинуло відновлення концентрації NO2 у 2014 р. З 2018 по 2019 рр.</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відбулося помітне покращення відокремлення зв'язку в Шеньсі зі зниженням у порівнянні з минулим роком</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0,53 у 2018 році, найбільше зниження спостерігалося в період 2002–2019 років. Роз’єднання</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коефіцієнт залишився від’ємним у 2019 році, коли середній по країні коефіцієнт роз’єднання</w:t>
      </w:r>
      <w:r w:rsidR="00396CC5">
        <w:rPr>
          <w:rFonts w:ascii="Times New Roman" w:hAnsi="Times New Roman" w:cs="Times New Roman"/>
          <w:sz w:val="28"/>
          <w:szCs w:val="28"/>
        </w:rPr>
        <w:t xml:space="preserve"> </w:t>
      </w:r>
      <w:r w:rsidRPr="007F3380">
        <w:rPr>
          <w:rFonts w:ascii="Times New Roman" w:hAnsi="Times New Roman" w:cs="Times New Roman"/>
          <w:sz w:val="28"/>
          <w:szCs w:val="28"/>
        </w:rPr>
        <w:t>відскочив; у цьому році коефіцієнт роз’єднання Шеньсі був нижчим від середнього по країні</w:t>
      </w:r>
      <w:r w:rsidR="001271D1">
        <w:rPr>
          <w:rFonts w:ascii="Times New Roman" w:hAnsi="Times New Roman" w:cs="Times New Roman"/>
          <w:sz w:val="28"/>
          <w:szCs w:val="28"/>
        </w:rPr>
        <w:t xml:space="preserve"> </w:t>
      </w:r>
      <w:r w:rsidRPr="007F3380">
        <w:rPr>
          <w:rFonts w:ascii="Times New Roman" w:hAnsi="Times New Roman" w:cs="Times New Roman"/>
          <w:sz w:val="28"/>
          <w:szCs w:val="28"/>
        </w:rPr>
        <w:t>вперше у 2014–2019 рр.</w:t>
      </w:r>
    </w:p>
    <w:p w:rsidR="00B838C3" w:rsidRDefault="009663F4" w:rsidP="004C587B">
      <w:pPr>
        <w:spacing w:after="0" w:line="360" w:lineRule="auto"/>
        <w:ind w:firstLine="851"/>
        <w:jc w:val="both"/>
        <w:rPr>
          <w:rFonts w:ascii="Times New Roman" w:hAnsi="Times New Roman" w:cs="Times New Roman"/>
          <w:sz w:val="28"/>
          <w:szCs w:val="28"/>
        </w:rPr>
      </w:pPr>
      <w:r w:rsidRPr="009663F4">
        <w:rPr>
          <w:rFonts w:ascii="Times New Roman" w:hAnsi="Times New Roman" w:cs="Times New Roman"/>
          <w:sz w:val="28"/>
          <w:szCs w:val="28"/>
        </w:rPr>
        <w:t>Згідно з регресійним аналізом між концентрацією NO2 та ВВП на душу населення</w:t>
      </w:r>
      <w:r w:rsidR="001271D1">
        <w:rPr>
          <w:rFonts w:ascii="Times New Roman" w:hAnsi="Times New Roman" w:cs="Times New Roman"/>
          <w:sz w:val="28"/>
          <w:szCs w:val="28"/>
        </w:rPr>
        <w:t xml:space="preserve"> </w:t>
      </w:r>
      <w:r w:rsidRPr="009663F4">
        <w:rPr>
          <w:rFonts w:ascii="Times New Roman" w:hAnsi="Times New Roman" w:cs="Times New Roman"/>
          <w:sz w:val="28"/>
          <w:szCs w:val="28"/>
        </w:rPr>
        <w:t xml:space="preserve">у трьох ключових регіонах з 2001 по 2019 рік </w:t>
      </w:r>
      <w:r w:rsidRPr="00396CC5">
        <w:rPr>
          <w:rFonts w:ascii="Times New Roman" w:hAnsi="Times New Roman" w:cs="Times New Roman"/>
          <w:sz w:val="28"/>
          <w:szCs w:val="28"/>
        </w:rPr>
        <w:t>(Рис</w:t>
      </w:r>
      <w:r w:rsidR="00396CC5" w:rsidRPr="00396CC5">
        <w:rPr>
          <w:rFonts w:ascii="Times New Roman" w:hAnsi="Times New Roman" w:cs="Times New Roman"/>
          <w:sz w:val="28"/>
          <w:szCs w:val="28"/>
        </w:rPr>
        <w:t>.</w:t>
      </w:r>
      <w:r w:rsidR="00396CC5">
        <w:rPr>
          <w:rFonts w:ascii="Times New Roman" w:hAnsi="Times New Roman" w:cs="Times New Roman"/>
          <w:sz w:val="28"/>
          <w:szCs w:val="28"/>
        </w:rPr>
        <w:t xml:space="preserve"> 2.5.</w:t>
      </w:r>
      <w:r w:rsidRPr="009663F4">
        <w:rPr>
          <w:rFonts w:ascii="Times New Roman" w:hAnsi="Times New Roman" w:cs="Times New Roman"/>
          <w:sz w:val="28"/>
          <w:szCs w:val="28"/>
        </w:rPr>
        <w:t>) значення R2 кривої підгонки</w:t>
      </w:r>
      <w:r w:rsidR="001271D1">
        <w:rPr>
          <w:rFonts w:ascii="Times New Roman" w:hAnsi="Times New Roman" w:cs="Times New Roman"/>
          <w:sz w:val="28"/>
          <w:szCs w:val="28"/>
        </w:rPr>
        <w:t xml:space="preserve"> </w:t>
      </w:r>
      <w:r w:rsidRPr="009663F4">
        <w:rPr>
          <w:rFonts w:ascii="Times New Roman" w:hAnsi="Times New Roman" w:cs="Times New Roman"/>
          <w:sz w:val="28"/>
          <w:szCs w:val="28"/>
        </w:rPr>
        <w:t>між концентрацією NO2 та ВВП на душу населенн</w:t>
      </w:r>
      <w:r w:rsidR="001271D1">
        <w:rPr>
          <w:rFonts w:ascii="Times New Roman" w:hAnsi="Times New Roman" w:cs="Times New Roman"/>
          <w:sz w:val="28"/>
          <w:szCs w:val="28"/>
        </w:rPr>
        <w:t>я в PRD більше 0,5, що показує сильну кореляцію</w:t>
      </w:r>
      <w:r w:rsidRPr="009663F4">
        <w:rPr>
          <w:rFonts w:ascii="Times New Roman" w:hAnsi="Times New Roman" w:cs="Times New Roman"/>
          <w:sz w:val="28"/>
          <w:szCs w:val="28"/>
        </w:rPr>
        <w:t>. Однак значення R2 в регіонах YRD і BTHS обидва менші</w:t>
      </w:r>
      <w:r w:rsidR="001271D1">
        <w:rPr>
          <w:rFonts w:ascii="Times New Roman" w:hAnsi="Times New Roman" w:cs="Times New Roman"/>
          <w:sz w:val="28"/>
          <w:szCs w:val="28"/>
        </w:rPr>
        <w:t xml:space="preserve"> </w:t>
      </w:r>
      <w:r w:rsidRPr="009663F4">
        <w:rPr>
          <w:rFonts w:ascii="Times New Roman" w:hAnsi="Times New Roman" w:cs="Times New Roman"/>
          <w:sz w:val="28"/>
          <w:szCs w:val="28"/>
        </w:rPr>
        <w:t xml:space="preserve">0,1, не показуючи кореляції. </w:t>
      </w:r>
    </w:p>
    <w:p w:rsidR="009663F4" w:rsidRDefault="009663F4" w:rsidP="00396CC5">
      <w:pPr>
        <w:spacing w:after="0" w:line="360" w:lineRule="auto"/>
        <w:ind w:hanging="142"/>
        <w:jc w:val="both"/>
        <w:rPr>
          <w:rFonts w:ascii="Times New Roman" w:hAnsi="Times New Roman" w:cs="Times New Roman"/>
          <w:sz w:val="28"/>
          <w:szCs w:val="28"/>
        </w:rPr>
      </w:pPr>
      <w:r w:rsidRPr="009663F4">
        <w:rPr>
          <w:rFonts w:ascii="Times New Roman" w:hAnsi="Times New Roman" w:cs="Times New Roman"/>
          <w:noProof/>
          <w:sz w:val="28"/>
          <w:szCs w:val="28"/>
          <w:lang w:eastAsia="uk-UA"/>
        </w:rPr>
        <w:drawing>
          <wp:inline distT="0" distB="0" distL="0" distR="0">
            <wp:extent cx="6120765" cy="368287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765" cy="3682873"/>
                    </a:xfrm>
                    <a:prstGeom prst="rect">
                      <a:avLst/>
                    </a:prstGeom>
                    <a:noFill/>
                    <a:ln>
                      <a:noFill/>
                    </a:ln>
                  </pic:spPr>
                </pic:pic>
              </a:graphicData>
            </a:graphic>
          </wp:inline>
        </w:drawing>
      </w:r>
    </w:p>
    <w:p w:rsidR="00396CC5" w:rsidRPr="000047F7" w:rsidRDefault="00396CC5" w:rsidP="00396CC5">
      <w:pPr>
        <w:spacing w:after="0" w:line="360" w:lineRule="auto"/>
        <w:ind w:firstLine="851"/>
        <w:jc w:val="center"/>
        <w:rPr>
          <w:rFonts w:ascii="Times New Roman" w:hAnsi="Times New Roman" w:cs="Times New Roman"/>
          <w:b/>
          <w:sz w:val="28"/>
          <w:szCs w:val="28"/>
          <w:lang w:val="en-US"/>
        </w:rPr>
      </w:pPr>
      <w:r w:rsidRPr="00396CC5">
        <w:rPr>
          <w:rFonts w:ascii="Times New Roman" w:hAnsi="Times New Roman" w:cs="Times New Roman"/>
          <w:b/>
          <w:sz w:val="28"/>
          <w:szCs w:val="28"/>
        </w:rPr>
        <w:t xml:space="preserve">Рис. 2.5. </w:t>
      </w:r>
      <w:r w:rsidRPr="00EE119E">
        <w:rPr>
          <w:rFonts w:ascii="Times New Roman" w:hAnsi="Times New Roman" w:cs="Times New Roman"/>
          <w:b/>
          <w:sz w:val="28"/>
          <w:szCs w:val="28"/>
        </w:rPr>
        <w:t xml:space="preserve">Тенденція концентрації </w:t>
      </w:r>
      <w:r w:rsidRPr="00396CC5">
        <w:rPr>
          <w:rFonts w:ascii="Times New Roman" w:hAnsi="Times New Roman" w:cs="Times New Roman"/>
          <w:b/>
          <w:sz w:val="28"/>
          <w:szCs w:val="28"/>
        </w:rPr>
        <w:t>NO2</w:t>
      </w:r>
      <w:r w:rsidRPr="00EE119E">
        <w:rPr>
          <w:rFonts w:ascii="Times New Roman" w:hAnsi="Times New Roman" w:cs="Times New Roman"/>
          <w:b/>
          <w:sz w:val="28"/>
          <w:szCs w:val="28"/>
        </w:rPr>
        <w:t xml:space="preserve"> та ВВП на душу населення в ключових регіонах Китаю, 2001–2019 рр.</w:t>
      </w:r>
      <w:r w:rsidR="000047F7">
        <w:rPr>
          <w:rFonts w:ascii="Times New Roman" w:hAnsi="Times New Roman" w:cs="Times New Roman"/>
          <w:b/>
          <w:sz w:val="28"/>
          <w:szCs w:val="28"/>
          <w:lang w:val="en-US"/>
        </w:rPr>
        <w:t>[25]</w:t>
      </w:r>
    </w:p>
    <w:p w:rsidR="00D00C52" w:rsidRPr="00D00C52" w:rsidRDefault="00D00C52" w:rsidP="004C587B">
      <w:pPr>
        <w:spacing w:after="0" w:line="360" w:lineRule="auto"/>
        <w:ind w:firstLine="851"/>
        <w:jc w:val="both"/>
        <w:rPr>
          <w:rFonts w:ascii="Times New Roman" w:hAnsi="Times New Roman" w:cs="Times New Roman"/>
          <w:sz w:val="28"/>
          <w:szCs w:val="28"/>
        </w:rPr>
      </w:pPr>
      <w:r w:rsidRPr="00D00C52">
        <w:rPr>
          <w:rFonts w:ascii="Times New Roman" w:hAnsi="Times New Roman" w:cs="Times New Roman"/>
          <w:sz w:val="28"/>
          <w:szCs w:val="28"/>
        </w:rPr>
        <w:lastRenderedPageBreak/>
        <w:t>Концентрації PM10 та NO2 спостерігалися через 17 років, 16 років та 12 років відповідно,</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що становить відповідно 89,4%, 88,9% та 66,7% років. З 2012 р. Китай зробив</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стратегічне рішення сприяти побудові «екологічної цивілізації», яка має</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забезпечи</w:t>
      </w:r>
      <w:r w:rsidR="001271D1">
        <w:rPr>
          <w:rFonts w:ascii="Times New Roman" w:hAnsi="Times New Roman" w:cs="Times New Roman"/>
          <w:sz w:val="28"/>
          <w:szCs w:val="28"/>
        </w:rPr>
        <w:t>ти</w:t>
      </w:r>
      <w:r w:rsidRPr="00D00C52">
        <w:rPr>
          <w:rFonts w:ascii="Times New Roman" w:hAnsi="Times New Roman" w:cs="Times New Roman"/>
          <w:sz w:val="28"/>
          <w:szCs w:val="28"/>
        </w:rPr>
        <w:t xml:space="preserve"> як центральному уряду, так і місцевим орга</w:t>
      </w:r>
      <w:r w:rsidR="001271D1">
        <w:rPr>
          <w:rFonts w:ascii="Times New Roman" w:hAnsi="Times New Roman" w:cs="Times New Roman"/>
          <w:sz w:val="28"/>
          <w:szCs w:val="28"/>
        </w:rPr>
        <w:t>нам влади сильнішу волю, чіткіші цілі</w:t>
      </w:r>
      <w:r w:rsidRPr="00D00C52">
        <w:rPr>
          <w:rFonts w:ascii="Times New Roman" w:hAnsi="Times New Roman" w:cs="Times New Roman"/>
          <w:sz w:val="28"/>
          <w:szCs w:val="28"/>
        </w:rPr>
        <w:t>, кращого законодавства, більше заходів стимулювання та посилених суворіших дій до</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покращити якість повітря. У 2018 році Національна конференція з охорони навколишнього середовища</w:t>
      </w:r>
      <w:r w:rsidR="001271D1">
        <w:rPr>
          <w:rFonts w:ascii="Times New Roman" w:hAnsi="Times New Roman" w:cs="Times New Roman"/>
          <w:sz w:val="28"/>
          <w:szCs w:val="28"/>
        </w:rPr>
        <w:t xml:space="preserve"> висунула</w:t>
      </w:r>
      <w:r w:rsidRPr="00D00C52">
        <w:rPr>
          <w:rFonts w:ascii="Times New Roman" w:hAnsi="Times New Roman" w:cs="Times New Roman"/>
          <w:sz w:val="28"/>
          <w:szCs w:val="28"/>
        </w:rPr>
        <w:t xml:space="preserve"> ідею, що «чисті води й зелені гори так само хороші, як гори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 xml:space="preserve">золота та срібла», що дає ідеологічне керівництво для контролю атмосфери. </w:t>
      </w:r>
      <w:r w:rsidR="001271D1">
        <w:rPr>
          <w:rFonts w:ascii="Times New Roman" w:hAnsi="Times New Roman" w:cs="Times New Roman"/>
          <w:sz w:val="28"/>
          <w:szCs w:val="28"/>
        </w:rPr>
        <w:t>С</w:t>
      </w:r>
      <w:r w:rsidRPr="00D00C52">
        <w:rPr>
          <w:rFonts w:ascii="Times New Roman" w:hAnsi="Times New Roman" w:cs="Times New Roman"/>
          <w:sz w:val="28"/>
          <w:szCs w:val="28"/>
        </w:rPr>
        <w:t>уть «чисті води і зелені гори такі ж хороші, як гори золоті та срібні»</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полягає у здійсненні координації економічного зростання та охорони навколишнього середовища. Керований</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цією новою концепцією розвитку та стратегією сприяння екологічній цивілізації</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будівництво, у 2013 році Державна рада КНР вперше</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оприлюднила національну політику запобігання та контролю забруднення повітря, а саме «</w:t>
      </w:r>
      <w:r w:rsidR="001271D1">
        <w:rPr>
          <w:rFonts w:ascii="Times New Roman" w:hAnsi="Times New Roman" w:cs="Times New Roman"/>
          <w:sz w:val="28"/>
          <w:szCs w:val="28"/>
        </w:rPr>
        <w:t>План</w:t>
      </w:r>
      <w:r w:rsidRPr="00D00C52">
        <w:rPr>
          <w:rFonts w:ascii="Times New Roman" w:hAnsi="Times New Roman" w:cs="Times New Roman"/>
          <w:sz w:val="28"/>
          <w:szCs w:val="28"/>
        </w:rPr>
        <w:t>».</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 xml:space="preserve"> Це змінило статус-кво, в якому працювала колишня Держприродоохорона</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Адміністрація Китайської Народної Республіки була єдиним відомством, що відповідало за повітря</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запобігання і контроль забруднення [44,45]. Те ж саме стосується і Трирічного плану дій</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оприлюднений у 2018 році. Обидві політики комплексно стосуються ключових галузей, таких як вугільна</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електростанції та підприємства, що дуже забруднюють довкілля та енергоспоживачі, такі як залізоі сталеві, цивільні наливні вугілля та котли, що працюють на вугіллі, сприяючи оптимізації та налагодженню</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структури промисловості, енергетики, транспорту та землекористування на національному рівні.</w:t>
      </w:r>
    </w:p>
    <w:p w:rsidR="00D00C52" w:rsidRPr="00D00C52" w:rsidRDefault="00D00C52" w:rsidP="004C587B">
      <w:pPr>
        <w:spacing w:after="0" w:line="360" w:lineRule="auto"/>
        <w:ind w:firstLine="851"/>
        <w:jc w:val="both"/>
        <w:rPr>
          <w:rFonts w:ascii="Times New Roman" w:hAnsi="Times New Roman" w:cs="Times New Roman"/>
          <w:sz w:val="28"/>
          <w:szCs w:val="28"/>
        </w:rPr>
      </w:pPr>
      <w:r w:rsidRPr="00D00C52">
        <w:rPr>
          <w:rFonts w:ascii="Times New Roman" w:hAnsi="Times New Roman" w:cs="Times New Roman"/>
          <w:sz w:val="28"/>
          <w:szCs w:val="28"/>
        </w:rPr>
        <w:t>Заходи, передбачені Планом дій та Трирічним планом дій, досягнуто</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чудові результати. Порівняно з 2013 р. викиди SO2, PM10 та NOx у Китаї у 2017 р.</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були нижчими на 59%, 36% і 21% відповідно, що свідчить про значне покращення</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якість повітря [36]. У 2019 році концентрація SO2 в Китаї була еквівалентна концентрації в розвинених країнах</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таких країнах, як Європа та Сполучені Штати, зі зменшенням майже на дві третини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 xml:space="preserve">порівняно з 2013 роком, </w:t>
      </w:r>
      <w:r w:rsidRPr="00D00C52">
        <w:rPr>
          <w:rFonts w:ascii="Times New Roman" w:hAnsi="Times New Roman" w:cs="Times New Roman"/>
          <w:sz w:val="28"/>
          <w:szCs w:val="28"/>
        </w:rPr>
        <w:lastRenderedPageBreak/>
        <w:t>тоді як концентрація PM10 була нижчою майже на 30% порівняно з 2013 роком</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з тим у 2013 р. [45]. З 2000 року якість повітря в Китаї продовжує покращуватися, і його</w:t>
      </w:r>
    </w:p>
    <w:p w:rsidR="00D00C52" w:rsidRDefault="00D00C52" w:rsidP="004C587B">
      <w:pPr>
        <w:spacing w:after="0" w:line="360" w:lineRule="auto"/>
        <w:ind w:firstLine="851"/>
        <w:jc w:val="both"/>
        <w:rPr>
          <w:rFonts w:ascii="Times New Roman" w:hAnsi="Times New Roman" w:cs="Times New Roman"/>
          <w:sz w:val="28"/>
          <w:szCs w:val="28"/>
        </w:rPr>
      </w:pPr>
      <w:r w:rsidRPr="00D00C52">
        <w:rPr>
          <w:rFonts w:ascii="Times New Roman" w:hAnsi="Times New Roman" w:cs="Times New Roman"/>
          <w:sz w:val="28"/>
          <w:szCs w:val="28"/>
        </w:rPr>
        <w:t>економіка не постраждала від збільшення інвестицій у контроль забруднення повітря або</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посилення управління та контролю промислових підприємств. У цей період Китай підтримував сильне економічне зростання, при цьому ВВП і ВВП на душу населення зростали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рік у рік, що сприяло розмежуванню між забрудненням повітря та економічними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розвитку в країні. Аналіз, проведений у цьому дослідженні, показав, що концентрації</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SO2 і PM10 скоротилися разом з економічним зростанням в останні роки,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показує гарний стан роз’єднання. Це спонукало до значної оптимізації</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розрив між забрудненням повітря та економічним розвитком Китаю. З 2001 по 2019 р.</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роки із сильним розмежуванням між забрудненням SO2, PM10 та NO2 та економічними</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розвиток склав 89,4%, 88,9% і 66,7% років відповідно, що свідчить про</w:t>
      </w:r>
      <w:r w:rsidR="001271D1">
        <w:rPr>
          <w:rFonts w:ascii="Times New Roman" w:hAnsi="Times New Roman" w:cs="Times New Roman"/>
          <w:sz w:val="28"/>
          <w:szCs w:val="28"/>
        </w:rPr>
        <w:t xml:space="preserve"> </w:t>
      </w:r>
      <w:r w:rsidRPr="00D00C52">
        <w:rPr>
          <w:rFonts w:ascii="Times New Roman" w:hAnsi="Times New Roman" w:cs="Times New Roman"/>
          <w:sz w:val="28"/>
          <w:szCs w:val="28"/>
        </w:rPr>
        <w:t>хороший взаємозв'язок між економічним розвитком та охороною навколишнього середовища.</w:t>
      </w:r>
    </w:p>
    <w:p w:rsidR="000C012B" w:rsidRDefault="000C012B" w:rsidP="004C587B">
      <w:pPr>
        <w:spacing w:after="0" w:line="360" w:lineRule="auto"/>
        <w:ind w:firstLine="851"/>
        <w:jc w:val="both"/>
        <w:rPr>
          <w:rFonts w:ascii="Times New Roman" w:hAnsi="Times New Roman" w:cs="Times New Roman"/>
          <w:b/>
          <w:sz w:val="28"/>
          <w:szCs w:val="28"/>
        </w:rPr>
      </w:pPr>
    </w:p>
    <w:p w:rsidR="000C012B" w:rsidRDefault="000C012B" w:rsidP="004C587B">
      <w:pPr>
        <w:spacing w:after="0" w:line="360" w:lineRule="auto"/>
        <w:ind w:firstLine="851"/>
        <w:jc w:val="both"/>
        <w:rPr>
          <w:rFonts w:ascii="Times New Roman" w:hAnsi="Times New Roman" w:cs="Times New Roman"/>
          <w:b/>
          <w:sz w:val="28"/>
          <w:szCs w:val="28"/>
        </w:rPr>
      </w:pPr>
    </w:p>
    <w:p w:rsidR="001D5A73" w:rsidRPr="001D5A73" w:rsidRDefault="001F585E" w:rsidP="001D5A73">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2.2</w:t>
      </w:r>
      <w:r w:rsidR="00374F08" w:rsidRPr="008C3A17">
        <w:rPr>
          <w:rFonts w:ascii="Times New Roman" w:hAnsi="Times New Roman" w:cs="Times New Roman"/>
          <w:b/>
          <w:sz w:val="28"/>
          <w:szCs w:val="28"/>
        </w:rPr>
        <w:t>.</w:t>
      </w:r>
      <w:r w:rsidR="003D5E5D">
        <w:rPr>
          <w:rFonts w:ascii="Times New Roman" w:hAnsi="Times New Roman" w:cs="Times New Roman"/>
          <w:b/>
          <w:sz w:val="28"/>
          <w:szCs w:val="28"/>
          <w:lang w:val="en-US"/>
        </w:rPr>
        <w:t xml:space="preserve"> </w:t>
      </w:r>
      <w:r w:rsidR="001D5A73">
        <w:rPr>
          <w:rFonts w:ascii="Times New Roman" w:hAnsi="Times New Roman" w:cs="Times New Roman"/>
          <w:b/>
          <w:sz w:val="28"/>
          <w:szCs w:val="28"/>
        </w:rPr>
        <w:t>Аналіз європейської</w:t>
      </w:r>
      <w:r w:rsidR="006B2F8A">
        <w:rPr>
          <w:rFonts w:ascii="Times New Roman" w:hAnsi="Times New Roman" w:cs="Times New Roman"/>
          <w:b/>
          <w:sz w:val="28"/>
          <w:szCs w:val="28"/>
        </w:rPr>
        <w:t xml:space="preserve"> циркулярна економіка</w:t>
      </w:r>
      <w:r w:rsidR="001D5A73">
        <w:rPr>
          <w:rFonts w:ascii="Times New Roman" w:hAnsi="Times New Roman" w:cs="Times New Roman"/>
          <w:b/>
          <w:sz w:val="28"/>
          <w:szCs w:val="28"/>
        </w:rPr>
        <w:t xml:space="preserve">: </w:t>
      </w:r>
      <w:r w:rsidR="001D5A73" w:rsidRPr="001D5A73">
        <w:rPr>
          <w:rFonts w:ascii="Times New Roman" w:hAnsi="Times New Roman" w:cs="Times New Roman"/>
          <w:b/>
          <w:sz w:val="28"/>
          <w:szCs w:val="28"/>
        </w:rPr>
        <w:t>«Європа двох швидкостей»</w:t>
      </w:r>
      <w:r w:rsidR="001D5A73">
        <w:rPr>
          <w:rFonts w:ascii="Times New Roman" w:hAnsi="Times New Roman" w:cs="Times New Roman"/>
          <w:b/>
          <w:sz w:val="28"/>
          <w:szCs w:val="28"/>
        </w:rPr>
        <w:t>.</w:t>
      </w:r>
    </w:p>
    <w:p w:rsidR="001D5A73" w:rsidRPr="001D5A73" w:rsidRDefault="001D5A73" w:rsidP="001D5A7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Циркулярна </w:t>
      </w:r>
      <w:r w:rsidRPr="001D5A73">
        <w:rPr>
          <w:rFonts w:ascii="Times New Roman" w:hAnsi="Times New Roman" w:cs="Times New Roman"/>
          <w:sz w:val="28"/>
          <w:szCs w:val="28"/>
        </w:rPr>
        <w:t xml:space="preserve">економіка (CE) є пріоритетом розвитку Європейського Союзу і є частиною промислової стратегії ЄС. Перехід до більш </w:t>
      </w:r>
      <w:r>
        <w:rPr>
          <w:rFonts w:ascii="Times New Roman" w:hAnsi="Times New Roman" w:cs="Times New Roman"/>
          <w:sz w:val="28"/>
          <w:szCs w:val="28"/>
        </w:rPr>
        <w:t>циркулярної</w:t>
      </w:r>
      <w:r w:rsidRPr="001D5A73">
        <w:rPr>
          <w:rFonts w:ascii="Times New Roman" w:hAnsi="Times New Roman" w:cs="Times New Roman"/>
          <w:sz w:val="28"/>
          <w:szCs w:val="28"/>
        </w:rPr>
        <w:t xml:space="preserve"> економіки є важливим внеском у зусилля ЄС щодо розвитку сталої, низьковуглецевої, ресурсоефективної та конкурентоспроможної економіки. Метою цієї роботи є визначення та групування країн ЄС-28 відповідно до їхнього просування до циркулярної економіки. Для аналізу були використані індикатори СЕ, запропоновані Європейською комісією. Теоретична частина базувалась на аналізі літератури, тоді як в емпіричній роботі використовувалися аналіз головних компонентів, ієрархічна та k-середня кластеризація та кластерний аналіз відповідності.</w:t>
      </w:r>
    </w:p>
    <w:p w:rsidR="001D5A73" w:rsidRPr="001D5A73" w:rsidRDefault="001D5A73" w:rsidP="001D5A73">
      <w:pPr>
        <w:spacing w:after="0" w:line="360" w:lineRule="auto"/>
        <w:ind w:firstLine="851"/>
        <w:jc w:val="both"/>
        <w:rPr>
          <w:rFonts w:ascii="Times New Roman" w:hAnsi="Times New Roman" w:cs="Times New Roman"/>
          <w:sz w:val="28"/>
          <w:szCs w:val="28"/>
        </w:rPr>
      </w:pPr>
    </w:p>
    <w:p w:rsidR="001D5A73" w:rsidRDefault="001D5A73" w:rsidP="001D5A73">
      <w:pPr>
        <w:spacing w:after="0" w:line="360" w:lineRule="auto"/>
        <w:ind w:firstLine="851"/>
        <w:jc w:val="both"/>
        <w:rPr>
          <w:rFonts w:ascii="Times New Roman" w:hAnsi="Times New Roman" w:cs="Times New Roman"/>
          <w:sz w:val="28"/>
          <w:szCs w:val="28"/>
        </w:rPr>
      </w:pPr>
      <w:r w:rsidRPr="001D5A73">
        <w:rPr>
          <w:rFonts w:ascii="Times New Roman" w:hAnsi="Times New Roman" w:cs="Times New Roman"/>
          <w:sz w:val="28"/>
          <w:szCs w:val="28"/>
        </w:rPr>
        <w:t xml:space="preserve">На основі дослідження було визначено існування «Європи двох швидкостей» з точки зору просування країн ЄС до </w:t>
      </w:r>
      <w:r>
        <w:rPr>
          <w:rFonts w:ascii="Times New Roman" w:hAnsi="Times New Roman" w:cs="Times New Roman"/>
          <w:sz w:val="28"/>
          <w:szCs w:val="28"/>
        </w:rPr>
        <w:t>ЦЄ</w:t>
      </w:r>
      <w:r w:rsidRPr="001D5A73">
        <w:rPr>
          <w:rFonts w:ascii="Times New Roman" w:hAnsi="Times New Roman" w:cs="Times New Roman"/>
          <w:sz w:val="28"/>
          <w:szCs w:val="28"/>
        </w:rPr>
        <w:t>. Серед провідних країн, найбільш просунутих у проведенні операцій відповідно до принципів CE, є Німеччина, Бельгія, Іспанія, Франція, Італія, Нідерланди та Великобританія. Другий полюс вміщує країни ЄС, в яких трансформація до РЄ відбувається найповільнішими темпами. До цієї групи входять переважно країни Центральної та Східної Європи та країни Півдня Європи.</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Значення ймовірності для тесту Бартлетта вказує на істинність гіпотези, яка стверджує значну різницю між отриманою кореляційною матрицею та тотожною матрицею, тобто значущою змінною кореляцією. Розрахунковий коефіцієнт КМО знаходиться на середньому рівні 0,5560. Тому передумови для проведення аналізу основних компонентів можна вважати достатніми.</w:t>
      </w:r>
    </w:p>
    <w:p w:rsidR="00814DC6"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Власні значення, отримані з таблиці 1, демонструють, що чотирьох основних компонентів достатньо, щоб добре описати дані і водночас спростити їх 13-вимірну структуру. Власне значення для першого компонента становить 4,9402, а відсоток дисперсії, що пояснюється ним, становить 38,0013. Другий компонент пояснює значно менше дисперсій, тобто 15,7124%, а його власне значення дорівнює 2,04. Відповідно до критерію Кейзера, для інтерпретації буде достатньо перших чотирьох компонентів, оскільки їх власне значення більше 1. Врахування перших 4 головних компонентів дозволяє пояснити 75,6444% спостережуваної варіації.</w:t>
      </w:r>
    </w:p>
    <w:p w:rsidR="006B2F8A" w:rsidRDefault="006B2F8A" w:rsidP="006B2F8A">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extent cx="5462112" cy="4901610"/>
            <wp:effectExtent l="0" t="0" r="5715" b="0"/>
            <wp:docPr id="9" name="Рисунок 9" descr="fig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70088" cy="4908767"/>
                    </a:xfrm>
                    <a:prstGeom prst="rect">
                      <a:avLst/>
                    </a:prstGeom>
                    <a:noFill/>
                    <a:ln>
                      <a:noFill/>
                    </a:ln>
                  </pic:spPr>
                </pic:pic>
              </a:graphicData>
            </a:graphic>
          </wp:inline>
        </w:drawing>
      </w:r>
    </w:p>
    <w:p w:rsidR="00814DC6" w:rsidRPr="000047F7" w:rsidRDefault="00C5685A" w:rsidP="004C587B">
      <w:pPr>
        <w:spacing w:after="0" w:line="360" w:lineRule="auto"/>
        <w:ind w:firstLine="851"/>
        <w:jc w:val="both"/>
        <w:rPr>
          <w:rFonts w:ascii="Times New Roman" w:hAnsi="Times New Roman" w:cs="Times New Roman"/>
          <w:b/>
          <w:sz w:val="28"/>
          <w:szCs w:val="28"/>
          <w:lang w:val="en-US"/>
        </w:rPr>
      </w:pPr>
      <w:r w:rsidRPr="00C5685A">
        <w:rPr>
          <w:rFonts w:ascii="Times New Roman" w:hAnsi="Times New Roman" w:cs="Times New Roman"/>
          <w:b/>
          <w:sz w:val="28"/>
          <w:szCs w:val="28"/>
        </w:rPr>
        <w:t>Рис. 2.6. Компонентний аналіз країн ЄС за показниками</w:t>
      </w:r>
      <w:r w:rsidR="000047F7">
        <w:rPr>
          <w:rFonts w:ascii="Times New Roman" w:hAnsi="Times New Roman" w:cs="Times New Roman"/>
          <w:b/>
          <w:sz w:val="28"/>
          <w:szCs w:val="28"/>
          <w:lang w:val="en-US"/>
        </w:rPr>
        <w:t xml:space="preserve"> [37]</w:t>
      </w:r>
    </w:p>
    <w:p w:rsidR="00C5685A" w:rsidRDefault="00C5685A" w:rsidP="006B2F8A">
      <w:pPr>
        <w:spacing w:after="0" w:line="360" w:lineRule="auto"/>
        <w:ind w:firstLine="851"/>
        <w:jc w:val="both"/>
        <w:rPr>
          <w:rFonts w:ascii="Times New Roman" w:hAnsi="Times New Roman" w:cs="Times New Roman"/>
          <w:sz w:val="28"/>
          <w:szCs w:val="28"/>
        </w:rPr>
      </w:pP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Наступний етап дослідницького процесу передбачав ієрархічну та k-середню кластеризацію для групування країн-членів ЄС</w:t>
      </w:r>
      <w:r w:rsidR="00C5685A">
        <w:rPr>
          <w:rFonts w:ascii="Times New Roman" w:hAnsi="Times New Roman" w:cs="Times New Roman"/>
          <w:sz w:val="28"/>
          <w:szCs w:val="28"/>
        </w:rPr>
        <w:t xml:space="preserve"> (рис. 2.7.)</w:t>
      </w:r>
      <w:r w:rsidRPr="006B2F8A">
        <w:rPr>
          <w:rFonts w:ascii="Times New Roman" w:hAnsi="Times New Roman" w:cs="Times New Roman"/>
          <w:sz w:val="28"/>
          <w:szCs w:val="28"/>
        </w:rPr>
        <w:t>.</w:t>
      </w:r>
    </w:p>
    <w:p w:rsidR="00814DC6"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Ієрархічний кластерний аналіз показує, що існують дві групи країн. До першої групи входять: Бельгія, Нідерланди, Данія, Люксембург, Австрія, Німеччина, Іспанія, Франція, Італія та Великобританія. Інші країни утворюють кластер другої групи Рис. 2.</w:t>
      </w:r>
    </w:p>
    <w:p w:rsidR="00814DC6" w:rsidRDefault="00814DC6" w:rsidP="004C587B">
      <w:pPr>
        <w:spacing w:after="0" w:line="360" w:lineRule="auto"/>
        <w:ind w:firstLine="851"/>
        <w:jc w:val="both"/>
        <w:rPr>
          <w:rFonts w:ascii="Times New Roman" w:hAnsi="Times New Roman" w:cs="Times New Roman"/>
          <w:sz w:val="28"/>
          <w:szCs w:val="28"/>
        </w:rPr>
      </w:pPr>
    </w:p>
    <w:p w:rsidR="00814DC6" w:rsidRDefault="006B2F8A" w:rsidP="00C5685A">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extent cx="6120765" cy="4156714"/>
            <wp:effectExtent l="0" t="0" r="0" b="0"/>
            <wp:docPr id="10" name="Рисунок 10" descr="fig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765" cy="4156714"/>
                    </a:xfrm>
                    <a:prstGeom prst="rect">
                      <a:avLst/>
                    </a:prstGeom>
                    <a:noFill/>
                    <a:ln>
                      <a:noFill/>
                    </a:ln>
                  </pic:spPr>
                </pic:pic>
              </a:graphicData>
            </a:graphic>
          </wp:inline>
        </w:drawing>
      </w:r>
    </w:p>
    <w:p w:rsidR="00814DC6" w:rsidRDefault="00D468C5" w:rsidP="004C58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C5685A" w:rsidRPr="00C5685A" w:rsidRDefault="00C5685A" w:rsidP="00C5685A">
      <w:pPr>
        <w:jc w:val="center"/>
        <w:rPr>
          <w:rFonts w:ascii="Times New Roman" w:hAnsi="Times New Roman" w:cs="Times New Roman"/>
          <w:b/>
          <w:sz w:val="28"/>
          <w:szCs w:val="28"/>
        </w:rPr>
      </w:pPr>
      <w:r w:rsidRPr="00C5685A">
        <w:rPr>
          <w:rFonts w:ascii="Times New Roman" w:hAnsi="Times New Roman" w:cs="Times New Roman"/>
          <w:b/>
          <w:sz w:val="28"/>
          <w:szCs w:val="28"/>
        </w:rPr>
        <w:t>Рис. 2.7. Кластерний аналіз країн ЄС</w:t>
      </w:r>
    </w:p>
    <w:p w:rsidR="000047F7" w:rsidRPr="00C2644D" w:rsidRDefault="000047F7" w:rsidP="000047F7">
      <w:pPr>
        <w:spacing w:after="0" w:line="360" w:lineRule="auto"/>
        <w:jc w:val="both"/>
        <w:rPr>
          <w:rFonts w:ascii="Times New Roman" w:hAnsi="Times New Roman" w:cs="Times New Roman"/>
          <w:sz w:val="24"/>
          <w:szCs w:val="24"/>
        </w:rPr>
      </w:pPr>
      <w:r w:rsidRPr="00C2644D">
        <w:rPr>
          <w:rFonts w:ascii="Times New Roman" w:hAnsi="Times New Roman" w:cs="Times New Roman"/>
          <w:sz w:val="24"/>
          <w:szCs w:val="24"/>
        </w:rPr>
        <w:t>Джерело: складено автором</w:t>
      </w:r>
    </w:p>
    <w:p w:rsidR="00C5685A" w:rsidRDefault="00C5685A" w:rsidP="00C5685A">
      <w:pPr>
        <w:spacing w:line="360" w:lineRule="auto"/>
        <w:jc w:val="both"/>
        <w:rPr>
          <w:rFonts w:ascii="Times New Roman" w:hAnsi="Times New Roman" w:cs="Times New Roman"/>
          <w:sz w:val="28"/>
          <w:szCs w:val="28"/>
        </w:rPr>
      </w:pPr>
    </w:p>
    <w:p w:rsidR="006B2F8A" w:rsidRPr="006B2F8A" w:rsidRDefault="006B2F8A" w:rsidP="00C5685A">
      <w:pPr>
        <w:spacing w:line="360" w:lineRule="auto"/>
        <w:ind w:firstLine="708"/>
        <w:jc w:val="both"/>
        <w:rPr>
          <w:rFonts w:ascii="Times New Roman" w:hAnsi="Times New Roman" w:cs="Times New Roman"/>
          <w:sz w:val="28"/>
          <w:szCs w:val="28"/>
        </w:rPr>
      </w:pPr>
      <w:r w:rsidRPr="006B2F8A">
        <w:rPr>
          <w:rFonts w:ascii="Times New Roman" w:hAnsi="Times New Roman" w:cs="Times New Roman"/>
          <w:sz w:val="28"/>
          <w:szCs w:val="28"/>
        </w:rPr>
        <w:t>Як видно з даних, отриманих при застосуванні кластерного аналізу за допомогою кластеризації k-середніх, країни ЄС-28 були по</w:t>
      </w:r>
      <w:r w:rsidR="00C5685A">
        <w:rPr>
          <w:rFonts w:ascii="Times New Roman" w:hAnsi="Times New Roman" w:cs="Times New Roman"/>
          <w:sz w:val="28"/>
          <w:szCs w:val="28"/>
        </w:rPr>
        <w:t xml:space="preserve">ділені на два кластери. </w:t>
      </w:r>
      <w:r w:rsidRPr="006B2F8A">
        <w:rPr>
          <w:rFonts w:ascii="Times New Roman" w:hAnsi="Times New Roman" w:cs="Times New Roman"/>
          <w:sz w:val="28"/>
          <w:szCs w:val="28"/>
        </w:rPr>
        <w:t>Перший кластер складається з таких країн: Бельгія, Данія, Німеччина, Іспанія, Франція, Італія, Люксембург, Нідерланди, Австрія та Велика Британія.</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До другого кластера потрапили Болгарія, Чехія, Естонія, Ірландія, Греція, Хорватія, Кіпр, Латвія, Литва, Угорщина, Мальта, Польща, Португалія, Румунія, Словенія, Словаччина, Фінляндія та Швеція.</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Обидва ці кластери суттєво відрізняються (p &lt; 0,01) за масштабом утворення комунальних відходів на душу населення, де результати вищі для першого кластера.</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 xml:space="preserve">Результати шкал: утворення відходів без урахування основних мінеральних відходів на одиницю ВВП та утворення відходів без урахування </w:t>
      </w:r>
      <w:r w:rsidRPr="006B2F8A">
        <w:rPr>
          <w:rFonts w:ascii="Times New Roman" w:hAnsi="Times New Roman" w:cs="Times New Roman"/>
          <w:sz w:val="28"/>
          <w:szCs w:val="28"/>
        </w:rPr>
        <w:lastRenderedPageBreak/>
        <w:t>основних мінеральних відходів на домашнє споживання матеріалів істотно не відрізняються (p &gt; 0,05) між кластерами.</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Результати шкал: рівень переробки комунальних відходів, рівень переробки всіх відходів без урахування основних мінеральних відходів та швидкість переробки відходів упаковки за типом упаковки суттєво відрізняються (p &lt; 0,01) між кластерами, де результати вищі для першого кластера.</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У випадку переробки масштабів електронних відходів суттєвої різниці (p &gt; 0,05) між кластерами немає.</w:t>
      </w:r>
      <w:r w:rsidR="00C5685A">
        <w:rPr>
          <w:rFonts w:ascii="Times New Roman" w:hAnsi="Times New Roman" w:cs="Times New Roman"/>
          <w:sz w:val="28"/>
          <w:szCs w:val="28"/>
        </w:rPr>
        <w:t xml:space="preserve"> </w:t>
      </w:r>
      <w:r w:rsidRPr="006B2F8A">
        <w:rPr>
          <w:rFonts w:ascii="Times New Roman" w:hAnsi="Times New Roman" w:cs="Times New Roman"/>
          <w:sz w:val="28"/>
          <w:szCs w:val="28"/>
        </w:rPr>
        <w:t>Результати переробки біовідходів суттєво відрізняються (p &lt; 0,01) між кластерами, де результати вищі для першого кластера.</w:t>
      </w:r>
      <w:r w:rsidR="00C5685A">
        <w:rPr>
          <w:rFonts w:ascii="Times New Roman" w:hAnsi="Times New Roman" w:cs="Times New Roman"/>
          <w:sz w:val="28"/>
          <w:szCs w:val="28"/>
        </w:rPr>
        <w:t xml:space="preserve"> </w:t>
      </w:r>
      <w:r w:rsidRPr="006B2F8A">
        <w:rPr>
          <w:rFonts w:ascii="Times New Roman" w:hAnsi="Times New Roman" w:cs="Times New Roman"/>
          <w:sz w:val="28"/>
          <w:szCs w:val="28"/>
        </w:rPr>
        <w:t>У випадку коефіцієнта відновлення масштабів відходів будівництва та зносу суттєвої різниці (p &gt; 0,05) між кластерами немає.</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Результати шкал: коефіцієнт використання циркулярних матеріалів, торгівля вторинною сировиною та приватні інвестиції, робочі місця та валова додана вартість, пов’язані з секторами економіки кругового циклу, значно відрізняються (p &lt; 0,01) між кластерами, де результати вищі для першого кластера.</w:t>
      </w:r>
      <w:r w:rsidR="00C5685A">
        <w:rPr>
          <w:rFonts w:ascii="Times New Roman" w:hAnsi="Times New Roman" w:cs="Times New Roman"/>
          <w:sz w:val="28"/>
          <w:szCs w:val="28"/>
        </w:rPr>
        <w:t xml:space="preserve"> </w:t>
      </w:r>
      <w:r w:rsidRPr="006B2F8A">
        <w:rPr>
          <w:rFonts w:ascii="Times New Roman" w:hAnsi="Times New Roman" w:cs="Times New Roman"/>
          <w:sz w:val="28"/>
          <w:szCs w:val="28"/>
        </w:rPr>
        <w:t>Для патентів, що стосуються переробки та вторинної сировини, різниця між кластерами є значною (p &lt; 0,05).</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Останній етап процесу дослідження включав проведення кластерного кореспонденційного аналізу, який дозволив одночасно продемонструвати схожі країни та подібні масштаби.</w:t>
      </w:r>
    </w:p>
    <w:p w:rsidR="006B2F8A" w:rsidRPr="006B2F8A" w:rsidRDefault="006B2F8A" w:rsidP="006B2F8A">
      <w:pPr>
        <w:spacing w:after="0" w:line="360" w:lineRule="auto"/>
        <w:ind w:firstLine="851"/>
        <w:jc w:val="both"/>
        <w:rPr>
          <w:rFonts w:ascii="Times New Roman" w:hAnsi="Times New Roman" w:cs="Times New Roman"/>
          <w:sz w:val="28"/>
          <w:szCs w:val="28"/>
        </w:rPr>
      </w:pPr>
      <w:r w:rsidRPr="006B2F8A">
        <w:rPr>
          <w:rFonts w:ascii="Times New Roman" w:hAnsi="Times New Roman" w:cs="Times New Roman"/>
          <w:sz w:val="28"/>
          <w:szCs w:val="28"/>
        </w:rPr>
        <w:t xml:space="preserve">На мапі на рис. </w:t>
      </w:r>
      <w:r w:rsidR="00C5685A">
        <w:rPr>
          <w:rFonts w:ascii="Times New Roman" w:hAnsi="Times New Roman" w:cs="Times New Roman"/>
          <w:sz w:val="28"/>
          <w:szCs w:val="28"/>
        </w:rPr>
        <w:t>2.8.</w:t>
      </w:r>
      <w:r w:rsidRPr="006B2F8A">
        <w:rPr>
          <w:rFonts w:ascii="Times New Roman" w:hAnsi="Times New Roman" w:cs="Times New Roman"/>
          <w:sz w:val="28"/>
          <w:szCs w:val="28"/>
        </w:rPr>
        <w:t xml:space="preserve"> представлено три частини інформації, а саме:</w:t>
      </w:r>
    </w:p>
    <w:p w:rsidR="006B2F8A" w:rsidRPr="00C5685A" w:rsidRDefault="006B2F8A" w:rsidP="00C5685A">
      <w:pPr>
        <w:pStyle w:val="a3"/>
        <w:numPr>
          <w:ilvl w:val="0"/>
          <w:numId w:val="7"/>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Ширина стовпця показує, яку частку в матриці займають значення даної змінної.</w:t>
      </w:r>
    </w:p>
    <w:p w:rsidR="006B2F8A" w:rsidRPr="00C5685A" w:rsidRDefault="006B2F8A" w:rsidP="00C5685A">
      <w:pPr>
        <w:pStyle w:val="a3"/>
        <w:numPr>
          <w:ilvl w:val="0"/>
          <w:numId w:val="7"/>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Висота рядка показує, яку частку в матриці займають значення даної країни.</w:t>
      </w:r>
    </w:p>
    <w:p w:rsidR="00814DC6" w:rsidRPr="00C5685A" w:rsidRDefault="006B2F8A" w:rsidP="00C5685A">
      <w:pPr>
        <w:pStyle w:val="a3"/>
        <w:numPr>
          <w:ilvl w:val="0"/>
          <w:numId w:val="7"/>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 xml:space="preserve">Інтенсивність кольору показує коефіцієнт надмірного представлення — чим більше цей коефіцієнт більший за 1, тим більшим є реальний результат по відношенню до теоретичного значення, очікуваного для рівномірного розподілу. Чим більше </w:t>
      </w:r>
      <w:r w:rsidRPr="00C5685A">
        <w:rPr>
          <w:rFonts w:ascii="Times New Roman" w:hAnsi="Times New Roman" w:cs="Times New Roman"/>
          <w:sz w:val="28"/>
          <w:szCs w:val="28"/>
        </w:rPr>
        <w:lastRenderedPageBreak/>
        <w:t>цей коефіцієнт нижчий за 1, тим меншим є реальний результат по відношенню до теоретичного значення, очікуваного для рівного розподілу.</w:t>
      </w:r>
    </w:p>
    <w:p w:rsidR="00814DC6" w:rsidRDefault="008E3211" w:rsidP="008E3211">
      <w:pPr>
        <w:spacing w:after="0" w:line="360" w:lineRule="auto"/>
        <w:jc w:val="both"/>
        <w:rPr>
          <w:rFonts w:ascii="Times New Roman" w:hAnsi="Times New Roman" w:cs="Times New Roman"/>
          <w:sz w:val="28"/>
          <w:szCs w:val="28"/>
        </w:rPr>
      </w:pPr>
      <w:r>
        <w:rPr>
          <w:noProof/>
          <w:lang w:eastAsia="uk-UA"/>
        </w:rPr>
        <w:drawing>
          <wp:inline distT="0" distB="0" distL="0" distR="0">
            <wp:extent cx="6120765" cy="5014014"/>
            <wp:effectExtent l="0" t="0" r="0" b="0"/>
            <wp:docPr id="11" name="Рисунок 11" descr="fig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0765" cy="5014014"/>
                    </a:xfrm>
                    <a:prstGeom prst="rect">
                      <a:avLst/>
                    </a:prstGeom>
                    <a:noFill/>
                    <a:ln>
                      <a:noFill/>
                    </a:ln>
                  </pic:spPr>
                </pic:pic>
              </a:graphicData>
            </a:graphic>
          </wp:inline>
        </w:drawing>
      </w:r>
    </w:p>
    <w:p w:rsidR="00814DC6" w:rsidRDefault="00C5685A" w:rsidP="004C587B">
      <w:pPr>
        <w:spacing w:after="0" w:line="360" w:lineRule="auto"/>
        <w:ind w:firstLine="851"/>
        <w:jc w:val="both"/>
        <w:rPr>
          <w:rFonts w:ascii="Times New Roman" w:hAnsi="Times New Roman" w:cs="Times New Roman"/>
          <w:b/>
          <w:sz w:val="28"/>
          <w:szCs w:val="28"/>
          <w:lang w:val="en-US"/>
        </w:rPr>
      </w:pPr>
      <w:r w:rsidRPr="00C5685A">
        <w:rPr>
          <w:rFonts w:ascii="Times New Roman" w:hAnsi="Times New Roman" w:cs="Times New Roman"/>
          <w:b/>
          <w:sz w:val="28"/>
          <w:szCs w:val="28"/>
        </w:rPr>
        <w:t>Рис. 2.8. Карта надлишкового представництва країн ЄС</w:t>
      </w:r>
      <w:r w:rsidR="000047F7">
        <w:rPr>
          <w:rFonts w:ascii="Times New Roman" w:hAnsi="Times New Roman" w:cs="Times New Roman"/>
          <w:b/>
          <w:sz w:val="28"/>
          <w:szCs w:val="28"/>
          <w:lang w:val="en-US"/>
        </w:rPr>
        <w:t xml:space="preserve"> </w:t>
      </w:r>
    </w:p>
    <w:p w:rsidR="000047F7" w:rsidRPr="00C2644D" w:rsidRDefault="000047F7" w:rsidP="000047F7">
      <w:pPr>
        <w:spacing w:after="0" w:line="360" w:lineRule="auto"/>
        <w:jc w:val="both"/>
        <w:rPr>
          <w:rFonts w:ascii="Times New Roman" w:hAnsi="Times New Roman" w:cs="Times New Roman"/>
          <w:sz w:val="24"/>
          <w:szCs w:val="24"/>
        </w:rPr>
      </w:pPr>
      <w:r w:rsidRPr="00C2644D">
        <w:rPr>
          <w:rFonts w:ascii="Times New Roman" w:hAnsi="Times New Roman" w:cs="Times New Roman"/>
          <w:sz w:val="24"/>
          <w:szCs w:val="24"/>
        </w:rPr>
        <w:t>Джерело: складено автором</w:t>
      </w:r>
    </w:p>
    <w:p w:rsidR="000047F7" w:rsidRPr="000047F7" w:rsidRDefault="000047F7" w:rsidP="004C587B">
      <w:pPr>
        <w:spacing w:after="0" w:line="360" w:lineRule="auto"/>
        <w:ind w:firstLine="851"/>
        <w:jc w:val="both"/>
        <w:rPr>
          <w:rFonts w:ascii="Times New Roman" w:hAnsi="Times New Roman" w:cs="Times New Roman"/>
          <w:b/>
          <w:sz w:val="28"/>
          <w:szCs w:val="28"/>
          <w:lang w:val="en-US"/>
        </w:rPr>
      </w:pPr>
    </w:p>
    <w:p w:rsidR="00C5685A" w:rsidRDefault="00C5685A" w:rsidP="004C587B">
      <w:pPr>
        <w:spacing w:after="0" w:line="360" w:lineRule="auto"/>
        <w:ind w:firstLine="851"/>
        <w:jc w:val="both"/>
        <w:rPr>
          <w:rFonts w:ascii="Times New Roman" w:hAnsi="Times New Roman" w:cs="Times New Roman"/>
          <w:sz w:val="28"/>
          <w:szCs w:val="28"/>
        </w:rPr>
      </w:pPr>
    </w:p>
    <w:p w:rsidR="008E3211" w:rsidRPr="008E3211" w:rsidRDefault="008E3211" w:rsidP="008E3211">
      <w:pPr>
        <w:spacing w:after="0" w:line="360" w:lineRule="auto"/>
        <w:ind w:firstLine="851"/>
        <w:jc w:val="both"/>
        <w:rPr>
          <w:rFonts w:ascii="Times New Roman" w:hAnsi="Times New Roman" w:cs="Times New Roman"/>
          <w:sz w:val="28"/>
          <w:szCs w:val="28"/>
        </w:rPr>
      </w:pPr>
      <w:r w:rsidRPr="008E3211">
        <w:rPr>
          <w:rFonts w:ascii="Times New Roman" w:hAnsi="Times New Roman" w:cs="Times New Roman"/>
          <w:sz w:val="28"/>
          <w:szCs w:val="28"/>
        </w:rPr>
        <w:t>Карта надлишкового представництва на рис. 3 показує, що такі країни, як Німеччина, Франція, Іспанія, Велика Британія та Італія, є групою подібних об’єктів із сильним перепредставленістю за масштабами: cei_cie010, cei_cie020 та cei_srm020. Зовсім протилежну групу країн утворюють Болгарія, Хорватія, Естонія чи Румунія. Однак візуальний аналіз цієї карти не дозволяє чітко класифікувати країни на кластери, тому було проведено кластерний аналіз.</w:t>
      </w:r>
    </w:p>
    <w:p w:rsidR="00814DC6" w:rsidRDefault="00C5685A" w:rsidP="008E321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008E3211" w:rsidRPr="008E3211">
        <w:rPr>
          <w:rFonts w:ascii="Times New Roman" w:hAnsi="Times New Roman" w:cs="Times New Roman"/>
          <w:sz w:val="28"/>
          <w:szCs w:val="28"/>
        </w:rPr>
        <w:t xml:space="preserve"> контексті аналізованих показників СЕ виділяють три кластери.</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lastRenderedPageBreak/>
        <w:t>Перший кластер складається з: Німеччини, Франції, Іспанії, Великобританії, Італії, Нідерландів та Бельгії з відносно високим надпредставленістю масштабів:</w:t>
      </w:r>
      <w:r w:rsidR="00C5685A">
        <w:rPr>
          <w:rFonts w:ascii="Times New Roman" w:hAnsi="Times New Roman" w:cs="Times New Roman"/>
          <w:sz w:val="28"/>
          <w:szCs w:val="28"/>
        </w:rPr>
        <w:t xml:space="preserve">  </w:t>
      </w:r>
      <w:r w:rsidRPr="00B8371B">
        <w:rPr>
          <w:rFonts w:ascii="Times New Roman" w:hAnsi="Times New Roman" w:cs="Times New Roman"/>
          <w:sz w:val="28"/>
          <w:szCs w:val="28"/>
        </w:rPr>
        <w:t>1.</w:t>
      </w:r>
      <w:r w:rsidR="00C5685A">
        <w:rPr>
          <w:rFonts w:ascii="Times New Roman" w:hAnsi="Times New Roman" w:cs="Times New Roman"/>
          <w:sz w:val="28"/>
          <w:szCs w:val="28"/>
        </w:rPr>
        <w:t xml:space="preserve">) </w:t>
      </w:r>
      <w:r w:rsidRPr="00B8371B">
        <w:rPr>
          <w:rFonts w:ascii="Times New Roman" w:hAnsi="Times New Roman" w:cs="Times New Roman"/>
          <w:sz w:val="28"/>
          <w:szCs w:val="28"/>
        </w:rPr>
        <w:t>приватні інвестиції, робочі місця та валова додана вартість, пов'язані з сект</w:t>
      </w:r>
      <w:r w:rsidR="00C5685A">
        <w:rPr>
          <w:rFonts w:ascii="Times New Roman" w:hAnsi="Times New Roman" w:cs="Times New Roman"/>
          <w:sz w:val="28"/>
          <w:szCs w:val="28"/>
        </w:rPr>
        <w:t xml:space="preserve">орами економіки кругового циклу; </w:t>
      </w:r>
      <w:r w:rsidRPr="00B8371B">
        <w:rPr>
          <w:rFonts w:ascii="Times New Roman" w:hAnsi="Times New Roman" w:cs="Times New Roman"/>
          <w:sz w:val="28"/>
          <w:szCs w:val="28"/>
        </w:rPr>
        <w:t>2.</w:t>
      </w:r>
      <w:r w:rsidR="00C5685A">
        <w:rPr>
          <w:rFonts w:ascii="Times New Roman" w:hAnsi="Times New Roman" w:cs="Times New Roman"/>
          <w:sz w:val="28"/>
          <w:szCs w:val="28"/>
        </w:rPr>
        <w:t xml:space="preserve">) </w:t>
      </w:r>
      <w:r w:rsidRPr="00B8371B">
        <w:rPr>
          <w:rFonts w:ascii="Times New Roman" w:hAnsi="Times New Roman" w:cs="Times New Roman"/>
          <w:sz w:val="28"/>
          <w:szCs w:val="28"/>
        </w:rPr>
        <w:t>патенти на</w:t>
      </w:r>
      <w:r w:rsidR="00C5685A">
        <w:rPr>
          <w:rFonts w:ascii="Times New Roman" w:hAnsi="Times New Roman" w:cs="Times New Roman"/>
          <w:sz w:val="28"/>
          <w:szCs w:val="28"/>
        </w:rPr>
        <w:t xml:space="preserve"> переробку та вторинну сировину; </w:t>
      </w:r>
      <w:r w:rsidRPr="00B8371B">
        <w:rPr>
          <w:rFonts w:ascii="Times New Roman" w:hAnsi="Times New Roman" w:cs="Times New Roman"/>
          <w:sz w:val="28"/>
          <w:szCs w:val="28"/>
        </w:rPr>
        <w:t>3.</w:t>
      </w:r>
      <w:r w:rsidR="00C5685A">
        <w:rPr>
          <w:rFonts w:ascii="Times New Roman" w:hAnsi="Times New Roman" w:cs="Times New Roman"/>
          <w:sz w:val="28"/>
          <w:szCs w:val="28"/>
        </w:rPr>
        <w:t xml:space="preserve">) </w:t>
      </w:r>
      <w:r w:rsidRPr="00B8371B">
        <w:rPr>
          <w:rFonts w:ascii="Times New Roman" w:hAnsi="Times New Roman" w:cs="Times New Roman"/>
          <w:sz w:val="28"/>
          <w:szCs w:val="28"/>
        </w:rPr>
        <w:t>т</w:t>
      </w:r>
      <w:r w:rsidR="00C5685A">
        <w:rPr>
          <w:rFonts w:ascii="Times New Roman" w:hAnsi="Times New Roman" w:cs="Times New Roman"/>
          <w:sz w:val="28"/>
          <w:szCs w:val="28"/>
        </w:rPr>
        <w:t xml:space="preserve">оргівля вторинною сировиною; </w:t>
      </w:r>
      <w:r w:rsidRPr="00B8371B">
        <w:rPr>
          <w:rFonts w:ascii="Times New Roman" w:hAnsi="Times New Roman" w:cs="Times New Roman"/>
          <w:sz w:val="28"/>
          <w:szCs w:val="28"/>
        </w:rPr>
        <w:t>4.</w:t>
      </w:r>
      <w:r w:rsidR="00C5685A">
        <w:rPr>
          <w:rFonts w:ascii="Times New Roman" w:hAnsi="Times New Roman" w:cs="Times New Roman"/>
          <w:sz w:val="28"/>
          <w:szCs w:val="28"/>
        </w:rPr>
        <w:t>) циркулярний</w:t>
      </w:r>
      <w:r w:rsidRPr="00B8371B">
        <w:rPr>
          <w:rFonts w:ascii="Times New Roman" w:hAnsi="Times New Roman" w:cs="Times New Roman"/>
          <w:sz w:val="28"/>
          <w:szCs w:val="28"/>
        </w:rPr>
        <w:t xml:space="preserve"> ко</w:t>
      </w:r>
      <w:r w:rsidR="00C5685A">
        <w:rPr>
          <w:rFonts w:ascii="Times New Roman" w:hAnsi="Times New Roman" w:cs="Times New Roman"/>
          <w:sz w:val="28"/>
          <w:szCs w:val="28"/>
        </w:rPr>
        <w:t xml:space="preserve">ефіцієнт використання матеріалу; </w:t>
      </w:r>
      <w:r w:rsidRPr="00B8371B">
        <w:rPr>
          <w:rFonts w:ascii="Times New Roman" w:hAnsi="Times New Roman" w:cs="Times New Roman"/>
          <w:sz w:val="28"/>
          <w:szCs w:val="28"/>
        </w:rPr>
        <w:t>5.</w:t>
      </w:r>
      <w:r w:rsidR="00C5685A">
        <w:rPr>
          <w:rFonts w:ascii="Times New Roman" w:hAnsi="Times New Roman" w:cs="Times New Roman"/>
          <w:sz w:val="28"/>
          <w:szCs w:val="28"/>
        </w:rPr>
        <w:t xml:space="preserve">) </w:t>
      </w:r>
      <w:r w:rsidRPr="00B8371B">
        <w:rPr>
          <w:rFonts w:ascii="Times New Roman" w:hAnsi="Times New Roman" w:cs="Times New Roman"/>
          <w:sz w:val="28"/>
          <w:szCs w:val="28"/>
        </w:rPr>
        <w:t>переробка біовідходів.</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Це означає, що ці країни лідирують у вищезгаданих діях. У той же час їх масштаби там дуже мало представлені:</w:t>
      </w:r>
    </w:p>
    <w:p w:rsidR="00B8371B" w:rsidRPr="00C5685A" w:rsidRDefault="00B8371B" w:rsidP="00C5685A">
      <w:pPr>
        <w:pStyle w:val="a3"/>
        <w:numPr>
          <w:ilvl w:val="0"/>
          <w:numId w:val="6"/>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коефіцієнт утилізації відходів будівництва та знесення,</w:t>
      </w:r>
    </w:p>
    <w:p w:rsidR="00B8371B" w:rsidRPr="00C5685A" w:rsidRDefault="00B8371B" w:rsidP="00C5685A">
      <w:pPr>
        <w:pStyle w:val="a3"/>
        <w:numPr>
          <w:ilvl w:val="0"/>
          <w:numId w:val="6"/>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швидкість переробки електронних відходів,</w:t>
      </w:r>
    </w:p>
    <w:p w:rsidR="00B8371B" w:rsidRPr="00C5685A" w:rsidRDefault="00B8371B" w:rsidP="00C5685A">
      <w:pPr>
        <w:pStyle w:val="a3"/>
        <w:numPr>
          <w:ilvl w:val="0"/>
          <w:numId w:val="6"/>
        </w:numPr>
        <w:spacing w:after="0" w:line="360" w:lineRule="auto"/>
        <w:jc w:val="both"/>
        <w:rPr>
          <w:rFonts w:ascii="Times New Roman" w:hAnsi="Times New Roman" w:cs="Times New Roman"/>
          <w:sz w:val="28"/>
          <w:szCs w:val="28"/>
        </w:rPr>
      </w:pPr>
      <w:r w:rsidRPr="00C5685A">
        <w:rPr>
          <w:rFonts w:ascii="Times New Roman" w:hAnsi="Times New Roman" w:cs="Times New Roman"/>
          <w:sz w:val="28"/>
          <w:szCs w:val="28"/>
        </w:rPr>
        <w:t>утворення відходів, за винятком основних мінеральних відходів на одиницю ВВП.</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Третій кластер, що складається з Кіпру, Чехії, Мальти, Литви, Латвії, Угорщини, Ірландії, Словаччини, Румунії, Естонії, Хорватії та Болгарії, є протилежністю першого кластеру, тобто демонструє відносно високу надпредставленість масштабів: швидкість відновлення відходи будівництва та руйнування, рівень переробки електронних відходів та утворення відходів, за винятком основних мінеральних відходів на одиницю ВВП, і висока недопредставленість масштабів: приватні інвестиції, робочі місця та валова додана вартість, пов’язані з секторами економіки кругового циклу, патенти, пов’язані з переробкою та вторинною сировиною , торгівля вторинною сировиною, циркулярне використання матеріалів та переробка біовідходів.</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Другий кластер об’єднує країни із середніми результатами та включає Австрію, Польщу, Люксембург, Фінляндію, Швецію, Данію, Грецію, Словенію та Португалію.</w:t>
      </w:r>
    </w:p>
    <w:p w:rsid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Стовпці, віддалені один від одного, включають шкали, які не корелюють або навіть мають негативну кореляцію, напр. чим вищі приватні інвестиції, робочі місця та валова додана вартість, пов'язані з показниками секторів економіки кругового циклу, тим менше утворення відходів, за винятком основних мінеральних відходів, на одиницю ВВП.</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lastRenderedPageBreak/>
        <w:t xml:space="preserve">Висновок, зроблений на основі статистичного аналізу щодо трансформації країн ЄС до </w:t>
      </w:r>
      <w:r w:rsidR="00C5685A">
        <w:rPr>
          <w:rFonts w:ascii="Times New Roman" w:hAnsi="Times New Roman" w:cs="Times New Roman"/>
          <w:sz w:val="28"/>
          <w:szCs w:val="28"/>
        </w:rPr>
        <w:t>циркулярної</w:t>
      </w:r>
      <w:r w:rsidRPr="00B8371B">
        <w:rPr>
          <w:rFonts w:ascii="Times New Roman" w:hAnsi="Times New Roman" w:cs="Times New Roman"/>
          <w:sz w:val="28"/>
          <w:szCs w:val="28"/>
        </w:rPr>
        <w:t xml:space="preserve"> економіки, призвів до появи «Європи двох швидкостей».</w:t>
      </w:r>
    </w:p>
    <w:p w:rsidR="00B8371B" w:rsidRP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Серед провідних країн, найбільш просунутих у проведенні операцій відповідно до принципів CE, є Німеччина, Бельгія, Іспанія, Франція, Італія, Нідерланди та Великобританія. Це країни так званого Старого Союзу (тобто ті, до яких після 2004 року приєдналися інші європейські країни), економічно високорозвинені країни.</w:t>
      </w:r>
    </w:p>
    <w:p w:rsidR="00B8371B" w:rsidRDefault="00B8371B" w:rsidP="00B8371B">
      <w:pPr>
        <w:spacing w:after="0" w:line="360" w:lineRule="auto"/>
        <w:ind w:firstLine="851"/>
        <w:jc w:val="both"/>
        <w:rPr>
          <w:rFonts w:ascii="Times New Roman" w:hAnsi="Times New Roman" w:cs="Times New Roman"/>
          <w:sz w:val="28"/>
          <w:szCs w:val="28"/>
        </w:rPr>
      </w:pPr>
      <w:r w:rsidRPr="00B8371B">
        <w:rPr>
          <w:rFonts w:ascii="Times New Roman" w:hAnsi="Times New Roman" w:cs="Times New Roman"/>
          <w:sz w:val="28"/>
          <w:szCs w:val="28"/>
        </w:rPr>
        <w:t>Другий полюс вміщує країни ЄС, в яких трансформація до РЄ відбувається найповільнішими темпами. До цієї групи входять: Кіпр, Чехія, Мальта, Литва, Латвія, Угорщина, Ірландія, Словаччина, Румунія, Естонія, Хорватія та Болгарія. Тому, за винятком Ірландії, це переважно країни Центральної та Східної Європи (після політичної трансформації) та країни Півдня Європи.</w:t>
      </w:r>
    </w:p>
    <w:p w:rsidR="00B8371B" w:rsidRDefault="00B8371B" w:rsidP="004C587B">
      <w:pPr>
        <w:spacing w:after="0" w:line="360" w:lineRule="auto"/>
        <w:ind w:firstLine="851"/>
        <w:jc w:val="both"/>
        <w:rPr>
          <w:rFonts w:ascii="Times New Roman" w:hAnsi="Times New Roman" w:cs="Times New Roman"/>
          <w:sz w:val="28"/>
          <w:szCs w:val="28"/>
        </w:rPr>
      </w:pPr>
    </w:p>
    <w:p w:rsidR="00B8371B" w:rsidRPr="006A27BA" w:rsidRDefault="006A27BA" w:rsidP="006A27BA">
      <w:pPr>
        <w:spacing w:after="0" w:line="360" w:lineRule="auto"/>
        <w:ind w:firstLine="851"/>
        <w:jc w:val="both"/>
        <w:rPr>
          <w:rFonts w:ascii="Times New Roman" w:hAnsi="Times New Roman" w:cs="Times New Roman"/>
          <w:b/>
          <w:sz w:val="28"/>
          <w:szCs w:val="28"/>
        </w:rPr>
      </w:pPr>
      <w:r w:rsidRPr="006A27BA">
        <w:rPr>
          <w:rFonts w:ascii="Times New Roman" w:hAnsi="Times New Roman" w:cs="Times New Roman"/>
          <w:b/>
          <w:sz w:val="28"/>
          <w:szCs w:val="28"/>
        </w:rPr>
        <w:t xml:space="preserve">2.3. </w:t>
      </w:r>
      <w:r>
        <w:rPr>
          <w:rFonts w:ascii="Times New Roman" w:hAnsi="Times New Roman" w:cs="Times New Roman"/>
          <w:b/>
          <w:sz w:val="28"/>
          <w:szCs w:val="28"/>
        </w:rPr>
        <w:t>Трансформація ЄС в напрямку циркулярної економіки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Можна припустити, що країни, які найбільше просунулися у своїй трансформації (високоіндустріальні країни), почали відчувати і. проблеми надмірного утворення відходів, вичерпання ресурсів, забруднення навколишнього середовища, зростання споживання або незбалансованого споживання набагато раніше, ніж економіка європейських країн, які розвиваються повільніше (наприклад, країни, які належали до Східного блоку і лише з кінця 1980-х років або 1990-ті роки їх економіки функціонували за принципами вільного ринку та конкурентної економіки).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Вищезазначені проблеми досягли країн Центральної та Східної Європи з певним запізненням, тому їхня діяльність, спрямована на впровадження РЄ, може бути дещо повільнішою в часі, хоча вони мають місце.</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Менша участь цих країн у впровадженні РЄ також може зменшитися, напр. відсутність достатньо розвиненої інфраструктури для переробки відходів або низька поінформованість суспільства про СЕ.</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lastRenderedPageBreak/>
        <w:t>Іншим важливим питанням є питання фінансування діяльності, яка обслуговує впровадження та функціонування економік країн Союзу за принципами РЄ. Звичайно, перехід країн до циркулярної економіки є вигідним для навколишнього середовища і, як наслідок, для людей, але він вимагає більшої обізнаності з питань СЕ з боку регулятора, органів управління, споживачів і суспільства в цілому з точки зору впровадження передових технологій, і це , у свою чергу, вимагає часових і фінансових витрат.</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Європейська комісія сприяє діяльності, пов'язаній з СЕ, наголошуючи, що впровадження систем СЕ матиме позитивний вплив на ефективність використання ресурсів і принесе вирішальну економічну вигоду для країн ЄС.</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Диференційований рівень просування окремих країн ЄС до РЄ також є результатом прийняття деякими з них різних стратегій розвитку щодо переходу їхніх економік до кругової економіки (згідно з рекомендаціями міністрів ЄС на Раді з навколишнього середовища в червні 2016 року), а також із їх різний підхід до впровадження CE. Деякі з них, зокрема ті, що входять до групи країн, що більш просунулися у своїй трансформації до РЄ, вжили заходів, що відповідають концепції РЄ, ще ​​до того, як вона була визнана Європейською Комісією однією з найважливіших.</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Так, у Німеччині ще в 2002 році відмежування економічного зростання від використання матеріалів було прийнято як одна з економічних цілей, тоді як у 2012 році вона прийняла статут, який сприяє циркулярній економіці та круговому використанню матеріалів. У 2016 році був опублікований документ Німецька програма ефективності використання ресурсів II: Програма сталого використання та збереження природних ресурсів [4], тоді як у 2019 році набув чинності новий закон про упаковку (Закон про упаковку) [84]. Багато національних ініціатив або програм, які заохочують ЗВ, реалізуються в Німеччині, напр. німецька національна програма ефективного використання ресурсів ProgRess [4] або програма VDI [96].</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Нідерланди вважаються одним із європейських піонерів ініціатив, пов’язаних з СЕ, де діяльність, пов’язана з концепцією СЕ, була запроваджена в </w:t>
      </w:r>
      <w:r w:rsidRPr="005C4D41">
        <w:rPr>
          <w:rFonts w:ascii="Times New Roman" w:hAnsi="Times New Roman" w:cs="Times New Roman"/>
          <w:sz w:val="28"/>
          <w:szCs w:val="28"/>
        </w:rPr>
        <w:lastRenderedPageBreak/>
        <w:t>2011 році, а в 2013 році був складений звіт під назвою «Можливості для циркулярної економіки в Нідерландах» [2] . Він визначив можливості для економічного зростання та збільшення зайнятості завдяки інноваціям у циркулярній економіці. У 2016 році Нідерланди прийняли національну програму циркулярної економіки в Нідерландах до 2050 року. Вона зосереджена на основних категоріях економіки Нідерландів, тобто на біомасі та харчових продуктах, будівництві, пластмасах, виробництві та споживчих товарах. Зменшення використання природних ресурсів і незалежність імпорту природних ресурсів, а отже, підвищення безпеки постачання сировини є найбільш бажаними наслідками трансформації до СЕ в Нідерландах.</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У свою чергу, у Великобританії ініціатива під назвою План дій з відходів і ресурсів (WRAP) розвивається з 2000 року. Однак стратегії кругової економіки, загальної для всіх регіонів, не розроблено. Тим не менш, CE включено в промислову стратегію «Побудова Британії, яка підходить для майбутнього». Дії, пов’язані з СЕ, підтримуються 25-річним екологічним планом та майбутньою Стратегією щодо ресурсів і відходів. Ні Англія, ні Уельс не розробили регіональну стратегію СЕ, тоді як у Шотландії в 2016 році уряд прийняв стратегію циркулярної економіки. Двома ключовими елементами стратегії є: розробка більш комплексного підходу до відповідальності виробника шляхом створення єдиної системи для всіх видів продукції, які стосуються повторного використання, ремонту та відновлення, при більш повному висвітленні та врахуванні витрат на переробку та утилізацію; і скоротити всі харчові відходи на 33% до 2025 року [70].</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Франція – ще одна країна, яка просунулася на шляху до Центральної Європи, де в 2013 році був розроблений план дій щодо переходу до циркулярної економіки та створено Французький інститут економіки кругового циклу. У 2018 році Франція прийняла Дорожню карту для циркулярної економіки — 50 заходів для 100% кругової економіки [97]. Стратегія циркулярної економіки у Франції передбачає, зокрема, скорочення використання природних ресурсів, пов’язаних із споживанням у Франції: 30% скорочення по відношенню до ВВП між 2010 і </w:t>
      </w:r>
      <w:r w:rsidRPr="005C4D41">
        <w:rPr>
          <w:rFonts w:ascii="Times New Roman" w:hAnsi="Times New Roman" w:cs="Times New Roman"/>
          <w:sz w:val="28"/>
          <w:szCs w:val="28"/>
        </w:rPr>
        <w:lastRenderedPageBreak/>
        <w:t>2030 роками, 50% зменшення кількості ненебезпечних відходів, які вивозять на полігон. У 2025 році порівняно з 2010 роком 100% пластику переробляється та скорочується викидів парникових газів (на 8 мільйонів тонн CO2 щороку завдяки переробці пластику). Франція брала участь у проекті кільцевої розв’язки Північного моря [59]. На даний момент це перша країна ЄС, яка транспонувала європейські директиви з кругової економіки у національне законодавство [44].</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У 2017 році Італія представила свою стратегію «До моделі циркулярної економіки для Італії — огляд і стратегічні рамки» [74]. Його мета – спрямувати громадську думку на концепцію циркулярної економіки. Це так звана інтегрована стратегія — вона зосереджена в основному на горизонтальних інструментах і політиці. Як видно зі звіту під назвою Circular Economy Network, ENEA, Rapporto sull’Economia Circolare in Italia 2019, італійська економіка має один із найвищих показників моніторингу CE в ЄС. Це стосується п'яти параметрів: виробництва, споживання, поводження з відходами, вторинної сировини та конкурентоспроможності та інновацій.</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На початку червня 2020 року уряд Іспанії опублікував España Circular 2030, нову стратегію циркулярної економіки в Іспанії до 2030 (2020). Він містить цілі циркулярної економіки та низку стратегічних орієнтирів на період 2020–2030 років. Стратегія: встановлює ряд завдань на 2020–2030 роки, які, зокрема, дозволять на 30% скоротити національне споживання ресурсів і на 15% скоротити утворення відходів (порівняно з 2010 роком); сприяє зусиллям Іспанії щодо переходу до сталої, декарбонізованої, ресурсоефективної та конкурентоспроможної економіки; і приймає форму послідовних 3-річних планів дій, які передбачають конкретні заходи для досягнення циркулярної економіки. В Іспанії здійснюється низка ініціатив, пов’язаних із СЕ на національному, регіональному рівні («Севільська декларація» [19], «Естремадура 2030» — стратегія для СЕ регіону Естремадура [40]).</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Бельгія прийняла національну стратегію циркулярної економіки під назвою «На шляху до Бельгії» як піонера в економіці кругового циклу в 2014 році. Дорожня карта містить 21 захід, спрямований на збільшення потенціалу </w:t>
      </w:r>
      <w:r w:rsidRPr="005C4D41">
        <w:rPr>
          <w:rFonts w:ascii="Times New Roman" w:hAnsi="Times New Roman" w:cs="Times New Roman"/>
          <w:sz w:val="28"/>
          <w:szCs w:val="28"/>
        </w:rPr>
        <w:lastRenderedPageBreak/>
        <w:t>циркулярної економіки шляхом обміну та ремонту продуктів та сталого поводження з відходами [42]. Це має значні результати, особливо в області переробки.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Як видно з вищенаведеного аналізу, з країн ЄС, які найбільше просунулися у своїй трансформації до РЄ, лише Сполучене Королівство не має національної стратегії РЄ. Такі стратегії створені в інших країнах. Крім того, стратегії РЄ розроблені в цих країнах на регіональному та місцевому рівнях. Вони стосуються ініціатив органів місцевого самоврядування (часто міст). Звісно, ​​національні стратегії, пов’язані з СЕ, також створюються в країнах ЄС, у яких перехід до СЕ відбувається найповільнішими темпами. Серед країн, які найменш просунулися на шляху до РЄ, мають відповідні стратегії: Мальта (Бачення сталого розвитку на 2050 рік), Ірландія (На шляху до ресурсоефективної Ірландії: національна стратегія до 2020 року) або Словаччина (Словацька Республіка до зеленої економіки). Слід підкреслити, що офіційно ці країни взяли на себе зобов’язання трансформувати свою економіку відповідно до ідеї РЄ, але, незважаючи на здійснену законодавчу діяльність та інші ініціативи в цьому плані, вони знаходяться лише на початковій стадії реалізації. Особливу увагу в цих країнах необхідно приділити їхній подальшій законодавчій діяльності, новим соціальним ініціативам та новим технологічним рішенням у сфері, напр. екологічні інновації з метою прискорення їх трансформації до СЕ.</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На основі оцінки огляду аналізів та звітів і документів, представлених у літературі, можна припустити, що диспропорція між окремими країнами щодо їх трансформації до РЄ триватиме протягом наступних кількох років.</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У рамках впровадження СЕ Європейський Союз тепер надає особливе значення поводженню з відходами. Це відображено, наприклад, у індикаторах, які враховуються в рамках моніторингу СЕ [31], серед яких значну групу становлять показники, що стосуються відходів. Аналізуючи показники, прийняті ЄС, стає зрозумілим, що переробка є одним з кількох основних елементів СЕ [55]. На основі лише тих показників, які стосуються переробки, можна також виділити групи країн ЄС з різним рівнем просування у його застосуванні.</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lastRenderedPageBreak/>
        <w:t>Бельгія прийняла національну стратегію циркулярної економіки під назвою «На шляху до Бельгії» як піонера в економіці кругового циклу в 2014 році. Дорожня карта містить 21 захід, спрямований на підвищення потенціалу циркулярної економіки шляхом обміну та ремонту продуктів та постійного поводження з відходами [42]. Це має значні результати, особливо в області переробки.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Як видно з вищенаведеного аналізу, з країн ЄС, які найбільше просунулися у своїй трансформації до РЄ, лише Сполучене Королівство не має національної стратегії РЄ. Такі стратегії створені в інших країнах. Крім того, стратегії РЄ розроблені в цих країнах на регіональному та місцевому рівні. Вони застосовуються ініціативи органів місцевого самоврядування (часто міст). Звісно, ​​національні стратегії, пов’язані з СЕ, також створюються в країнах ЄС, у яких перехід до СЕ відбувається найповільнішими темпами. Серед, який найменший рік просунулися країни на шляху до РЄ, мають відповідні стратегії: Мальта (Бачення сталого розвитку на 2050 рік), Ірландія (На шляху до ресурсоефективної Ірландії: національна стратегія до 2020 року) або Словаччина (Словацька Республіка до зеленої). Після цього взяли, що офіційні ці країни на свою потребу трансформувати економіку відповідно до ідеї РЄ, але, незважаючи на виконання законодавчої діяльності та інші ініціативи в цьому плані, вони залишаються лише на початковій стадії реалізації. Особливу увагу в цих країнах необхідно приділяти їх подальшій законодавчій діяльності, новим соціальним ініціативам та новим технологічним рішенням у сфері, напр. екологічні інновації з використанням прискорення їх трансформації до СЕ.</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На основі оцінки огляду аналізів та звітів та документів, представлених у літературі, можна припустити, що диспропорція окремими країнами щодо їх трансформації до РЄ триватиме впродовж наступних між роками.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У рамках впровадження СЕ Європейський Союз тепер дає особливе значення поводження з відходами. Це відображено, наприклад, в індикаторах, які враховуються в рамках моніторингу СЕ [31], серед яких значну групу становлять показники, що застосовуються відходів. Аналізуючи показники, прийняті ЄС, </w:t>
      </w:r>
      <w:r w:rsidRPr="005C4D41">
        <w:rPr>
          <w:rFonts w:ascii="Times New Roman" w:hAnsi="Times New Roman" w:cs="Times New Roman"/>
          <w:sz w:val="28"/>
          <w:szCs w:val="28"/>
        </w:rPr>
        <w:lastRenderedPageBreak/>
        <w:t>стає зрозумілим, що переробка є одним із основних елементів СЕ [55]. На основі лише тих показників, які застосовуються переробки, можна також розділити групи країн з різним рівнем просування в його застосування в ЄС.</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Враховуючи нинішню соціальну та економічну ситуацію в країнах ЄС та стан природного середовища, здається, що немає іншого виходу, крім переходу до РЄ. Ми спостерігаємо глобальне зростання населення, і ми відчуваємо бар’єр обмеженої кількості сировини в усьому світі, отже, необхідно звернутися до переробки та запобігання утворенню відходів.</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Європейський Союз відіграє ключову роль у поширенні концепції СЕ. Вона опублікувала низку документів, що стосуються СЕ, і зобов'язала свої держави-члени виконувати процеси, пов'язані з перетворенням їх економіки на СЕ.</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Вимірювання та оцінка вжитої діяльності з точки зору впровадження РЄ є фундаментальними питаннями для належного впровадження РЄ. Моніторинг має також поширюватися на хід трансформації до СЕ [77] або на ефективність реалізації цілей СЕ [34] на різних рівнях (макро, мезо та мікро).</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Звіти, стратегії та документи міжнародних інституцій, а також багато наукових публікацій містять низку рекомендацій щодо побудови індикаторів для вимірювання СЕ на різних рівнях. Європейська комісія також створила власну систему моніторингу [34]. Запропонований набір індикаторів СЕ постійно вдосконалюється. Створені показники можуть бути використані надалі для проведення порівняльного аналізу, напр. між країнами, т.е. з точки зору їх прогресу в переході до СЕ [1], [98].</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Враховуючи вищевикладене, метою цієї статті є визначення та групування країн ЄС-28 відповідно до їхнього просування до циркулярної економіки. Окрім аналізу літератури, були проведені окремі статистичні аналізи. Після огляду літератури з РЄ, уважно розглянувши макрорівень, автор вирішив вибрати індикатори, які були обрані Європейською комісією для моніторингу РЄ в ЄС.</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lastRenderedPageBreak/>
        <w:t>У ході дослідження були отримані наступні результати. Ієрархічний кластерний аналіз показав, що існують дві групи країн. До першої групи входять: Бельгія, Нідерланди, Данія, Люксембург, Австрія, Німеччина, Іспанія, Франція, Італія та Великобританія. Інші країни входять до другого кластеру.</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Такі ж результати були отримані при застосуванні кластеризації k-середніх. Наступний аналіз, кластерний кореспонденційно-кластерний аналіз, дозволив виділити три групи країн ЄС. До першої увійшли Німеччина, Франція, Іспанія, Великобританія, Італія, Нідерланди та Бельгія, до другої увійшли Австрія, Польща, Люксембург, Фінляндія, Швеція, Данія, Греція, Словенія та Португалія, а до третьої — Кіпр. , Чехія, Мальта, Литва, Латвія, Угорщина, Ірландія, Словаччина, Румунія, Естонія, Хорватія та Болгарія. Порівнюючи результати, отримані в ході цих аналізів, можна зробити висновок, що країною ЄС, яка найбільше просунулась у своїй трансформації до РЄ, є Німеччина, а до найменш розвинених країн – Кіпр, Чехія, Мальта, Литва, Латвія, Угорщина, Ірландія, Словаччина, Румунія. , Естонія, Хорватія та Болгарія, таким чином, за винятком Ірландії — це переважно країни Центральної та Східної Європи (після політичної трансформації) та країни Півдня Європи.</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Підводячи підсумки, безумовно, слід звернути увагу на обмеження аналізу, про які знає автор. Вони включали період, за який були доступні статистичні дані, використані в аналізі (2010–2018 рр.), та відсутність даних для певних показників, які підпадають під систему моніторингу ЄК, що унеможливлювало їх врахування в аналізі. Необхідно також мати на увазі, що вимірювання трансформації до СЕ на макрорівні є складним і несе ризик помилки. Більше того, кінцевий результат завжди буде випливати з припущень, які необхідно зробити для аналізу. Аналіз, проведений у цій роботі, може бути додатково розвинутий шляхом розширення аналізованих часових рамок (за наявними даними), вибору інших показників, застосування інших статистичних методів або побудови економетричних моделей.</w:t>
      </w:r>
    </w:p>
    <w:p w:rsidR="006A27BA" w:rsidRPr="005C4D41" w:rsidRDefault="006A27BA" w:rsidP="006A27BA">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Аналіз, представлений, є відправною точкою для подальших досліджень у сфері предмета, який розглядається, проведення поглибленого аналізу дій з </w:t>
      </w:r>
      <w:r w:rsidRPr="005C4D41">
        <w:rPr>
          <w:rFonts w:ascii="Times New Roman" w:hAnsi="Times New Roman" w:cs="Times New Roman"/>
          <w:sz w:val="28"/>
          <w:szCs w:val="28"/>
        </w:rPr>
        <w:lastRenderedPageBreak/>
        <w:t>трансформації лінійної економіки в економіку кругового характеру в країнах ЄС або дослідження впливу трансформації економіки в бік РЄ на економічне зростання та соціально-економічний розвиток окремих країн ЄС. Завданням у цьому відношенні буде побудова моделі вимірювання прогресу трансформації до РЄ та її впливу на соціальний та економічний розвиток, яка б врахувала причинно-наслідкову послідовність зміни поведінки (і її динаміка в часі) всіх учасників суспільно-економічного життя (включаючи виробників, споживачів, державний сектор, академічні та науково-дослідні установи, неурядові організації тощо).</w:t>
      </w:r>
    </w:p>
    <w:p w:rsidR="006A27BA" w:rsidRDefault="00211659" w:rsidP="00211659">
      <w:pPr>
        <w:spacing w:after="0" w:line="360" w:lineRule="auto"/>
        <w:ind w:firstLine="708"/>
        <w:jc w:val="both"/>
        <w:rPr>
          <w:rFonts w:ascii="Times New Roman" w:hAnsi="Times New Roman" w:cs="Times New Roman"/>
          <w:b/>
          <w:sz w:val="28"/>
          <w:szCs w:val="28"/>
        </w:rPr>
      </w:pPr>
      <w:r w:rsidRPr="00211659">
        <w:rPr>
          <w:rFonts w:ascii="Times New Roman" w:hAnsi="Times New Roman" w:cs="Times New Roman"/>
          <w:b/>
          <w:sz w:val="28"/>
          <w:szCs w:val="28"/>
        </w:rPr>
        <w:t xml:space="preserve">Висновки </w:t>
      </w:r>
      <w:r>
        <w:rPr>
          <w:rFonts w:ascii="Times New Roman" w:hAnsi="Times New Roman" w:cs="Times New Roman"/>
          <w:b/>
          <w:sz w:val="28"/>
          <w:szCs w:val="28"/>
        </w:rPr>
        <w:t>до 2 розділу.</w:t>
      </w:r>
    </w:p>
    <w:p w:rsidR="00211659" w:rsidRPr="005C4D41" w:rsidRDefault="00211659" w:rsidP="00211659">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Підводячи підсумки, безумовно, слід звернути увагу на обмеження аналізу, про які знає автор. Вони включали період, за який були доступні статистичні дані, використані в аналізі (2010–2018 рр.), та відсутність даних для певних показників, які підпадають під систему моніторингу ЄК, що унеможливлювало їх врахування в аналізі. Необхідно також мати на увазі, що вимірювання трансформації до СЕ на макрорівні є складним і несе ризик помилки. Більше того, кінцевий результат завжди буде випливати з припущень, які необхідно зробити для аналізу. Аналіз, проведений у цій роботі, може бути додатково розвинутий шляхом розширення аналізованих часових рамок (за наявними даними), вибору інших показників, застосування інших статистичних методів або побудови економетричних моделей.</w:t>
      </w:r>
    </w:p>
    <w:p w:rsidR="00211659" w:rsidRPr="005C4D41" w:rsidRDefault="00211659" w:rsidP="00211659">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 xml:space="preserve">Аналіз, представлений, є відправною точкою для подальших досліджень у сфері предмета, який розглядається, проведення поглибленого аналізу дій з трансформації лінійної економіки в економіку кругового характеру в країнах ЄС або дослідження впливу трансформації економіки в бік РЄ на економічне зростання та соціально-економічний розвиток окремих країн ЄС. Завданням у цьому відношенні буде побудова моделі вимірювання прогресу трансформації до РЄ та її впливу на соціальний та економічний розвиток, яка б врахувала причинно-наслідкову послідовність зміни поведінки (і її динаміка в часі) всіх учасників суспільно-економічного життя (включаючи виробників, споживачів, </w:t>
      </w:r>
      <w:r w:rsidRPr="005C4D41">
        <w:rPr>
          <w:rFonts w:ascii="Times New Roman" w:hAnsi="Times New Roman" w:cs="Times New Roman"/>
          <w:sz w:val="28"/>
          <w:szCs w:val="28"/>
        </w:rPr>
        <w:lastRenderedPageBreak/>
        <w:t>державний сектор, академічні та науково-дослідні установи, неурядові організації тощо).</w:t>
      </w:r>
    </w:p>
    <w:p w:rsidR="00211659" w:rsidRPr="005C4D41" w:rsidRDefault="00211659" w:rsidP="00211659">
      <w:pPr>
        <w:spacing w:after="0" w:line="360" w:lineRule="auto"/>
        <w:ind w:firstLine="851"/>
        <w:jc w:val="both"/>
        <w:rPr>
          <w:rFonts w:ascii="Times New Roman" w:hAnsi="Times New Roman" w:cs="Times New Roman"/>
          <w:sz w:val="28"/>
          <w:szCs w:val="28"/>
        </w:rPr>
      </w:pPr>
    </w:p>
    <w:p w:rsidR="00211659" w:rsidRPr="00211659" w:rsidRDefault="00211659" w:rsidP="00211659">
      <w:pPr>
        <w:spacing w:after="0" w:line="360" w:lineRule="auto"/>
        <w:ind w:firstLine="851"/>
        <w:jc w:val="both"/>
        <w:rPr>
          <w:rFonts w:ascii="Times New Roman" w:hAnsi="Times New Roman" w:cs="Times New Roman"/>
          <w:b/>
          <w:sz w:val="28"/>
          <w:szCs w:val="28"/>
        </w:rPr>
      </w:pPr>
    </w:p>
    <w:p w:rsidR="006A27BA" w:rsidRDefault="006A27BA" w:rsidP="00211659">
      <w:pPr>
        <w:spacing w:after="0" w:line="360" w:lineRule="auto"/>
        <w:ind w:firstLine="851"/>
        <w:jc w:val="both"/>
        <w:rPr>
          <w:rFonts w:ascii="Times New Roman" w:hAnsi="Times New Roman" w:cs="Times New Roman"/>
          <w:sz w:val="28"/>
          <w:szCs w:val="28"/>
        </w:rPr>
      </w:pPr>
    </w:p>
    <w:p w:rsidR="00B8371B" w:rsidRDefault="00B8371B" w:rsidP="00211659">
      <w:pPr>
        <w:spacing w:after="0" w:line="360" w:lineRule="auto"/>
        <w:ind w:firstLine="851"/>
        <w:jc w:val="both"/>
        <w:rPr>
          <w:rFonts w:ascii="Times New Roman" w:hAnsi="Times New Roman" w:cs="Times New Roman"/>
          <w:sz w:val="28"/>
          <w:szCs w:val="28"/>
        </w:rPr>
      </w:pPr>
    </w:p>
    <w:p w:rsidR="00B8371B" w:rsidRDefault="00B8371B" w:rsidP="00211659">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C5685A" w:rsidRDefault="00C5685A" w:rsidP="004C587B">
      <w:pPr>
        <w:spacing w:after="0" w:line="360" w:lineRule="auto"/>
        <w:ind w:firstLine="851"/>
        <w:jc w:val="both"/>
        <w:rPr>
          <w:rFonts w:ascii="Times New Roman" w:hAnsi="Times New Roman" w:cs="Times New Roman"/>
          <w:sz w:val="28"/>
          <w:szCs w:val="28"/>
        </w:rPr>
      </w:pPr>
    </w:p>
    <w:p w:rsidR="00B8371B" w:rsidRDefault="00B8371B"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211659" w:rsidRDefault="00211659" w:rsidP="004C587B">
      <w:pPr>
        <w:spacing w:after="0" w:line="360" w:lineRule="auto"/>
        <w:ind w:firstLine="851"/>
        <w:jc w:val="both"/>
        <w:rPr>
          <w:rFonts w:ascii="Times New Roman" w:hAnsi="Times New Roman" w:cs="Times New Roman"/>
          <w:sz w:val="28"/>
          <w:szCs w:val="28"/>
        </w:rPr>
      </w:pPr>
    </w:p>
    <w:p w:rsidR="001B407C" w:rsidRPr="008C3A17" w:rsidRDefault="001B407C" w:rsidP="00211659">
      <w:pPr>
        <w:spacing w:after="0" w:line="360" w:lineRule="auto"/>
        <w:ind w:firstLine="851"/>
        <w:jc w:val="center"/>
        <w:rPr>
          <w:rFonts w:ascii="Times New Roman" w:hAnsi="Times New Roman" w:cs="Times New Roman"/>
          <w:b/>
          <w:sz w:val="28"/>
          <w:szCs w:val="28"/>
        </w:rPr>
      </w:pPr>
      <w:r w:rsidRPr="008C3A17">
        <w:rPr>
          <w:rFonts w:ascii="Times New Roman" w:hAnsi="Times New Roman" w:cs="Times New Roman"/>
          <w:b/>
          <w:sz w:val="28"/>
          <w:szCs w:val="28"/>
        </w:rPr>
        <w:lastRenderedPageBreak/>
        <w:t xml:space="preserve">3 </w:t>
      </w:r>
      <w:r w:rsidR="00211659">
        <w:rPr>
          <w:rFonts w:ascii="Times New Roman" w:hAnsi="Times New Roman" w:cs="Times New Roman"/>
          <w:b/>
          <w:sz w:val="28"/>
          <w:szCs w:val="28"/>
        </w:rPr>
        <w:t>РОЗДІЛ</w:t>
      </w:r>
    </w:p>
    <w:p w:rsidR="001B407C" w:rsidRPr="008C3A17" w:rsidRDefault="00E444A6" w:rsidP="00E444A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НАПРЯМИ ІМПЛЕМЕНТАЦІЇ В УКРАЇНІ НОВІТНЬОЇ ЕКОЛГІЧНОЇ ПОЛІТИКИ</w:t>
      </w:r>
    </w:p>
    <w:p w:rsidR="001B407C" w:rsidRDefault="00E444A6" w:rsidP="004C587B">
      <w:pPr>
        <w:spacing w:after="0" w:line="360" w:lineRule="auto"/>
        <w:ind w:firstLine="851"/>
        <w:jc w:val="both"/>
        <w:rPr>
          <w:rFonts w:ascii="Times New Roman" w:hAnsi="Times New Roman" w:cs="Times New Roman"/>
          <w:b/>
          <w:sz w:val="28"/>
          <w:szCs w:val="28"/>
        </w:rPr>
      </w:pPr>
      <w:r w:rsidRPr="00E444A6">
        <w:rPr>
          <w:rFonts w:ascii="Times New Roman" w:hAnsi="Times New Roman" w:cs="Times New Roman"/>
          <w:b/>
          <w:sz w:val="28"/>
          <w:szCs w:val="28"/>
        </w:rPr>
        <w:t xml:space="preserve">3.1. </w:t>
      </w:r>
      <w:r w:rsidR="00595EA9">
        <w:rPr>
          <w:rFonts w:ascii="Times New Roman" w:hAnsi="Times New Roman" w:cs="Times New Roman"/>
          <w:b/>
          <w:sz w:val="28"/>
          <w:szCs w:val="28"/>
        </w:rPr>
        <w:t>Україна в адаптації новітньої екологічної політики</w:t>
      </w:r>
    </w:p>
    <w:p w:rsidR="00E444A6" w:rsidRPr="00E444A6" w:rsidRDefault="00E444A6" w:rsidP="004C587B">
      <w:pPr>
        <w:spacing w:after="0" w:line="360" w:lineRule="auto"/>
        <w:ind w:firstLine="851"/>
        <w:jc w:val="both"/>
        <w:rPr>
          <w:rFonts w:ascii="Times New Roman" w:hAnsi="Times New Roman" w:cs="Times New Roman"/>
          <w:b/>
          <w:sz w:val="28"/>
          <w:szCs w:val="28"/>
        </w:rPr>
      </w:pPr>
    </w:p>
    <w:p w:rsidR="00FD43EE" w:rsidRPr="00FD43EE" w:rsidRDefault="00FD43EE" w:rsidP="00FD43EE">
      <w:pPr>
        <w:spacing w:after="0" w:line="360" w:lineRule="auto"/>
        <w:ind w:firstLine="851"/>
        <w:jc w:val="both"/>
        <w:rPr>
          <w:rFonts w:ascii="Times New Roman" w:hAnsi="Times New Roman" w:cs="Times New Roman"/>
          <w:sz w:val="28"/>
          <w:szCs w:val="28"/>
        </w:rPr>
      </w:pPr>
      <w:r w:rsidRPr="00FD43EE">
        <w:rPr>
          <w:rFonts w:ascii="Times New Roman" w:hAnsi="Times New Roman" w:cs="Times New Roman"/>
          <w:sz w:val="28"/>
          <w:szCs w:val="28"/>
        </w:rPr>
        <w:t>Європейська зелена угода (прийнята ЄС у 2019 році) має великий вплив на ставлення до сталості та зеленої трансформації в Україні. Проблеми клімату та довкілля все більше відіграють роль у дискурсі чиновників та у бізнес-секторі та з'являються в політичних програмах на найвищому рівні.</w:t>
      </w:r>
    </w:p>
    <w:p w:rsidR="00FD43EE" w:rsidRPr="00FD43EE" w:rsidRDefault="00FD43EE" w:rsidP="00FD43EE">
      <w:pPr>
        <w:spacing w:after="0" w:line="360" w:lineRule="auto"/>
        <w:ind w:firstLine="851"/>
        <w:jc w:val="both"/>
        <w:rPr>
          <w:rFonts w:ascii="Times New Roman" w:hAnsi="Times New Roman" w:cs="Times New Roman"/>
          <w:sz w:val="28"/>
          <w:szCs w:val="28"/>
        </w:rPr>
      </w:pPr>
      <w:r w:rsidRPr="00FD43EE">
        <w:rPr>
          <w:rFonts w:ascii="Times New Roman" w:hAnsi="Times New Roman" w:cs="Times New Roman"/>
          <w:sz w:val="28"/>
          <w:szCs w:val="28"/>
        </w:rPr>
        <w:t>Для України є кілька важливих моментів, пов’язаних із приєднанням до процесів EGD:</w:t>
      </w:r>
    </w:p>
    <w:p w:rsidR="00FD43EE" w:rsidRPr="00FD43EE" w:rsidRDefault="00FD43EE" w:rsidP="00FD43EE">
      <w:pPr>
        <w:pStyle w:val="a3"/>
        <w:numPr>
          <w:ilvl w:val="0"/>
          <w:numId w:val="8"/>
        </w:numPr>
        <w:spacing w:after="0" w:line="360" w:lineRule="auto"/>
        <w:jc w:val="both"/>
        <w:rPr>
          <w:rFonts w:ascii="Times New Roman" w:hAnsi="Times New Roman" w:cs="Times New Roman"/>
          <w:sz w:val="28"/>
          <w:szCs w:val="28"/>
        </w:rPr>
      </w:pPr>
      <w:r w:rsidRPr="00FD43EE">
        <w:rPr>
          <w:rFonts w:ascii="Times New Roman" w:hAnsi="Times New Roman" w:cs="Times New Roman"/>
          <w:sz w:val="28"/>
          <w:szCs w:val="28"/>
        </w:rPr>
        <w:t>Україна стає частиною загальноєвропейського процесу зеленої трансформації;</w:t>
      </w:r>
    </w:p>
    <w:p w:rsidR="00FD43EE" w:rsidRPr="00FD43EE" w:rsidRDefault="00FD43EE" w:rsidP="00FD43EE">
      <w:pPr>
        <w:pStyle w:val="a3"/>
        <w:numPr>
          <w:ilvl w:val="0"/>
          <w:numId w:val="8"/>
        </w:numPr>
        <w:spacing w:after="0" w:line="360" w:lineRule="auto"/>
        <w:jc w:val="both"/>
        <w:rPr>
          <w:rFonts w:ascii="Times New Roman" w:hAnsi="Times New Roman" w:cs="Times New Roman"/>
          <w:sz w:val="28"/>
          <w:szCs w:val="28"/>
        </w:rPr>
      </w:pPr>
      <w:r w:rsidRPr="00FD43EE">
        <w:rPr>
          <w:rFonts w:ascii="Times New Roman" w:hAnsi="Times New Roman" w:cs="Times New Roman"/>
          <w:sz w:val="28"/>
          <w:szCs w:val="28"/>
        </w:rPr>
        <w:t>Україна отримує нові можливості для зеленого фінансування, екологічної модернізації та співпраці з ЄС та його державами-членами з конкретних зелених питань;</w:t>
      </w:r>
    </w:p>
    <w:p w:rsidR="00FD43EE" w:rsidRPr="00FD43EE" w:rsidRDefault="00FD43EE" w:rsidP="00FD43EE">
      <w:pPr>
        <w:pStyle w:val="a3"/>
        <w:numPr>
          <w:ilvl w:val="0"/>
          <w:numId w:val="8"/>
        </w:numPr>
        <w:spacing w:after="0" w:line="360" w:lineRule="auto"/>
        <w:jc w:val="both"/>
        <w:rPr>
          <w:rFonts w:ascii="Times New Roman" w:hAnsi="Times New Roman" w:cs="Times New Roman"/>
          <w:sz w:val="28"/>
          <w:szCs w:val="28"/>
        </w:rPr>
      </w:pPr>
      <w:r w:rsidRPr="00FD43EE">
        <w:rPr>
          <w:rFonts w:ascii="Times New Roman" w:hAnsi="Times New Roman" w:cs="Times New Roman"/>
          <w:sz w:val="28"/>
          <w:szCs w:val="28"/>
        </w:rPr>
        <w:t>Україна отримує новий імпульс для виконання існуючих міжнародних зобов’язань (Угода про асоціацію між Україною та ЄС, Паризька угода, Конвенція про біологічне різноманіття, Договір Енергетичного співтовариства).</w:t>
      </w:r>
    </w:p>
    <w:p w:rsidR="00FD43EE" w:rsidRPr="00FD43EE" w:rsidRDefault="00FD43EE" w:rsidP="00FD43EE">
      <w:pPr>
        <w:pStyle w:val="a3"/>
        <w:numPr>
          <w:ilvl w:val="0"/>
          <w:numId w:val="8"/>
        </w:numPr>
        <w:spacing w:after="0" w:line="360" w:lineRule="auto"/>
        <w:jc w:val="both"/>
        <w:rPr>
          <w:rFonts w:ascii="Times New Roman" w:hAnsi="Times New Roman" w:cs="Times New Roman"/>
          <w:sz w:val="28"/>
          <w:szCs w:val="28"/>
        </w:rPr>
      </w:pPr>
      <w:r w:rsidRPr="00FD43EE">
        <w:rPr>
          <w:rFonts w:ascii="Times New Roman" w:hAnsi="Times New Roman" w:cs="Times New Roman"/>
          <w:sz w:val="28"/>
          <w:szCs w:val="28"/>
        </w:rPr>
        <w:t>Україна створила широку правову та політичну основу для сталого розвитку. Національні цілі сталого розвитку на 2030 рік визначені указом Президента. Ці національно адаптовані ЦУР супроводжуються системою моніторингу прогресу з щорічними звітами. Стратегія державної екологічної політики та новітня Стратегія національної економіки визначають сталий розвиток як ключову мету та принцип. У багатьох інших національних галузевих політичних документах є посилання на сталий розвиток.</w:t>
      </w:r>
    </w:p>
    <w:p w:rsidR="004C587B" w:rsidRPr="00E00466" w:rsidRDefault="00FD43EE" w:rsidP="00FD43EE">
      <w:pPr>
        <w:spacing w:after="0" w:line="360" w:lineRule="auto"/>
        <w:ind w:firstLine="851"/>
        <w:jc w:val="both"/>
        <w:rPr>
          <w:rFonts w:ascii="Times New Roman" w:hAnsi="Times New Roman" w:cs="Times New Roman"/>
          <w:sz w:val="28"/>
          <w:szCs w:val="28"/>
        </w:rPr>
      </w:pPr>
      <w:r w:rsidRPr="00FD43EE">
        <w:rPr>
          <w:rFonts w:ascii="Times New Roman" w:hAnsi="Times New Roman" w:cs="Times New Roman"/>
          <w:sz w:val="28"/>
          <w:szCs w:val="28"/>
        </w:rPr>
        <w:t xml:space="preserve">На практиці ці та інші стратегії мало вплинули на тенденції розвитку. Це пов'язано з загальним браком потенціалу для стратегічного та політичного </w:t>
      </w:r>
      <w:r w:rsidRPr="00FD43EE">
        <w:rPr>
          <w:rFonts w:ascii="Times New Roman" w:hAnsi="Times New Roman" w:cs="Times New Roman"/>
          <w:sz w:val="28"/>
          <w:szCs w:val="28"/>
        </w:rPr>
        <w:lastRenderedPageBreak/>
        <w:t xml:space="preserve">планування та реалізації в Україні. Крім того, сталий розвиток зазвичай </w:t>
      </w:r>
      <w:r w:rsidRPr="00E00466">
        <w:rPr>
          <w:rFonts w:ascii="Times New Roman" w:hAnsi="Times New Roman" w:cs="Times New Roman"/>
          <w:sz w:val="28"/>
          <w:szCs w:val="28"/>
        </w:rPr>
        <w:t>сприймається як просто «стабільний» розвиток, тобто безперервне зростання. Традиційно зелені питання не були пріоритетними на політичному порядку денному в Україні, а екологічній складовій сталого розвитку приділялося менше уваги, ніж будь-яким іншим компонентам.</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Україна висловила свою підтримку EGD, а також прагнення узгодити свою політику з цілями EGD. Україна ініціювала двосторонній діалог на високому рівні щодо EGD та сприяє співпраці з конкретних галузевих питань (таких як водень, CBAM, зелені альянси). Україна виклала своє бачення майбутнього співробітництва щодо EGD у документі про позицію, представленому Європейській комісії влітку 2020 року. Нині кілька політик і стратегій містять посилання на EGD.</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Нещодавно прийнята «Стратегія національної економіки до 2030 року» ввела мету переходу до кліматично нейтральної економіки до 2060 року. Ключові цілі, передбачені програмними документами ЄС щодо впровадження EGD у більшості секторів, повністю або принаймні частково включені в стратегічні документи України ( державні програми, плани дій, стратегії тощо). Проте Україна відстає в багатьох сферах: поки ЄС удосконалює існуючі інструменти, Україна планує їх запровадити (наприклад, систему торгівлі викидами, регулювання хімічних речовин чи управління відходами).</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Кілька сфер перебувають у фокусі політичних дебатів у контексті EGD, тоді як деякі інші сфери не входять до порядку денного. Основними пріоритетами є енергетика, зміна клімату, промислова політика в контексті CBAM та енергоефективність. Сфери спільного інтересу в рамках EGD, як визначено на засіданні Ради асоціації Україна-ЄС, включають енергоефективність, водень, вугільні регіони з перехідною економікою, галузеві альянси та архітектуру управління кліматом. Компоненти нульового забруднення та біорізноманіття EGD ще не були предметом значних дискусій.</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 xml:space="preserve">Підвищення енергопродуктивності її економіки є дуже в інтересах України, і країна стикається з необхідністю модернізації своєї виробничої бази в </w:t>
      </w:r>
      <w:r w:rsidRPr="00E00466">
        <w:rPr>
          <w:rFonts w:ascii="Times New Roman" w:hAnsi="Times New Roman" w:cs="Times New Roman"/>
          <w:sz w:val="28"/>
          <w:szCs w:val="28"/>
        </w:rPr>
        <w:lastRenderedPageBreak/>
        <w:t>усіх галузях. Таким чином, існують сильні стимули для модернізації навколишнього середовища, включаючи енергоефективність. Бізнес-сектор зацікавлений в отриманні державної підтримки для модернізації виробничих потужностей і не готовий покривати витрати на модернізацію лише за рахунок приватних інвестицій.</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Україна досягла значних успіхів у реформуванні свого енергетичного сектору з 2014 року. Існує потреба в подальших стимулах для реформ в інших сферах: сільському господарстві, транспорті, навколишньому середовищі, зміні клімату, хімічній промисловості, промисловості.</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Більшість реформ було зумовлено Угодою про асоціацію між Україною та ЄС за допомогою міжнародної технічної допомоги. Наприклад, Україна досягла прогресу в лібералізації своїх енергетичних ринків. Частка електроенергії, виробленої з відновлюваних джерел енергії, зросла з 6,2% у 2016 році до 12,4% у 2020 році. EGD може сприяти цим та іншим реформам та декарбонізації національної економіки, зокрема шляхом озеленення іноземних інвестицій з боку міжнародних фінансових установ.</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Україна уклала інституційні механізми, специфічні для EGD, у відповідь на можливості та загрози, що виникають для України. У 2020 році Уряд України створив координаційний орган спеціально для вирішення питань зміни клімату в рамках ініціативи EGD. У 2021 році була створена спеціальна робоча група, яка займатиметься CBAM та забезпечує діалог з Європейською комісією щодо проекту регламенту.</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Подальша лібералізація енергетичних ринків, а також значний прогрес у інших галузевих реформах мають бути поєднані з інтеграцією декарбонізації в усіх секторах. Усі реформи в галузях, пов’язаних з EGD, потребуватимуть систематичного перегляду відповідного національного законодавства, розвитку потенціалу та інвестицій в інфраструктуру з метою повного впровадження acquis ЄС.</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 xml:space="preserve">В принципі, макроекономічна та інша допомога залежить від проведення ключових реформ. Виконання Угоди про асоціацію між Україною та ЄС підлягає </w:t>
      </w:r>
      <w:r w:rsidRPr="00E00466">
        <w:rPr>
          <w:rFonts w:ascii="Times New Roman" w:hAnsi="Times New Roman" w:cs="Times New Roman"/>
          <w:sz w:val="28"/>
          <w:szCs w:val="28"/>
        </w:rPr>
        <w:lastRenderedPageBreak/>
        <w:t>постійному моніторингу, а результати є загальнодоступними. Макроекономічна та технічна допомога, як правило, залежить від конкретних умов, пов’язаних із конкретними реформами, такими як антикорупційні реформи.</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Усі сфери, які охоплює EGD, охоплюються положеннями Угоди про асоціацію між Україною та ЄС, а це означає, що успішне виконання Угоди про асоціацію покращить перспективи України в контексті EGD. Майбутній перегляд (оновлення) Угоди про асоціацію посилить просування України до цілей EGD, а також покращить перспективи більшого залучення країни до процесів EGD в ЄС.</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EGD створює широкі можливості для взаємовигідного узгодження політики та законодавства України з відповідною політикою та законодавством ЄС, а також співпраці між Україною та ЄС у ключових сферах EGD. Саме повідомлення EGD та інші документи щодо впровадження політики містять конкретні посилання на країни пріоритетного співробітництва, зокрема на Україну. Наприклад, у Водневій стратегії ЄС Україна згадується як ключовий партнер. Україна вже бере участь у низці зелених альянсів (Європейський сировинний альянс, Європейський альянс чистого водню).</w:t>
      </w:r>
    </w:p>
    <w:p w:rsidR="00D13683" w:rsidRPr="00E00466"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ЄС має нову загальну пропозицію щодо своєї політики сусідства, тоді як Україна та інші країни асоціації висловлюють потребу в спеціальному підході «трійки», у тому числі щодо EGD. Дуже важливо залучити країни Східного партнерства до дискусій щодо EGD в ЄС, щоб побудувати співвласність процесу, в тому числі з урахуванням конкретних обставин у кожній країні.</w:t>
      </w:r>
    </w:p>
    <w:p w:rsidR="00D13683" w:rsidRDefault="00D13683" w:rsidP="00D13683">
      <w:pPr>
        <w:spacing w:after="0" w:line="360" w:lineRule="auto"/>
        <w:ind w:firstLine="851"/>
        <w:jc w:val="both"/>
        <w:rPr>
          <w:rFonts w:ascii="Times New Roman" w:hAnsi="Times New Roman" w:cs="Times New Roman"/>
          <w:sz w:val="28"/>
          <w:szCs w:val="28"/>
        </w:rPr>
      </w:pPr>
      <w:r w:rsidRPr="00E00466">
        <w:rPr>
          <w:rFonts w:ascii="Times New Roman" w:hAnsi="Times New Roman" w:cs="Times New Roman"/>
          <w:sz w:val="28"/>
          <w:szCs w:val="28"/>
        </w:rPr>
        <w:t xml:space="preserve">Україна, як і балканські країни, готова узгодити дорожню карту EGD з ЄС. Розробка та реалізація такої дорожньої карти може дати новий імпульс для зеленої трансформації України та підтримати власний зелений перехід ЄС. ЄС та Україна мають започаткувати флагманські ініціативи – взаємовигідне стратегічне партнерство або проекти з конкретних питань, включаючи архітектуру управління кліматом, ліквідацію енергетичної бідності, кліматично орієнтоване сільське господарство, водень, участь України в зелених альянсах, розвиток кластеру Natura 2000+ для підтримки захист біорізноманіття в Європі. </w:t>
      </w:r>
      <w:r w:rsidRPr="00E00466">
        <w:rPr>
          <w:rFonts w:ascii="Times New Roman" w:hAnsi="Times New Roman" w:cs="Times New Roman"/>
          <w:sz w:val="28"/>
          <w:szCs w:val="28"/>
        </w:rPr>
        <w:lastRenderedPageBreak/>
        <w:t>ЄС та його країни-члени мають підтримувати інтеграцію України в нові зелені виробничі ланцюги через промисловий діалог, обмін інформацією, підтримку інвестицій в зелені інновації та інфраструктуру. Це сприятиме інтеграції українського бізнесу в нову зелену систему ЄС. Окремі флагманські ініціативи можуть бути націлені на зелені міста, зелені громади та в цілому громадян України (наприклад, Європейський кліматичний пакт та Новий європейський Баухаус).</w:t>
      </w:r>
    </w:p>
    <w:p w:rsidR="005A7053" w:rsidRDefault="005A7053" w:rsidP="00D13683">
      <w:pPr>
        <w:spacing w:after="0" w:line="360" w:lineRule="auto"/>
        <w:ind w:firstLine="851"/>
        <w:jc w:val="both"/>
        <w:rPr>
          <w:rFonts w:ascii="Times New Roman" w:hAnsi="Times New Roman" w:cs="Times New Roman"/>
          <w:sz w:val="28"/>
          <w:szCs w:val="28"/>
        </w:rPr>
      </w:pPr>
    </w:p>
    <w:p w:rsidR="005A7053" w:rsidRPr="00595EA9" w:rsidRDefault="005A7053" w:rsidP="00D13683">
      <w:pPr>
        <w:spacing w:after="0" w:line="360" w:lineRule="auto"/>
        <w:ind w:firstLine="851"/>
        <w:jc w:val="both"/>
        <w:rPr>
          <w:rFonts w:ascii="Times New Roman" w:hAnsi="Times New Roman" w:cs="Times New Roman"/>
          <w:b/>
          <w:sz w:val="28"/>
          <w:szCs w:val="28"/>
        </w:rPr>
      </w:pPr>
      <w:r w:rsidRPr="005A7053">
        <w:rPr>
          <w:rFonts w:ascii="Times New Roman" w:hAnsi="Times New Roman" w:cs="Times New Roman"/>
          <w:b/>
          <w:sz w:val="28"/>
          <w:szCs w:val="28"/>
          <w:lang w:val="en-US"/>
        </w:rPr>
        <w:t>3.2.</w:t>
      </w:r>
      <w:r w:rsidR="00595EA9">
        <w:rPr>
          <w:rFonts w:ascii="Times New Roman" w:hAnsi="Times New Roman" w:cs="Times New Roman"/>
          <w:b/>
          <w:sz w:val="28"/>
          <w:szCs w:val="28"/>
        </w:rPr>
        <w:t xml:space="preserve"> Особливості адаптації в Україні </w:t>
      </w:r>
      <w:r w:rsidR="00595EA9" w:rsidRPr="00595EA9">
        <w:rPr>
          <w:rFonts w:ascii="Times New Roman" w:hAnsi="Times New Roman" w:cs="Times New Roman"/>
          <w:b/>
          <w:sz w:val="28"/>
          <w:szCs w:val="28"/>
          <w:lang w:val="en-US"/>
        </w:rPr>
        <w:t>Європейської зеленої угоди.</w:t>
      </w:r>
    </w:p>
    <w:p w:rsidR="005A7053" w:rsidRPr="005A7053" w:rsidRDefault="005A7053" w:rsidP="005A7053">
      <w:pPr>
        <w:spacing w:after="0" w:line="360" w:lineRule="auto"/>
        <w:ind w:firstLine="851"/>
        <w:jc w:val="both"/>
        <w:rPr>
          <w:rFonts w:ascii="Times New Roman" w:hAnsi="Times New Roman" w:cs="Times New Roman"/>
          <w:sz w:val="28"/>
          <w:szCs w:val="28"/>
          <w:lang w:val="en-US"/>
        </w:rPr>
      </w:pPr>
      <w:r w:rsidRPr="005A7053">
        <w:rPr>
          <w:rFonts w:ascii="Times New Roman" w:hAnsi="Times New Roman" w:cs="Times New Roman"/>
          <w:sz w:val="28"/>
          <w:szCs w:val="28"/>
          <w:lang w:val="en-US"/>
        </w:rPr>
        <w:t>Минуло більше року відтоді, як Європейська комісія оголосила про нову «Європейську зелену угоду», спрямовану на те, щоб зробити наш континент кліматично нейтральним протягом наступних 30 років. Наприкінці минулого року український уряд подав до ЄС свою позицію щодо участі нашої країни в угоді.</w:t>
      </w:r>
    </w:p>
    <w:p w:rsidR="005A7053" w:rsidRPr="005A7053" w:rsidRDefault="005A7053" w:rsidP="005A7053">
      <w:pPr>
        <w:spacing w:after="0" w:line="360" w:lineRule="auto"/>
        <w:ind w:firstLine="851"/>
        <w:jc w:val="both"/>
        <w:rPr>
          <w:rFonts w:ascii="Times New Roman" w:hAnsi="Times New Roman" w:cs="Times New Roman"/>
          <w:sz w:val="28"/>
          <w:szCs w:val="28"/>
          <w:lang w:val="en-US"/>
        </w:rPr>
      </w:pPr>
      <w:r w:rsidRPr="005A7053">
        <w:rPr>
          <w:rFonts w:ascii="Times New Roman" w:hAnsi="Times New Roman" w:cs="Times New Roman"/>
          <w:sz w:val="28"/>
          <w:szCs w:val="28"/>
          <w:lang w:val="en-US"/>
        </w:rPr>
        <w:t>Для України, як великої промислової держави, це дуже амбітна мета, адже вже більше століття країна лише посилює свій негативний вплив на навколишнє середовище, перетворюючи частину колись зелених і процвітаючих земель на звалища та промислові пустелі.</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Багато українців ще не усвідомлюють, наскільки зміниться нові виклики в економіці держави, а також їхнє особисте життя. Адже нова угода вимагатиме кардинально нового ставлення до навколишнього середовища з боку населення.</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«Реалізація Європейської зеленої угоди має широкі перспективи для ефективного функціонування багатьох секторів економіки, включаючи енергетику, транспорт, енергоефективність, ефективність використання ресурсів, будівництво та реконструкцію нерухомості, енергоефективність централізованого теплопостачання та інші види економічної діяльності», Про це заявив прем’єр-міністр Денис Шмигаль.</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В основі Зеленої угоди для України стоятиме, насамперед, енергетика, двигун розвитку національної економіки.</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lastRenderedPageBreak/>
        <w:t>Виконувач обов’язків міністра енергетики Юрій Вітренко зазначив, що Зелена угода ЄС – це не просто енергетичне питання, а нова економічна парадигма для відновлення економіки країни.</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У Сполучених Штатах Новий курс був започаткований під час Великої депресії, коли президент Рузвельт заявив, що економіці США потрібен новий економічний курс для подолання депресії. Так само Європа, частиною якої є Україна, зараз каже: "Ситуація з пандемією вимагає нової угоди. Нова угода має бути зеленою", - сказав він.</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У грудні 2019 року Європейська комісія на засіданні своєї Ради прийняла "Зелений курс" - пакет заходів, спрямованих на модернізацію національних економік і соціальної сфери з метою перетворення Європи на кліматично нейтральний континент до 2050 року.</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Ключовими сферами є: чиста енергія, кліматичні дії, будівництво та реконструкція, стійка промисловість, ліквідація забруднення, біорізноманіття та стійке сільське господарство, «від ферми до роботи» та стійка мобільність.</w:t>
      </w:r>
    </w:p>
    <w:p w:rsidR="005A7053" w:rsidRPr="009106DF"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Згідно з новим курсом, національні економіки сторін угоди стануть циркулярними, виробничий процес не повинен утворювати залишків або відходів.</w:t>
      </w:r>
    </w:p>
    <w:p w:rsidR="005A7053" w:rsidRDefault="005A7053" w:rsidP="005A7053">
      <w:pPr>
        <w:spacing w:after="0" w:line="360" w:lineRule="auto"/>
        <w:ind w:firstLine="851"/>
        <w:jc w:val="both"/>
        <w:rPr>
          <w:rFonts w:ascii="Times New Roman" w:hAnsi="Times New Roman" w:cs="Times New Roman"/>
          <w:sz w:val="28"/>
          <w:szCs w:val="28"/>
        </w:rPr>
      </w:pPr>
      <w:r w:rsidRPr="009106DF">
        <w:rPr>
          <w:rFonts w:ascii="Times New Roman" w:hAnsi="Times New Roman" w:cs="Times New Roman"/>
          <w:sz w:val="28"/>
          <w:szCs w:val="28"/>
        </w:rPr>
        <w:t>З часом економіка буде відчувати спад попиту на промислову продукцію через подовження терміну служби товарів. Враховуючи це та заохочення використання вторинної сировини, можна прогнозувати зниження попиту на сировину. Зрозуміло, що Україна, яка є основним постачальником сировини на світовий та європейський ринки, тепер має готуватися до радикальних зрушень.</w:t>
      </w:r>
    </w:p>
    <w:p w:rsidR="00595EA9" w:rsidRDefault="00595EA9" w:rsidP="005A7053">
      <w:pPr>
        <w:spacing w:after="0" w:line="360" w:lineRule="auto"/>
        <w:ind w:firstLine="851"/>
        <w:jc w:val="both"/>
        <w:rPr>
          <w:rFonts w:ascii="Times New Roman" w:hAnsi="Times New Roman" w:cs="Times New Roman"/>
          <w:sz w:val="28"/>
          <w:szCs w:val="28"/>
        </w:rPr>
      </w:pP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Зміна клімату та акцент на органічних продуктах призведуть до деякого зниження врожайності та підвищення цін на продукти харчування.</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Механізм коригування вуглецевих кордонів ЄС також стане серйозним викликом для міжнародної торгівлі та України зокрема.</w:t>
      </w:r>
      <w:r>
        <w:rPr>
          <w:rFonts w:ascii="Times New Roman" w:hAnsi="Times New Roman" w:cs="Times New Roman"/>
          <w:sz w:val="28"/>
          <w:szCs w:val="28"/>
          <w:lang w:val="en-US"/>
        </w:rPr>
        <w:t xml:space="preserve"> </w:t>
      </w:r>
      <w:r w:rsidRPr="00595EA9">
        <w:rPr>
          <w:rFonts w:ascii="Times New Roman" w:hAnsi="Times New Roman" w:cs="Times New Roman"/>
          <w:sz w:val="28"/>
          <w:szCs w:val="28"/>
        </w:rPr>
        <w:t>Наразі в Україні екологічне законодавство адаптується до норм і стандартів ЄС.</w:t>
      </w:r>
      <w:r>
        <w:rPr>
          <w:rFonts w:ascii="Times New Roman" w:hAnsi="Times New Roman" w:cs="Times New Roman"/>
          <w:sz w:val="28"/>
          <w:szCs w:val="28"/>
          <w:lang w:val="en-US"/>
        </w:rPr>
        <w:t xml:space="preserve"> </w:t>
      </w:r>
      <w:r w:rsidRPr="00595EA9">
        <w:rPr>
          <w:rFonts w:ascii="Times New Roman" w:hAnsi="Times New Roman" w:cs="Times New Roman"/>
          <w:sz w:val="28"/>
          <w:szCs w:val="28"/>
        </w:rPr>
        <w:t xml:space="preserve">Слід також </w:t>
      </w:r>
      <w:r w:rsidRPr="00595EA9">
        <w:rPr>
          <w:rFonts w:ascii="Times New Roman" w:hAnsi="Times New Roman" w:cs="Times New Roman"/>
          <w:sz w:val="28"/>
          <w:szCs w:val="28"/>
        </w:rPr>
        <w:lastRenderedPageBreak/>
        <w:t>підкреслити, що національні уряди в ЄС зараз знаходяться в процесі розробки чітких цілей для обраної стратегії, і потрібен час, щоб їх обміркувати та узгодити.</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Найбільшим економічним пріоритетом цього року все-таки є кліматична політика. Від того, як вона буде сформована, буде залежати успіх нашої співпраці з ЄС протягом десятиліть</w:t>
      </w:r>
      <w:r>
        <w:rPr>
          <w:rFonts w:ascii="Times New Roman" w:hAnsi="Times New Roman" w:cs="Times New Roman"/>
          <w:sz w:val="28"/>
          <w:szCs w:val="28"/>
        </w:rPr>
        <w:t>.</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За словами виконавчого директора ДТЕК Дмитра Сахарука, вуглецева нейтральність є загальносвітовою тенденцією, і вона ніяк не обійде бізнес, що працює в Україні. Підприємства та держава мають готуватися до значних інвестицій у екологізацію виробництва.</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За його словами, дослідження показали, що до 2030 року Україні необхідно інвестувати 350 мільярдів євро, щоб забезпечити вуглецевий перехід. А до 2050 року Україні потрібно інвестувати 1,5 трлн євро.</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Поки не зрозуміло, як країна з таким мізерним бюджетом могла знайти такі величезні гроші.</w:t>
      </w:r>
      <w:r>
        <w:rPr>
          <w:rFonts w:ascii="Times New Roman" w:hAnsi="Times New Roman" w:cs="Times New Roman"/>
          <w:sz w:val="28"/>
          <w:szCs w:val="28"/>
        </w:rPr>
        <w:t xml:space="preserve"> </w:t>
      </w:r>
      <w:r w:rsidRPr="00595EA9">
        <w:rPr>
          <w:rFonts w:ascii="Times New Roman" w:hAnsi="Times New Roman" w:cs="Times New Roman"/>
          <w:sz w:val="28"/>
          <w:szCs w:val="28"/>
        </w:rPr>
        <w:t>Зараз Європейський Союз розробляє методологію щодо того, як налагодити збір коштів для цієї мети. Очікується, що це будуть інвестиції з боку урядів, міжнародних банків, приватного капіталу, стратегічних інвесторів, а також залучення коштів шляхом внесення змін до податкової системи.</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Звичайно, для заможніших економік – таких як Німеччина чи Франція – знайти джерела для фінансування Зеленої угоди буде легше, ніж для нашої України, яка все ще стукає в двері ЄС. Запозичувати значні кошти у західних держав для модернізації України також не можна. Україні потрібно знайти можливість заробити ці кошти.</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Здається, зараз немає жодного українського політика чи чиновника, який би зрозумів, де взяти гроші, необхідні для цих амбітних цілей.</w:t>
      </w:r>
    </w:p>
    <w:p w:rsidR="00595EA9" w:rsidRPr="00595EA9" w:rsidRDefault="00595EA9" w:rsidP="00595EA9">
      <w:pPr>
        <w:spacing w:after="0" w:line="360" w:lineRule="auto"/>
        <w:ind w:firstLine="851"/>
        <w:jc w:val="both"/>
        <w:rPr>
          <w:rFonts w:ascii="Times New Roman" w:hAnsi="Times New Roman" w:cs="Times New Roman"/>
          <w:sz w:val="28"/>
          <w:szCs w:val="28"/>
        </w:rPr>
      </w:pP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Міністр екології та природних ресурсів Роман Абрамовський, посилаючись на висновки ООН щодо зміни клімату, зазначив, що досі жодна із глобальних цілей щодо припинення деградації суші та морських територій не досягнута повністю.</w:t>
      </w:r>
      <w:r>
        <w:rPr>
          <w:rFonts w:ascii="Times New Roman" w:hAnsi="Times New Roman" w:cs="Times New Roman"/>
          <w:sz w:val="28"/>
          <w:szCs w:val="28"/>
        </w:rPr>
        <w:t xml:space="preserve"> </w:t>
      </w:r>
      <w:r w:rsidRPr="00595EA9">
        <w:rPr>
          <w:rFonts w:ascii="Times New Roman" w:hAnsi="Times New Roman" w:cs="Times New Roman"/>
          <w:sz w:val="28"/>
          <w:szCs w:val="28"/>
        </w:rPr>
        <w:t xml:space="preserve">Вирубка лісів і втрата біорізноманіття залишаються в </w:t>
      </w:r>
      <w:r w:rsidRPr="00595EA9">
        <w:rPr>
          <w:rFonts w:ascii="Times New Roman" w:hAnsi="Times New Roman" w:cs="Times New Roman"/>
          <w:sz w:val="28"/>
          <w:szCs w:val="28"/>
        </w:rPr>
        <w:lastRenderedPageBreak/>
        <w:t>списку основних проблем. На даний момент на планеті Земля знаходяться під загрозою зникнення понад мільйон видів рослин і тварин.</w:t>
      </w:r>
      <w:r>
        <w:rPr>
          <w:rFonts w:ascii="Times New Roman" w:hAnsi="Times New Roman" w:cs="Times New Roman"/>
          <w:sz w:val="28"/>
          <w:szCs w:val="28"/>
        </w:rPr>
        <w:t xml:space="preserve"> </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Крім того, близько чверті захворювань у світі пов’язані з екологічними загрозами. Забруднене повітря є причиною 7 мільйонів передчасної смерті щорічно.</w:t>
      </w:r>
      <w:r>
        <w:rPr>
          <w:rFonts w:ascii="Times New Roman" w:hAnsi="Times New Roman" w:cs="Times New Roman"/>
          <w:sz w:val="28"/>
          <w:szCs w:val="28"/>
        </w:rPr>
        <w:t xml:space="preserve"> </w:t>
      </w:r>
      <w:r w:rsidRPr="00595EA9">
        <w:rPr>
          <w:rFonts w:ascii="Times New Roman" w:hAnsi="Times New Roman" w:cs="Times New Roman"/>
          <w:sz w:val="28"/>
          <w:szCs w:val="28"/>
        </w:rPr>
        <w:t>Тим часом українці стають свідками погіршення стану довкілля та негативних наслідків зміни клімату.</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Покращення відносин з природою та уникнення найгірших сценаріїв все ще можливо. Експерти ООН називають це останнім десятиліттям, коли ще можна вплинути на надзвичайні екологічні ситуації. Але враховуючи взаємозв’язок між зміною клімату та втратою біорізноманіття, забрудненням повітря та води, ці Проблеми можна вирішити лише спільними зусиллями, злагодженими діями</w:t>
      </w:r>
      <w:r>
        <w:rPr>
          <w:rFonts w:ascii="Times New Roman" w:hAnsi="Times New Roman" w:cs="Times New Roman"/>
          <w:sz w:val="28"/>
          <w:szCs w:val="28"/>
        </w:rPr>
        <w:t xml:space="preserve">. </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Щоб вирішити проблему зміни клімату та досягти цілей скорочення викидів вуглецю, Україні, як і іншим європейським країнам, необхідно зробити амбітний національний внесок. Тобто взяти конкретні зобов’язання щодо обсягу скорочення викидів.</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Важливі рішення щодо початку впровадження «зелених» трансформацій мають бути відображені в Державному бюджеті України та стратегіях розвитку громад по регіонах.</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Уряд має прийняти чіткі програми щодо поводження з відходами, зменшення забруднення води та повітря, розширення зелених насаджень. Необхідно реально реалізувати вже існуючі програми скорочення викидів великими підприємствами-забруднювачами.</w:t>
      </w:r>
    </w:p>
    <w:p w:rsidR="00595EA9" w:rsidRP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Важливо також створювати та розвивати новітні технології у сфері відновлюваної енергетики, зокрема генерації водню. Україна визначена як стратегічний партнер Європи у видобутку водню, тому ця територія може стати локомотивом, який приведе Україну до європейського екологічного життя.</w:t>
      </w:r>
    </w:p>
    <w:p w:rsidR="00595EA9" w:rsidRDefault="00595EA9" w:rsidP="00595EA9">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 xml:space="preserve">В Україні є потужні наукові та навчальні заклади, а українська молодь неодноразово дивувала світ своїми винаходами. Очевидно, що Україні необхідно </w:t>
      </w:r>
      <w:r w:rsidRPr="00595EA9">
        <w:rPr>
          <w:rFonts w:ascii="Times New Roman" w:hAnsi="Times New Roman" w:cs="Times New Roman"/>
          <w:sz w:val="28"/>
          <w:szCs w:val="28"/>
        </w:rPr>
        <w:lastRenderedPageBreak/>
        <w:t>впроваджувати грантові програми, які б дозволили науковій спільноті розвиватися та знаходити кращі екологічні рішення.</w:t>
      </w:r>
    </w:p>
    <w:p w:rsidR="004A25EE" w:rsidRPr="004A25EE" w:rsidRDefault="004A25EE" w:rsidP="00595EA9">
      <w:pPr>
        <w:spacing w:after="0" w:line="360" w:lineRule="auto"/>
        <w:ind w:firstLine="851"/>
        <w:jc w:val="both"/>
        <w:rPr>
          <w:rFonts w:ascii="Times New Roman" w:hAnsi="Times New Roman" w:cs="Times New Roman"/>
          <w:b/>
          <w:sz w:val="28"/>
          <w:szCs w:val="28"/>
        </w:rPr>
      </w:pPr>
    </w:p>
    <w:p w:rsidR="004A25EE" w:rsidRDefault="004A25EE" w:rsidP="00595EA9">
      <w:pPr>
        <w:spacing w:after="0" w:line="360" w:lineRule="auto"/>
        <w:ind w:firstLine="851"/>
        <w:jc w:val="both"/>
        <w:rPr>
          <w:rFonts w:ascii="Times New Roman" w:hAnsi="Times New Roman" w:cs="Times New Roman"/>
          <w:b/>
          <w:sz w:val="28"/>
          <w:szCs w:val="28"/>
        </w:rPr>
      </w:pPr>
      <w:r w:rsidRPr="004A25EE">
        <w:rPr>
          <w:rFonts w:ascii="Times New Roman" w:hAnsi="Times New Roman" w:cs="Times New Roman"/>
          <w:b/>
          <w:sz w:val="28"/>
          <w:szCs w:val="28"/>
        </w:rPr>
        <w:t>Висновки до 3 розділу</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Поки не зрозуміло, як країна з таким мізерним бюджетом могла знайти такі величезні гроші.</w:t>
      </w:r>
      <w:r>
        <w:rPr>
          <w:rFonts w:ascii="Times New Roman" w:hAnsi="Times New Roman" w:cs="Times New Roman"/>
          <w:sz w:val="28"/>
          <w:szCs w:val="28"/>
        </w:rPr>
        <w:t xml:space="preserve"> </w:t>
      </w:r>
      <w:r w:rsidRPr="00595EA9">
        <w:rPr>
          <w:rFonts w:ascii="Times New Roman" w:hAnsi="Times New Roman" w:cs="Times New Roman"/>
          <w:sz w:val="28"/>
          <w:szCs w:val="28"/>
        </w:rPr>
        <w:t>Зараз Європейський Союз розробляє методологію щодо того, як налагодити збір коштів для цієї мети. Очікується, що це будуть інвестиції з боку урядів, міжнародних банків, приватного капіталу, стратегічних інвесторів, а також залучення коштів шляхом внесення змін до податкової системи.</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Звичайно, для заможніших економік – таких як Німеччина чи Франція – знайти джерела для фінансування Зеленої угоди буде легше, ніж для нашої України, яка все ще стукає в двері ЄС. Запозичувати значні кошти у західних держав для модернізації України також не можна. Україні потрібно знайти можливість заробити ці кошти.</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Вирубка лісів і втрата біорізноманіття залишаються в списку основних проблем. На даний момент на планеті Земля знаходяться під загрозою зникнення понад мільйон видів рослин і тварин.</w:t>
      </w:r>
      <w:r>
        <w:rPr>
          <w:rFonts w:ascii="Times New Roman" w:hAnsi="Times New Roman" w:cs="Times New Roman"/>
          <w:sz w:val="28"/>
          <w:szCs w:val="28"/>
        </w:rPr>
        <w:t xml:space="preserve"> </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Крім того, близько чверті захворювань у світі пов’язані з екологічними загрозами. Забруднене повітря є причиною 7 мільйонів передчасної смерті щорічно.</w:t>
      </w:r>
      <w:r>
        <w:rPr>
          <w:rFonts w:ascii="Times New Roman" w:hAnsi="Times New Roman" w:cs="Times New Roman"/>
          <w:sz w:val="28"/>
          <w:szCs w:val="28"/>
        </w:rPr>
        <w:t xml:space="preserve"> </w:t>
      </w:r>
      <w:r w:rsidRPr="00595EA9">
        <w:rPr>
          <w:rFonts w:ascii="Times New Roman" w:hAnsi="Times New Roman" w:cs="Times New Roman"/>
          <w:sz w:val="28"/>
          <w:szCs w:val="28"/>
        </w:rPr>
        <w:t>Тим часом українці стають свідками погіршення стану довкілля та негативних наслідків зміни клімату.</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Покращення відносин з природою та уникнення найгірших сценаріїв все ще можливо. Експерти ООН називають це останнім десятиліттям, коли ще можна вплинути на надзвичайні екологічні ситуації. Але враховуючи взаємозв’язок між зміною клімату та втратою біорізноманіття, забрудненням повітря та води, ці Проблеми можна вирішити лише спільними зусиллями, злагодженими діями</w:t>
      </w:r>
      <w:r>
        <w:rPr>
          <w:rFonts w:ascii="Times New Roman" w:hAnsi="Times New Roman" w:cs="Times New Roman"/>
          <w:sz w:val="28"/>
          <w:szCs w:val="28"/>
        </w:rPr>
        <w:t xml:space="preserve">. </w:t>
      </w:r>
    </w:p>
    <w:p w:rsidR="004A25EE" w:rsidRDefault="004A25EE" w:rsidP="00595EA9">
      <w:pPr>
        <w:spacing w:after="0" w:line="360" w:lineRule="auto"/>
        <w:ind w:firstLine="851"/>
        <w:jc w:val="both"/>
        <w:rPr>
          <w:rFonts w:ascii="Times New Roman" w:hAnsi="Times New Roman" w:cs="Times New Roman"/>
          <w:b/>
          <w:sz w:val="28"/>
          <w:szCs w:val="28"/>
        </w:rPr>
      </w:pPr>
    </w:p>
    <w:p w:rsidR="004A25EE" w:rsidRDefault="004A25EE" w:rsidP="00595EA9">
      <w:pPr>
        <w:spacing w:after="0" w:line="360" w:lineRule="auto"/>
        <w:ind w:firstLine="851"/>
        <w:jc w:val="both"/>
        <w:rPr>
          <w:rFonts w:ascii="Times New Roman" w:hAnsi="Times New Roman" w:cs="Times New Roman"/>
          <w:b/>
          <w:sz w:val="28"/>
          <w:szCs w:val="28"/>
        </w:rPr>
      </w:pPr>
    </w:p>
    <w:p w:rsidR="004A25EE" w:rsidRDefault="004A25EE" w:rsidP="00595EA9">
      <w:pPr>
        <w:spacing w:after="0" w:line="360" w:lineRule="auto"/>
        <w:ind w:firstLine="851"/>
        <w:jc w:val="both"/>
        <w:rPr>
          <w:rFonts w:ascii="Times New Roman" w:hAnsi="Times New Roman" w:cs="Times New Roman"/>
          <w:b/>
          <w:sz w:val="28"/>
          <w:szCs w:val="28"/>
        </w:rPr>
      </w:pPr>
    </w:p>
    <w:p w:rsidR="004A25EE" w:rsidRDefault="004A25EE" w:rsidP="004A25EE">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4A25EE" w:rsidRPr="005C4D41" w:rsidRDefault="004A25EE" w:rsidP="004A25EE">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У ході дослідження були отримані наступні результати. Ієрархічний кластерний аналіз показав, що існують дві групи країн. До першої групи входять: Бельгія, Нідерланди, Данія, Люксембург, Австрія, Німеччина, Іспанія, Франція, Італія та Великобританія. Інші країни входять до другого кластеру.</w:t>
      </w:r>
    </w:p>
    <w:p w:rsidR="004A25EE" w:rsidRPr="005C4D41" w:rsidRDefault="004A25EE" w:rsidP="004A25EE">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Такі ж результати були отримані при застосуванні кластеризації k-середніх. Наступний аналіз, кластерний кореспонденційно-кластерний аналіз, дозволив виділити три групи країн ЄС. До першої увійшли Німеччина, Франція, Іспанія, Великобританія, Італія, Нідерланди та Бельгія, до другої увійшли Австрія, Польща, Люксембург, Фінляндія, Швеція, Данія, Греція, Словенія та Португалія, а до третьої — Кіпр. , Чехія, Мальта, Литва, Латвія, Угорщина, Ірландія, Словаччина, Румунія, Естонія, Хорватія та Болгарія. Порівнюючи результати, отримані в ході цих аналізів, можна зробити висновок, що країною ЄС, яка найбільше просунулась у своїй трансформації до РЄ, є Німеччина, а до найменш розвинених країн – Кіпр, Чехія, Мальта, Литва, Латвія, Угорщина, Ірландія, Словаччина, Румунія. , Естонія, Хорватія та Болгарія, таким чином, за винятком Ірландії — це переважно країни Центральної та Східної Європи (після політичної трансформації) та країни Півдня Європи.</w:t>
      </w:r>
    </w:p>
    <w:p w:rsidR="004A25EE" w:rsidRPr="005C4D41" w:rsidRDefault="004A25EE" w:rsidP="004A25EE">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t>Підводячи підсумки, безумовно, слід звернути увагу на обмеження аналізу, про які знає автор. Вони включали період, за який були доступні статистичні дані, використані в аналізі (2010–2018 рр.), та відсутність даних для певних показників, які підпадають під систему моніторингу ЄК, що унеможливлювало їх врахування в аналізі. Необхідно також мати на увазі, що вимірювання трансформації до СЕ на макрорівні є складним і несе ризик помилки. Більше того, кінцевий результат завжди буде випливати з припущень, які необхідно зробити для аналізу. Аналіз, проведений у цій роботі, може бути додатково розвинутий шляхом розширення аналізованих часових рамок (за наявними даними), вибору інших показників, застосування інших статистичних методів або побудови економетричних моделей.</w:t>
      </w:r>
    </w:p>
    <w:p w:rsidR="004A25EE" w:rsidRPr="005C4D41" w:rsidRDefault="004A25EE" w:rsidP="004A25EE">
      <w:pPr>
        <w:spacing w:after="0" w:line="360" w:lineRule="auto"/>
        <w:ind w:firstLine="851"/>
        <w:jc w:val="both"/>
        <w:rPr>
          <w:rFonts w:ascii="Times New Roman" w:hAnsi="Times New Roman" w:cs="Times New Roman"/>
          <w:sz w:val="28"/>
          <w:szCs w:val="28"/>
        </w:rPr>
      </w:pPr>
      <w:r w:rsidRPr="005C4D41">
        <w:rPr>
          <w:rFonts w:ascii="Times New Roman" w:hAnsi="Times New Roman" w:cs="Times New Roman"/>
          <w:sz w:val="28"/>
          <w:szCs w:val="28"/>
        </w:rPr>
        <w:lastRenderedPageBreak/>
        <w:t>Аналіз, представлений, є відправною точкою для подальших досліджень у сфері предмета, який розглядається, проведення поглибленого аналізу дій з трансформації лінійної економіки в економіку кругового характеру в країнах ЄС або дослідження впливу трансформації економіки в бік РЄ на економічне зростання та соціально-економічний розвиток окремих країн ЄС. Завданням у цьому відношенні буде побудова моделі вимірювання прогресу трансформації до РЄ та її впливу на соціальний та економічний розвиток, яка б врахувала причинно-наслідкову послідовність зміни поведінки (і її динаміка в часі) всіх учасників суспільно-економічного життя (включаючи виробників, споживачів, державний сектор, академічні та науково-дослідні установи, неурядові організації тощо).</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Поки не зрозуміло, як країна з таким мізерним бюджетом могла знайти такі величезні гроші.</w:t>
      </w:r>
      <w:r>
        <w:rPr>
          <w:rFonts w:ascii="Times New Roman" w:hAnsi="Times New Roman" w:cs="Times New Roman"/>
          <w:sz w:val="28"/>
          <w:szCs w:val="28"/>
        </w:rPr>
        <w:t xml:space="preserve"> </w:t>
      </w:r>
      <w:r w:rsidRPr="00595EA9">
        <w:rPr>
          <w:rFonts w:ascii="Times New Roman" w:hAnsi="Times New Roman" w:cs="Times New Roman"/>
          <w:sz w:val="28"/>
          <w:szCs w:val="28"/>
        </w:rPr>
        <w:t>Зараз Європейський Союз розробляє методологію щодо того, як налагодити збір коштів для цієї мети. Очікується, що це будуть інвестиції з боку урядів, міжнародних банків, приватного капіталу, стратегічних інвесторів, а також залучення коштів шляхом внесення змін до податкової системи.</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Звичайно, для заможніших економік – таких як Німеччина чи Франція – знайти джерела для фінансування Зеленої угоди буде легше, ніж для нашої України, яка все ще стукає в двері ЄС. Запозичувати значні кошти у західних держав для модернізації України також не можна. Україні потрібно знайти можливість заробити ці кошти.</w:t>
      </w:r>
      <w:r>
        <w:rPr>
          <w:rFonts w:ascii="Times New Roman" w:hAnsi="Times New Roman" w:cs="Times New Roman"/>
          <w:sz w:val="28"/>
          <w:szCs w:val="28"/>
        </w:rPr>
        <w:t xml:space="preserve"> </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Вирубка лісів і втрата біорізноманіття залишаються в списку основних проблем. На даний момент на планеті Земля знаходяться під загрозою зникнення понад мільйон видів рослин і тварин.</w:t>
      </w:r>
      <w:r>
        <w:rPr>
          <w:rFonts w:ascii="Times New Roman" w:hAnsi="Times New Roman" w:cs="Times New Roman"/>
          <w:sz w:val="28"/>
          <w:szCs w:val="28"/>
        </w:rPr>
        <w:t xml:space="preserve">  </w:t>
      </w:r>
      <w:r w:rsidRPr="00595EA9">
        <w:rPr>
          <w:rFonts w:ascii="Times New Roman" w:hAnsi="Times New Roman" w:cs="Times New Roman"/>
          <w:sz w:val="28"/>
          <w:szCs w:val="28"/>
        </w:rPr>
        <w:t>Крім того, близько чверті захворювань у світі пов’язані з екологічними загрозами. Забруднене повітря є причиною 7 мільйонів передчасної смерті щорічно.</w:t>
      </w:r>
      <w:r>
        <w:rPr>
          <w:rFonts w:ascii="Times New Roman" w:hAnsi="Times New Roman" w:cs="Times New Roman"/>
          <w:sz w:val="28"/>
          <w:szCs w:val="28"/>
        </w:rPr>
        <w:t xml:space="preserve"> </w:t>
      </w:r>
      <w:r w:rsidRPr="00595EA9">
        <w:rPr>
          <w:rFonts w:ascii="Times New Roman" w:hAnsi="Times New Roman" w:cs="Times New Roman"/>
          <w:sz w:val="28"/>
          <w:szCs w:val="28"/>
        </w:rPr>
        <w:t>Тим часом українці стають свідками погіршення стану довкілля та негативних наслідків зміни клімату.</w:t>
      </w:r>
    </w:p>
    <w:p w:rsidR="004A25EE" w:rsidRPr="00595EA9" w:rsidRDefault="004A25EE" w:rsidP="004A25EE">
      <w:pPr>
        <w:spacing w:after="0" w:line="360" w:lineRule="auto"/>
        <w:ind w:firstLine="851"/>
        <w:jc w:val="both"/>
        <w:rPr>
          <w:rFonts w:ascii="Times New Roman" w:hAnsi="Times New Roman" w:cs="Times New Roman"/>
          <w:sz w:val="28"/>
          <w:szCs w:val="28"/>
        </w:rPr>
      </w:pPr>
      <w:r w:rsidRPr="00595EA9">
        <w:rPr>
          <w:rFonts w:ascii="Times New Roman" w:hAnsi="Times New Roman" w:cs="Times New Roman"/>
          <w:sz w:val="28"/>
          <w:szCs w:val="28"/>
        </w:rPr>
        <w:t xml:space="preserve">Покращення відносин з природою та уникнення найгірших сценаріїв все ще можливо. Експерти ООН називають це останнім десятиліттям, коли ще можна вплинути на надзвичайні екологічні ситуації. Але враховуючи </w:t>
      </w:r>
      <w:r w:rsidRPr="00595EA9">
        <w:rPr>
          <w:rFonts w:ascii="Times New Roman" w:hAnsi="Times New Roman" w:cs="Times New Roman"/>
          <w:sz w:val="28"/>
          <w:szCs w:val="28"/>
        </w:rPr>
        <w:lastRenderedPageBreak/>
        <w:t>взаємозв’язок між зміною клімату та втратою біорізноманіття, забрудненням повітря та води, ці Проблеми можна вирішити лише спільними зусиллями, злагодженими діями</w:t>
      </w:r>
      <w:r>
        <w:rPr>
          <w:rFonts w:ascii="Times New Roman" w:hAnsi="Times New Roman" w:cs="Times New Roman"/>
          <w:sz w:val="28"/>
          <w:szCs w:val="28"/>
        </w:rPr>
        <w:t xml:space="preserve">. </w:t>
      </w:r>
    </w:p>
    <w:p w:rsidR="004A25EE" w:rsidRDefault="004A25EE"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Default="005D229F" w:rsidP="00595EA9">
      <w:pPr>
        <w:spacing w:after="0" w:line="360" w:lineRule="auto"/>
        <w:ind w:firstLine="851"/>
        <w:jc w:val="both"/>
        <w:rPr>
          <w:rFonts w:ascii="Times New Roman" w:hAnsi="Times New Roman" w:cs="Times New Roman"/>
          <w:b/>
          <w:sz w:val="28"/>
          <w:szCs w:val="28"/>
        </w:rPr>
      </w:pPr>
    </w:p>
    <w:p w:rsidR="005D229F" w:rsidRPr="005D229F" w:rsidRDefault="005D229F" w:rsidP="005D229F">
      <w:pPr>
        <w:spacing w:after="0" w:line="240" w:lineRule="auto"/>
        <w:ind w:firstLine="525"/>
        <w:jc w:val="both"/>
        <w:divId w:val="1029378458"/>
        <w:rPr>
          <w:rFonts w:ascii="-webkit-standard" w:eastAsiaTheme="minorEastAsia" w:hAnsi="-webkit-standard" w:cs="Times New Roman"/>
          <w:color w:val="000000"/>
          <w:sz w:val="27"/>
          <w:szCs w:val="27"/>
          <w:lang w:eastAsia="uk-UA"/>
        </w:rPr>
      </w:pPr>
      <w:r w:rsidRPr="005D229F">
        <w:rPr>
          <w:rFonts w:ascii="Times New Roman" w:eastAsiaTheme="minorEastAsia" w:hAnsi="Times New Roman" w:cs="Times New Roman"/>
          <w:b/>
          <w:bCs/>
          <w:color w:val="000000"/>
          <w:sz w:val="32"/>
          <w:szCs w:val="32"/>
          <w:lang w:eastAsia="uk-UA"/>
        </w:rPr>
        <w:lastRenderedPageBreak/>
        <w:br/>
        <w:t>Список використаних джерел</w:t>
      </w:r>
    </w:p>
    <w:p w:rsidR="005D229F" w:rsidRPr="005D229F" w:rsidRDefault="005D229F" w:rsidP="005D229F">
      <w:pPr>
        <w:spacing w:after="0" w:line="240" w:lineRule="auto"/>
        <w:ind w:hanging="270"/>
        <w:jc w:val="both"/>
        <w:divId w:val="103901015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1. </w:t>
      </w:r>
      <w:r w:rsidRPr="005D229F">
        <w:rPr>
          <w:rFonts w:ascii="Times New Roman" w:eastAsia="Times New Roman" w:hAnsi="Times New Roman" w:cs="Times New Roman"/>
          <w:color w:val="000000"/>
          <w:sz w:val="32"/>
          <w:szCs w:val="32"/>
          <w:lang w:eastAsia="uk-UA"/>
        </w:rPr>
        <w:t>Americas Sustainable Development Foundation (ASDF). (2018). A Social Inclusive Circular Economy, is it possible? https://www.cep-americas.com/single-post/2018/08/26/A-Social-Inclusive-Circular-Economy-is-it-possible</w:t>
      </w:r>
    </w:p>
    <w:p w:rsidR="005D229F" w:rsidRPr="005D229F" w:rsidRDefault="005D229F" w:rsidP="005D229F">
      <w:pPr>
        <w:spacing w:after="0" w:line="240" w:lineRule="auto"/>
        <w:ind w:hanging="270"/>
        <w:jc w:val="both"/>
        <w:divId w:val="185257335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2. </w:t>
      </w:r>
      <w:r w:rsidRPr="005D229F">
        <w:rPr>
          <w:rFonts w:ascii="Times New Roman" w:eastAsia="Times New Roman" w:hAnsi="Times New Roman" w:cs="Times New Roman"/>
          <w:color w:val="000000"/>
          <w:sz w:val="32"/>
          <w:szCs w:val="32"/>
          <w:lang w:eastAsia="uk-UA"/>
        </w:rPr>
        <w:t>Ayres, R. U. (2008). Sustainability economics: Where do we stand? Ecological Economics, 67(2), 281-310. https://doi.org/10.1016/j.ecolecon.2007.12.009</w:t>
      </w:r>
    </w:p>
    <w:p w:rsidR="005D229F" w:rsidRPr="005D229F" w:rsidRDefault="005D229F" w:rsidP="005D229F">
      <w:pPr>
        <w:spacing w:after="0" w:line="240" w:lineRule="auto"/>
        <w:ind w:hanging="270"/>
        <w:jc w:val="both"/>
        <w:divId w:val="152380779"/>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3. </w:t>
      </w:r>
      <w:r w:rsidRPr="005D229F">
        <w:rPr>
          <w:rFonts w:ascii="Times New Roman" w:eastAsia="Times New Roman" w:hAnsi="Times New Roman" w:cs="Times New Roman"/>
          <w:color w:val="000000"/>
          <w:sz w:val="32"/>
          <w:szCs w:val="32"/>
          <w:lang w:eastAsia="uk-UA"/>
        </w:rPr>
        <w:t>Ellen Macarthur Foundation And Granta Design. (2015). Circularity indicators. https://www.ellenmacarthurfoundation.org/assets/downloads/insight/Circularity-Indicators_Project-Overview_May2015.pdf</w:t>
      </w:r>
    </w:p>
    <w:p w:rsidR="005D229F" w:rsidRPr="005D229F" w:rsidRDefault="005D229F" w:rsidP="005D229F">
      <w:pPr>
        <w:spacing w:after="0" w:line="240" w:lineRule="auto"/>
        <w:ind w:hanging="270"/>
        <w:jc w:val="both"/>
        <w:divId w:val="314799562"/>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4. </w:t>
      </w:r>
      <w:r w:rsidRPr="005D229F">
        <w:rPr>
          <w:rFonts w:ascii="Times New Roman" w:eastAsia="Times New Roman" w:hAnsi="Times New Roman" w:cs="Times New Roman"/>
          <w:color w:val="000000"/>
          <w:sz w:val="32"/>
          <w:szCs w:val="32"/>
          <w:lang w:eastAsia="uk-UA"/>
        </w:rPr>
        <w:t>Geissdoerfer, M., Savaget, P., Bocken, N., &amp; Hultink, E. (2017). The Circular Economy - a new sustainability paradigm? Journal of Cleaner Production, 143(1), 757-768. https://doi.org/10.1016/j.jclepro.2016.12.048</w:t>
      </w:r>
    </w:p>
    <w:p w:rsidR="005D229F" w:rsidRPr="005D229F" w:rsidRDefault="005D229F" w:rsidP="005D229F">
      <w:pPr>
        <w:spacing w:after="0" w:line="240" w:lineRule="auto"/>
        <w:ind w:hanging="270"/>
        <w:jc w:val="both"/>
        <w:divId w:val="212568362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5. </w:t>
      </w:r>
      <w:r w:rsidRPr="005D229F">
        <w:rPr>
          <w:rFonts w:ascii="Times New Roman" w:eastAsia="Times New Roman" w:hAnsi="Times New Roman" w:cs="Times New Roman"/>
          <w:color w:val="000000"/>
          <w:sz w:val="32"/>
          <w:szCs w:val="32"/>
          <w:lang w:eastAsia="uk-UA"/>
        </w:rPr>
        <w:t>Geng, Y., Sarkis, J., &amp; Bleischwitz, R. (2019). How to globalize the circular economy. Nature, 565, 153-155. https://www.nature.com/articles/d41586-019-00017-z</w:t>
      </w:r>
    </w:p>
    <w:p w:rsidR="005D229F" w:rsidRPr="005D229F" w:rsidRDefault="005D229F" w:rsidP="005D229F">
      <w:pPr>
        <w:spacing w:after="0" w:line="240" w:lineRule="auto"/>
        <w:ind w:hanging="270"/>
        <w:jc w:val="both"/>
        <w:divId w:val="157393155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6. </w:t>
      </w:r>
      <w:r w:rsidRPr="005D229F">
        <w:rPr>
          <w:rFonts w:ascii="Times New Roman" w:eastAsia="Times New Roman" w:hAnsi="Times New Roman" w:cs="Times New Roman"/>
          <w:color w:val="000000"/>
          <w:sz w:val="32"/>
          <w:szCs w:val="32"/>
          <w:lang w:eastAsia="uk-UA"/>
        </w:rPr>
        <w:t>Ghisellini, P., Cialani, C., &amp; Ulgiati, S. (2016). A review on circular economy: the expected transition to a balanced interplay of environmental and economic systems. Journal of Cleaner Production, 114, 11-32. https://doi.org/10.1016/j.jclepro.2015.09.007</w:t>
      </w:r>
    </w:p>
    <w:p w:rsidR="005D229F" w:rsidRPr="005D229F" w:rsidRDefault="005D229F" w:rsidP="005D229F">
      <w:pPr>
        <w:spacing w:after="0" w:line="240" w:lineRule="auto"/>
        <w:ind w:hanging="270"/>
        <w:jc w:val="both"/>
        <w:divId w:val="1382285900"/>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7. </w:t>
      </w:r>
      <w:r w:rsidRPr="005D229F">
        <w:rPr>
          <w:rFonts w:ascii="Times New Roman" w:eastAsia="Times New Roman" w:hAnsi="Times New Roman" w:cs="Times New Roman"/>
          <w:color w:val="000000"/>
          <w:sz w:val="32"/>
          <w:szCs w:val="32"/>
          <w:lang w:eastAsia="uk-UA"/>
        </w:rPr>
        <w:t>Goldberg, P., &amp; Pavcnik, N. (2007). Distributional Effects of Globalization in Developing Countries. Journal of Economic Literature, 12885, 1-68. https://doi.org/10.3386/w12885</w:t>
      </w:r>
    </w:p>
    <w:p w:rsidR="005D229F" w:rsidRPr="005D229F" w:rsidRDefault="005D229F" w:rsidP="005D229F">
      <w:pPr>
        <w:spacing w:after="0" w:line="240" w:lineRule="auto"/>
        <w:ind w:hanging="270"/>
        <w:jc w:val="both"/>
        <w:divId w:val="57543399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8. </w:t>
      </w:r>
      <w:r w:rsidRPr="005D229F">
        <w:rPr>
          <w:rFonts w:ascii="Times New Roman" w:eastAsia="Times New Roman" w:hAnsi="Times New Roman" w:cs="Times New Roman"/>
          <w:color w:val="000000"/>
          <w:sz w:val="32"/>
          <w:szCs w:val="32"/>
          <w:lang w:eastAsia="uk-UA"/>
        </w:rPr>
        <w:t>Horbach, J., Rennings, K., &amp; Sommerfeld, K. (2015). Circular Economy and Employment. Centre for European Economic Research (ZEW). https://circulareconomy.europa.eu/platform/en/knowledge/circular-economy-and-employment</w:t>
      </w:r>
    </w:p>
    <w:p w:rsidR="005D229F" w:rsidRPr="005D229F" w:rsidRDefault="005D229F" w:rsidP="005D229F">
      <w:pPr>
        <w:spacing w:after="0" w:line="240" w:lineRule="auto"/>
        <w:ind w:hanging="270"/>
        <w:jc w:val="both"/>
        <w:divId w:val="1901283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9. </w:t>
      </w:r>
      <w:r w:rsidRPr="005D229F">
        <w:rPr>
          <w:rFonts w:ascii="Times New Roman" w:eastAsia="Times New Roman" w:hAnsi="Times New Roman" w:cs="Times New Roman"/>
          <w:color w:val="000000"/>
          <w:sz w:val="32"/>
          <w:szCs w:val="32"/>
          <w:lang w:eastAsia="uk-UA"/>
        </w:rPr>
        <w:t>International Labour Office, Geneva. (2018). Women and men in the informal economy: a statistical picture. https://www.ilo.org/wcmsp5/groups/public/---dgreports/---dcomm/documents/publication/wcms_626831.pdf</w:t>
      </w:r>
    </w:p>
    <w:p w:rsidR="005D229F" w:rsidRPr="005D229F" w:rsidRDefault="005D229F" w:rsidP="005D229F">
      <w:pPr>
        <w:spacing w:after="0" w:line="240" w:lineRule="auto"/>
        <w:ind w:hanging="270"/>
        <w:jc w:val="both"/>
        <w:divId w:val="48177990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10. </w:t>
      </w:r>
      <w:r w:rsidRPr="005D229F">
        <w:rPr>
          <w:rFonts w:ascii="Times New Roman" w:eastAsia="Times New Roman" w:hAnsi="Times New Roman" w:cs="Times New Roman"/>
          <w:color w:val="000000"/>
          <w:sz w:val="32"/>
          <w:szCs w:val="32"/>
          <w:lang w:eastAsia="uk-UA"/>
        </w:rPr>
        <w:t>Kolodko, G. W. (2014). The New Pragmatism, or economics and policy for the future. ActaOeconomica, 64(2), 139-160. https://ideas.repec.org/a/aka/aoecon/v64y2014i2p139-160.html</w:t>
      </w:r>
    </w:p>
    <w:p w:rsidR="005D229F" w:rsidRPr="005D229F" w:rsidRDefault="005D229F" w:rsidP="005D229F">
      <w:pPr>
        <w:spacing w:after="0" w:line="240" w:lineRule="auto"/>
        <w:ind w:hanging="270"/>
        <w:jc w:val="both"/>
        <w:divId w:val="161536275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lastRenderedPageBreak/>
        <w:t>11. </w:t>
      </w:r>
      <w:r w:rsidRPr="005D229F">
        <w:rPr>
          <w:rFonts w:ascii="Times New Roman" w:eastAsia="Times New Roman" w:hAnsi="Times New Roman" w:cs="Times New Roman"/>
          <w:color w:val="000000"/>
          <w:sz w:val="32"/>
          <w:szCs w:val="32"/>
          <w:lang w:eastAsia="uk-UA"/>
        </w:rPr>
        <w:t>Lemille, A. (2016). Circular Economy 2.0. </w:t>
      </w:r>
      <w:hyperlink r:id="rId26" w:history="1">
        <w:r w:rsidRPr="005D229F">
          <w:rPr>
            <w:rFonts w:ascii="Times New Roman" w:eastAsia="Times New Roman" w:hAnsi="Times New Roman" w:cs="Times New Roman"/>
            <w:color w:val="0563C1"/>
            <w:sz w:val="32"/>
            <w:szCs w:val="32"/>
            <w:u w:val="single"/>
            <w:lang w:eastAsia="uk-UA"/>
          </w:rPr>
          <w:t>https://www.huffingtonpost.com/alexandre-lemille/circular-economy-20_b_9376488.html</w:t>
        </w:r>
      </w:hyperlink>
    </w:p>
    <w:p w:rsidR="005D229F" w:rsidRPr="005D229F" w:rsidRDefault="005D229F" w:rsidP="005D229F">
      <w:pPr>
        <w:spacing w:after="0" w:line="240" w:lineRule="auto"/>
        <w:ind w:hanging="270"/>
        <w:jc w:val="both"/>
        <w:divId w:val="1984506900"/>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12. </w:t>
      </w:r>
      <w:r w:rsidRPr="005D229F">
        <w:rPr>
          <w:rFonts w:ascii="Times New Roman" w:eastAsia="Times New Roman" w:hAnsi="Times New Roman" w:cs="Times New Roman"/>
          <w:color w:val="000000"/>
          <w:sz w:val="32"/>
          <w:szCs w:val="32"/>
          <w:lang w:eastAsia="uk-UA"/>
        </w:rPr>
        <w:t>Millar, N., McLaughlin, E., &amp; Boerger, T. (2019). The circular economy: swings and roundabouts. Ecological Economics, 158, 11-19. https://doi.org/10.1016/j.ecolecon.2018.12.012</w:t>
      </w:r>
    </w:p>
    <w:p w:rsidR="005D229F" w:rsidRPr="005D229F" w:rsidRDefault="005D229F" w:rsidP="005D229F">
      <w:pPr>
        <w:spacing w:after="0" w:line="240" w:lineRule="auto"/>
        <w:ind w:hanging="270"/>
        <w:jc w:val="both"/>
        <w:divId w:val="26230778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13. </w:t>
      </w:r>
      <w:r w:rsidRPr="005D229F">
        <w:rPr>
          <w:rFonts w:ascii="Times New Roman" w:eastAsia="Times New Roman" w:hAnsi="Times New Roman" w:cs="Times New Roman"/>
          <w:color w:val="000000"/>
          <w:sz w:val="32"/>
          <w:szCs w:val="32"/>
          <w:lang w:eastAsia="uk-UA"/>
        </w:rPr>
        <w:t>Sembiring, M. (2019). Global Waste Trade Chaos: Rising Environmentalism or Cost-Benefit Analysis? https://www.rsis.edu.sg/wp-content/uploads/2019/07/NTS-Insight-Global-waste-trade_010719.pdf</w:t>
      </w:r>
    </w:p>
    <w:p w:rsidR="005D229F" w:rsidRPr="005D229F" w:rsidRDefault="005D229F" w:rsidP="005D229F">
      <w:pPr>
        <w:spacing w:after="0" w:line="240" w:lineRule="auto"/>
        <w:ind w:hanging="270"/>
        <w:jc w:val="both"/>
        <w:divId w:val="136748523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14. </w:t>
      </w:r>
      <w:r w:rsidRPr="005D229F">
        <w:rPr>
          <w:rFonts w:ascii="Times New Roman" w:eastAsia="Times New Roman" w:hAnsi="Times New Roman" w:cs="Times New Roman"/>
          <w:color w:val="000000"/>
          <w:sz w:val="32"/>
          <w:szCs w:val="32"/>
          <w:lang w:eastAsia="uk-UA"/>
        </w:rPr>
        <w:t>Stukalo, N., &amp; Simakhova, A. (2019). Social Dimensions of Green Economy. Filosofija. Sociologija, 30(2), 91-99. https://doi.org/10.6001/fil-soc.v30i2.4015</w:t>
      </w:r>
    </w:p>
    <w:p w:rsidR="005D229F" w:rsidRPr="005D229F" w:rsidRDefault="005D229F" w:rsidP="005D229F">
      <w:pPr>
        <w:spacing w:after="0" w:line="240" w:lineRule="auto"/>
        <w:ind w:hanging="270"/>
        <w:jc w:val="both"/>
        <w:divId w:val="79189833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15. </w:t>
      </w:r>
      <w:r w:rsidRPr="005D229F">
        <w:rPr>
          <w:rFonts w:ascii="Times New Roman" w:eastAsia="Times New Roman" w:hAnsi="Times New Roman" w:cs="Times New Roman"/>
          <w:color w:val="000000"/>
          <w:sz w:val="32"/>
          <w:szCs w:val="32"/>
          <w:lang w:eastAsia="uk-UA"/>
        </w:rPr>
        <w:t>Velenturf, A. P. M., Purnell, P., Macaskie, L. E., Mayes, W. M., &amp; Sapsford, D. J. (2019). A New Perspective on a Global Circular Economy. In L. E. Macaskie, D. J. Sapsford &amp; W. M. Mayes (Eds.), Resource Recovery from Wastes: Towards a Circular Economy (pp. 1-22). https://doi.org/10.1039/9781788016353-00001</w:t>
      </w:r>
    </w:p>
    <w:p w:rsidR="005D229F" w:rsidRPr="005D229F" w:rsidRDefault="005D229F" w:rsidP="005D229F">
      <w:pPr>
        <w:spacing w:after="0" w:line="240" w:lineRule="auto"/>
        <w:ind w:hanging="270"/>
        <w:jc w:val="both"/>
        <w:divId w:val="130746768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16. </w:t>
      </w:r>
      <w:r w:rsidRPr="005D229F">
        <w:rPr>
          <w:rFonts w:ascii="Times New Roman" w:eastAsia="Times New Roman" w:hAnsi="Times New Roman" w:cs="Times New Roman"/>
          <w:color w:val="000000"/>
          <w:sz w:val="32"/>
          <w:szCs w:val="32"/>
          <w:lang w:eastAsia="uk-UA"/>
        </w:rPr>
        <w:t>Velis, C. A. (2015). Circular economy and global secondary material supply chains. Waste Management &amp; Research, 33(5), 389-391. https://doi.org/10.1177/0734242X15587641</w:t>
      </w:r>
    </w:p>
    <w:p w:rsidR="005D229F" w:rsidRPr="005D229F" w:rsidRDefault="005D229F" w:rsidP="005D229F">
      <w:pPr>
        <w:spacing w:after="0" w:line="240" w:lineRule="auto"/>
        <w:ind w:hanging="270"/>
        <w:jc w:val="both"/>
        <w:divId w:val="144858792"/>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17. </w:t>
      </w:r>
      <w:r w:rsidRPr="005D229F">
        <w:rPr>
          <w:rFonts w:ascii="Times New Roman" w:eastAsia="Times New Roman" w:hAnsi="Times New Roman" w:cs="Times New Roman"/>
          <w:color w:val="000000"/>
          <w:sz w:val="32"/>
          <w:szCs w:val="32"/>
          <w:lang w:eastAsia="uk-UA"/>
        </w:rPr>
        <w:t>Wyman, O. (2017). Supporting the Circular Economy Transition: The role of the finanvcialsector in Netherlands. Marsh &amp; MacLennan Companies. http://www.oliverwyman.com/content/dam/oliver-wyman/v2/publications/2017/sep/CircularEconomy_web.pdf</w:t>
      </w:r>
    </w:p>
    <w:p w:rsidR="005D229F" w:rsidRPr="005D229F" w:rsidRDefault="005D229F" w:rsidP="005D229F">
      <w:pPr>
        <w:spacing w:after="0" w:line="240" w:lineRule="auto"/>
        <w:ind w:hanging="270"/>
        <w:jc w:val="both"/>
        <w:divId w:val="176634475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18. </w:t>
      </w:r>
      <w:r w:rsidRPr="005D229F">
        <w:rPr>
          <w:rFonts w:ascii="Times New Roman" w:eastAsia="Times New Roman" w:hAnsi="Times New Roman" w:cs="Times New Roman"/>
          <w:color w:val="000000"/>
          <w:sz w:val="32"/>
          <w:szCs w:val="32"/>
          <w:lang w:eastAsia="uk-UA"/>
        </w:rPr>
        <w:t>Yuan, Z., Bi, J., &amp; Moriguichi, Y. (2008). The circular economy: a new development strategy in China. Journal of Industrial Ecology, 10(1-2). https://doi.org/10.1162/108819806775545321</w:t>
      </w:r>
    </w:p>
    <w:p w:rsidR="005D229F" w:rsidRPr="005D229F" w:rsidRDefault="005D229F" w:rsidP="005D229F">
      <w:pPr>
        <w:spacing w:after="0" w:line="240" w:lineRule="auto"/>
        <w:ind w:hanging="270"/>
        <w:divId w:val="111617632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19. </w:t>
      </w:r>
      <w:r w:rsidRPr="005D229F">
        <w:rPr>
          <w:rFonts w:ascii="Times New Roman" w:eastAsia="Times New Roman" w:hAnsi="Times New Roman" w:cs="Times New Roman"/>
          <w:color w:val="000000"/>
          <w:sz w:val="32"/>
          <w:szCs w:val="32"/>
          <w:lang w:eastAsia="uk-UA"/>
        </w:rPr>
        <w:t>Krysovatyy A., Zvarych R., Zvarych I., KrysovatyyI., KrysovataK. Methodological architectonics ofinclusive circular economy for eco-security ofsociety under pandemic     . Economic Annals-ХХI: Volume 184, Issue 7-8, Pages: 4-15, September 10, 2020</w:t>
      </w:r>
    </w:p>
    <w:p w:rsidR="005D229F" w:rsidRPr="005D229F" w:rsidRDefault="005D229F" w:rsidP="005D229F">
      <w:pPr>
        <w:spacing w:after="0" w:line="240" w:lineRule="auto"/>
        <w:ind w:left="540"/>
        <w:divId w:val="1029378458"/>
        <w:rPr>
          <w:rFonts w:ascii="-webkit-standard" w:eastAsiaTheme="minorEastAsia" w:hAnsi="-webkit-standard" w:cs="Times New Roman"/>
          <w:color w:val="000000"/>
          <w:sz w:val="27"/>
          <w:szCs w:val="27"/>
          <w:lang w:eastAsia="uk-UA"/>
        </w:rPr>
      </w:pPr>
      <w:r w:rsidRPr="005D229F">
        <w:rPr>
          <w:rFonts w:ascii="-webkit-standard" w:eastAsiaTheme="minorEastAsia" w:hAnsi="-webkit-standard" w:cs="Times New Roman"/>
          <w:color w:val="000000"/>
          <w:sz w:val="32"/>
          <w:szCs w:val="32"/>
          <w:lang w:eastAsia="uk-UA"/>
        </w:rPr>
        <w:t>doi: </w:t>
      </w:r>
      <w:hyperlink r:id="rId27" w:history="1">
        <w:r w:rsidRPr="005D229F">
          <w:rPr>
            <w:rFonts w:ascii="-webkit-standard" w:eastAsiaTheme="minorEastAsia" w:hAnsi="-webkit-standard" w:cs="Times New Roman"/>
            <w:color w:val="0563C1"/>
            <w:sz w:val="32"/>
            <w:szCs w:val="32"/>
            <w:u w:val="single"/>
            <w:lang w:eastAsia="uk-UA"/>
          </w:rPr>
          <w:t>https://doi.org/10.21003/ea.V184-01</w:t>
        </w:r>
      </w:hyperlink>
    </w:p>
    <w:p w:rsidR="005D229F" w:rsidRPr="005D229F" w:rsidRDefault="005D229F" w:rsidP="005D229F">
      <w:pPr>
        <w:spacing w:after="0" w:line="240" w:lineRule="auto"/>
        <w:ind w:hanging="270"/>
        <w:divId w:val="134227134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20. </w:t>
      </w:r>
      <w:r w:rsidRPr="005D229F">
        <w:rPr>
          <w:rFonts w:ascii="Times New Roman" w:eastAsia="Times New Roman" w:hAnsi="Times New Roman" w:cs="Times New Roman"/>
          <w:color w:val="000000"/>
          <w:sz w:val="32"/>
          <w:szCs w:val="32"/>
          <w:lang w:eastAsia="uk-UA"/>
        </w:rPr>
        <w:t>Krysovatyy, A., Zvarych, R., Zvarych, I., Reznikova, N., Homotiuk, V. CIRCULAR ECONOMY AS AN ANTI-CRISIS METHOD FOR GLOBAL ECONOMY RECOVERY UNDER COVID-19: EMPLOYMENT AND TAX SHIFT EFFECT. Procedia Environmental Science, Engineering and Management, 2021, 8(2), pp. 463–472</w:t>
      </w:r>
    </w:p>
    <w:p w:rsidR="005D229F" w:rsidRPr="005D229F" w:rsidRDefault="00855CB3" w:rsidP="005D229F">
      <w:pPr>
        <w:spacing w:after="0" w:line="240" w:lineRule="auto"/>
        <w:ind w:left="540"/>
        <w:divId w:val="1029378458"/>
        <w:rPr>
          <w:rFonts w:ascii="-webkit-standard" w:eastAsiaTheme="minorEastAsia" w:hAnsi="-webkit-standard" w:cs="Times New Roman"/>
          <w:color w:val="000000"/>
          <w:sz w:val="27"/>
          <w:szCs w:val="27"/>
          <w:lang w:eastAsia="uk-UA"/>
        </w:rPr>
      </w:pPr>
      <w:hyperlink r:id="rId28" w:history="1">
        <w:r w:rsidR="005D229F" w:rsidRPr="005D229F">
          <w:rPr>
            <w:rFonts w:ascii="Times New Roman" w:eastAsiaTheme="minorEastAsia" w:hAnsi="Times New Roman" w:cs="Times New Roman"/>
            <w:color w:val="0563C1"/>
            <w:sz w:val="32"/>
            <w:szCs w:val="32"/>
            <w:u w:val="single"/>
            <w:lang w:eastAsia="uk-UA"/>
          </w:rPr>
          <w:t>http://procedia-esem.eu/pdf/issues/2021/no2/17_49_Krysovatyy_21.pdf</w:t>
        </w:r>
      </w:hyperlink>
    </w:p>
    <w:p w:rsidR="005D229F" w:rsidRPr="005D229F" w:rsidRDefault="005D229F" w:rsidP="005D229F">
      <w:pPr>
        <w:spacing w:after="0" w:line="240" w:lineRule="auto"/>
        <w:ind w:hanging="270"/>
        <w:divId w:val="108337954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21. </w:t>
      </w:r>
      <w:r w:rsidRPr="005D229F">
        <w:rPr>
          <w:rFonts w:ascii="Times New Roman" w:eastAsia="Times New Roman" w:hAnsi="Times New Roman" w:cs="Times New Roman"/>
          <w:color w:val="000000"/>
          <w:sz w:val="32"/>
          <w:szCs w:val="32"/>
          <w:lang w:eastAsia="uk-UA"/>
        </w:rPr>
        <w:t>Matviychuk-Soskina, N., Krysovatyy, A., Zvarych, I., Zvarych, R., Ivashchuk, I. «Sea star wastingsyndrome»1 or alterglobalization, inclusiveness andcircular economy: Priorities of the plan «B» for theplanet. Economic Annals-XXI, 2019, 179(9), pp. 4–21.</w:t>
      </w:r>
    </w:p>
    <w:p w:rsidR="005D229F" w:rsidRPr="005D229F" w:rsidRDefault="005D229F" w:rsidP="005D229F">
      <w:pPr>
        <w:spacing w:after="0" w:line="240" w:lineRule="auto"/>
        <w:ind w:left="540"/>
        <w:divId w:val="1029378458"/>
        <w:rPr>
          <w:rFonts w:ascii="-webkit-standard" w:eastAsiaTheme="minorEastAsia" w:hAnsi="-webkit-standard" w:cs="Times New Roman"/>
          <w:color w:val="000000"/>
          <w:sz w:val="27"/>
          <w:szCs w:val="27"/>
          <w:lang w:eastAsia="uk-UA"/>
        </w:rPr>
      </w:pPr>
      <w:r w:rsidRPr="005D229F">
        <w:rPr>
          <w:rFonts w:ascii="Times New Roman" w:eastAsiaTheme="minorEastAsia" w:hAnsi="Times New Roman" w:cs="Times New Roman"/>
          <w:color w:val="000000"/>
          <w:sz w:val="32"/>
          <w:szCs w:val="32"/>
          <w:lang w:eastAsia="uk-UA"/>
        </w:rPr>
        <w:t>DOI: </w:t>
      </w:r>
      <w:hyperlink r:id="rId29" w:history="1">
        <w:r w:rsidRPr="005D229F">
          <w:rPr>
            <w:rFonts w:ascii="Times New Roman" w:eastAsiaTheme="minorEastAsia" w:hAnsi="Times New Roman" w:cs="Times New Roman"/>
            <w:color w:val="0563C1"/>
            <w:sz w:val="32"/>
            <w:szCs w:val="32"/>
            <w:u w:val="single"/>
            <w:lang w:eastAsia="uk-UA"/>
          </w:rPr>
          <w:t>https://doi.org/10.21003/ea.V179-01</w:t>
        </w:r>
      </w:hyperlink>
    </w:p>
    <w:p w:rsidR="005D229F" w:rsidRPr="005D229F" w:rsidRDefault="005D229F" w:rsidP="005D229F">
      <w:pPr>
        <w:spacing w:after="0" w:line="240" w:lineRule="auto"/>
        <w:ind w:hanging="270"/>
        <w:divId w:val="114512058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22. </w:t>
      </w:r>
      <w:r w:rsidRPr="005D229F">
        <w:rPr>
          <w:rFonts w:ascii="Times New Roman" w:eastAsia="Times New Roman" w:hAnsi="Times New Roman" w:cs="Times New Roman"/>
          <w:color w:val="000000"/>
          <w:sz w:val="32"/>
          <w:szCs w:val="32"/>
          <w:lang w:eastAsia="uk-UA"/>
        </w:rPr>
        <w:t>Reznikova, N., Zvarych, R., Zvarych, I., Shnyrkov, O. Global circular e-chain in overcoming the globalwaste. Procedia Environmental Science, Engineering and Management, 2019, 6(4), pp. 641–647.</w:t>
      </w:r>
    </w:p>
    <w:p w:rsidR="005D229F" w:rsidRPr="005D229F" w:rsidRDefault="00855CB3" w:rsidP="005D229F">
      <w:pPr>
        <w:spacing w:after="0" w:line="240" w:lineRule="auto"/>
        <w:ind w:left="540"/>
        <w:divId w:val="1029378458"/>
        <w:rPr>
          <w:rFonts w:ascii="-webkit-standard" w:eastAsiaTheme="minorEastAsia" w:hAnsi="-webkit-standard" w:cs="Times New Roman"/>
          <w:color w:val="000000"/>
          <w:sz w:val="27"/>
          <w:szCs w:val="27"/>
          <w:lang w:eastAsia="uk-UA"/>
        </w:rPr>
      </w:pPr>
      <w:hyperlink r:id="rId30" w:history="1">
        <w:r w:rsidR="005D229F" w:rsidRPr="005D229F">
          <w:rPr>
            <w:rFonts w:ascii="Times New Roman" w:eastAsiaTheme="minorEastAsia" w:hAnsi="Times New Roman" w:cs="Times New Roman"/>
            <w:color w:val="0563C1"/>
            <w:sz w:val="32"/>
            <w:szCs w:val="32"/>
            <w:u w:val="single"/>
            <w:lang w:eastAsia="uk-UA"/>
          </w:rPr>
          <w:t>http://www.procedia-esem.eu/pdf/issues/2019/no4/72_Reznikova_19.pdf</w:t>
        </w:r>
      </w:hyperlink>
    </w:p>
    <w:p w:rsidR="005D229F" w:rsidRPr="005D229F" w:rsidRDefault="005D229F" w:rsidP="005D229F">
      <w:pPr>
        <w:spacing w:after="0" w:line="240" w:lineRule="auto"/>
        <w:ind w:hanging="270"/>
        <w:divId w:val="210706729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23. </w:t>
      </w:r>
      <w:r w:rsidRPr="005D229F">
        <w:rPr>
          <w:rFonts w:ascii="Times New Roman" w:eastAsia="Times New Roman" w:hAnsi="Times New Roman" w:cs="Times New Roman"/>
          <w:color w:val="000000"/>
          <w:sz w:val="32"/>
          <w:szCs w:val="32"/>
          <w:lang w:eastAsia="uk-UA"/>
        </w:rPr>
        <w:t>Krysovatyy, A.I., Zvarych, I.Y., Zvarych, R.Y., Zhyvko, M.A. Preconditions for the tax environmentof a alterglobal development. ComparativeEconomic Research, 2018, 21(4), pp. 139–154.</w:t>
      </w:r>
    </w:p>
    <w:p w:rsidR="005D229F" w:rsidRPr="005D229F" w:rsidRDefault="00855CB3" w:rsidP="005D229F">
      <w:pPr>
        <w:spacing w:after="0" w:line="240" w:lineRule="auto"/>
        <w:ind w:left="540"/>
        <w:divId w:val="1029378458"/>
        <w:rPr>
          <w:rFonts w:ascii="-webkit-standard" w:eastAsiaTheme="minorEastAsia" w:hAnsi="-webkit-standard" w:cs="Times New Roman"/>
          <w:color w:val="000000"/>
          <w:sz w:val="27"/>
          <w:szCs w:val="27"/>
          <w:lang w:eastAsia="uk-UA"/>
        </w:rPr>
      </w:pPr>
      <w:hyperlink r:id="rId31" w:history="1">
        <w:r w:rsidR="005D229F" w:rsidRPr="005D229F">
          <w:rPr>
            <w:rFonts w:ascii="Times New Roman" w:eastAsiaTheme="minorEastAsia" w:hAnsi="Times New Roman" w:cs="Times New Roman"/>
            <w:color w:val="0563C1"/>
            <w:sz w:val="32"/>
            <w:szCs w:val="32"/>
            <w:u w:val="single"/>
            <w:lang w:eastAsia="uk-UA"/>
          </w:rPr>
          <w:t>https://www.researchgate.net/publication/330121772_Preconditions_for_the_Tax_Environment_of_a_Alterglobal_Development</w:t>
        </w:r>
      </w:hyperlink>
    </w:p>
    <w:p w:rsidR="005D229F" w:rsidRPr="005D229F" w:rsidRDefault="005D229F" w:rsidP="005D229F">
      <w:pPr>
        <w:spacing w:after="0" w:line="240" w:lineRule="auto"/>
        <w:ind w:hanging="270"/>
        <w:divId w:val="18181790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24. </w:t>
      </w:r>
      <w:r w:rsidRPr="005D229F">
        <w:rPr>
          <w:rFonts w:ascii="Times New Roman" w:eastAsia="Times New Roman" w:hAnsi="Times New Roman" w:cs="Times New Roman"/>
          <w:color w:val="000000"/>
          <w:sz w:val="32"/>
          <w:szCs w:val="32"/>
          <w:lang w:eastAsia="uk-UA"/>
        </w:rPr>
        <w:t>Krysovatyy, A., Zvarych, I., Zvarych, R. Сirculareconomy in the context of alterglobalization. Journalof International Studies, 2018, 11(4), pp. 185–200.</w:t>
      </w:r>
    </w:p>
    <w:p w:rsidR="005D229F" w:rsidRPr="005D229F" w:rsidRDefault="00855CB3" w:rsidP="005D229F">
      <w:pPr>
        <w:spacing w:after="0" w:line="240" w:lineRule="auto"/>
        <w:ind w:left="540"/>
        <w:divId w:val="1029378458"/>
        <w:rPr>
          <w:rFonts w:ascii="-webkit-standard" w:eastAsiaTheme="minorEastAsia" w:hAnsi="-webkit-standard" w:cs="Times New Roman"/>
          <w:color w:val="000000"/>
          <w:sz w:val="27"/>
          <w:szCs w:val="27"/>
          <w:lang w:eastAsia="uk-UA"/>
        </w:rPr>
      </w:pPr>
      <w:hyperlink r:id="rId32" w:history="1">
        <w:r w:rsidR="005D229F" w:rsidRPr="005D229F">
          <w:rPr>
            <w:rFonts w:ascii="Times New Roman" w:eastAsiaTheme="minorEastAsia" w:hAnsi="Times New Roman" w:cs="Times New Roman"/>
            <w:color w:val="0563C1"/>
            <w:sz w:val="32"/>
            <w:szCs w:val="32"/>
            <w:u w:val="single"/>
            <w:lang w:eastAsia="uk-UA"/>
          </w:rPr>
          <w:t>https://www.jois.eu/?476,en_%D0%A1ircular-economy-in-the-context-of-alterglobalization</w:t>
        </w:r>
      </w:hyperlink>
    </w:p>
    <w:p w:rsidR="005D229F" w:rsidRPr="005D229F" w:rsidRDefault="005D229F" w:rsidP="005D229F">
      <w:pPr>
        <w:spacing w:after="0" w:line="240" w:lineRule="auto"/>
        <w:ind w:hanging="270"/>
        <w:divId w:val="1950505028"/>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25. </w:t>
      </w:r>
      <w:r w:rsidRPr="005D229F">
        <w:rPr>
          <w:rFonts w:ascii="Times New Roman" w:eastAsia="Times New Roman" w:hAnsi="Times New Roman" w:cs="Times New Roman"/>
          <w:color w:val="000000"/>
          <w:sz w:val="32"/>
          <w:szCs w:val="32"/>
          <w:lang w:eastAsia="uk-UA"/>
        </w:rPr>
        <w:t>Krysovatyy, A., Mokiy, A., Zvarych, R., Zvarych, I. Alterglobalization via the inclusive circulareconomy paradigm. Economic Annals-XXI, 2018, 174(11-12), pp. 4–9.</w:t>
      </w:r>
    </w:p>
    <w:p w:rsidR="005D229F" w:rsidRPr="005D229F" w:rsidRDefault="005D229F" w:rsidP="005D229F">
      <w:pPr>
        <w:spacing w:after="0" w:line="240" w:lineRule="auto"/>
        <w:ind w:left="540"/>
        <w:divId w:val="1029378458"/>
        <w:rPr>
          <w:rFonts w:ascii="-webkit-standard" w:eastAsiaTheme="minorEastAsia" w:hAnsi="-webkit-standard" w:cs="Times New Roman"/>
          <w:color w:val="000000"/>
          <w:sz w:val="27"/>
          <w:szCs w:val="27"/>
          <w:lang w:eastAsia="uk-UA"/>
        </w:rPr>
      </w:pPr>
      <w:r w:rsidRPr="005D229F">
        <w:rPr>
          <w:rFonts w:ascii="Times New Roman" w:eastAsiaTheme="minorEastAsia" w:hAnsi="Times New Roman" w:cs="Times New Roman"/>
          <w:color w:val="000000"/>
          <w:sz w:val="32"/>
          <w:szCs w:val="32"/>
          <w:lang w:eastAsia="uk-UA"/>
        </w:rPr>
        <w:t>DOI: </w:t>
      </w:r>
      <w:hyperlink r:id="rId33" w:history="1">
        <w:r w:rsidRPr="005D229F">
          <w:rPr>
            <w:rFonts w:ascii="Times New Roman" w:eastAsiaTheme="minorEastAsia" w:hAnsi="Times New Roman" w:cs="Times New Roman"/>
            <w:color w:val="0563C1"/>
            <w:sz w:val="32"/>
            <w:szCs w:val="32"/>
            <w:u w:val="single"/>
            <w:lang w:eastAsia="uk-UA"/>
          </w:rPr>
          <w:t>https://doi.org/10.21003/ea.V174-01</w:t>
        </w:r>
      </w:hyperlink>
    </w:p>
    <w:p w:rsidR="005D229F" w:rsidRPr="005D229F" w:rsidRDefault="005D229F" w:rsidP="005D229F">
      <w:pPr>
        <w:spacing w:after="0" w:line="240" w:lineRule="auto"/>
        <w:ind w:hanging="270"/>
        <w:divId w:val="137130112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26. </w:t>
      </w:r>
      <w:r w:rsidRPr="005D229F">
        <w:rPr>
          <w:rFonts w:ascii="Times New Roman" w:eastAsia="Times New Roman" w:hAnsi="Times New Roman" w:cs="Times New Roman"/>
          <w:color w:val="000000"/>
          <w:sz w:val="32"/>
          <w:szCs w:val="32"/>
          <w:lang w:eastAsia="uk-UA"/>
        </w:rPr>
        <w:t>Електронний ресурс - </w:t>
      </w:r>
      <w:hyperlink r:id="rId34" w:history="1">
        <w:r w:rsidRPr="005D229F">
          <w:rPr>
            <w:rFonts w:ascii="Times New Roman" w:eastAsia="Times New Roman" w:hAnsi="Times New Roman" w:cs="Times New Roman"/>
            <w:color w:val="0563C1"/>
            <w:sz w:val="32"/>
            <w:szCs w:val="32"/>
            <w:u w:val="single"/>
            <w:lang w:eastAsia="uk-UA"/>
          </w:rPr>
          <w:t>https://ec.europa.eu/eurostat/en/web/products-eurostat-news/-/ddn-20210429-1</w:t>
        </w:r>
      </w:hyperlink>
    </w:p>
    <w:p w:rsidR="005D229F" w:rsidRPr="005D229F" w:rsidRDefault="005D229F" w:rsidP="005D229F">
      <w:pPr>
        <w:spacing w:after="0" w:line="240" w:lineRule="auto"/>
        <w:ind w:hanging="270"/>
        <w:jc w:val="both"/>
        <w:divId w:val="111478451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27. </w:t>
      </w:r>
      <w:r w:rsidRPr="005D229F">
        <w:rPr>
          <w:rFonts w:ascii="Times New Roman" w:eastAsia="Times New Roman" w:hAnsi="Times New Roman" w:cs="Times New Roman"/>
          <w:color w:val="000000"/>
          <w:sz w:val="32"/>
          <w:szCs w:val="32"/>
          <w:lang w:eastAsia="uk-UA"/>
        </w:rPr>
        <w:t>Електронний ресурс - </w:t>
      </w:r>
      <w:hyperlink r:id="rId35" w:history="1">
        <w:r w:rsidRPr="005D229F">
          <w:rPr>
            <w:rFonts w:ascii="Times New Roman" w:eastAsia="Times New Roman" w:hAnsi="Times New Roman" w:cs="Times New Roman"/>
            <w:color w:val="0563C1"/>
            <w:sz w:val="32"/>
            <w:szCs w:val="32"/>
            <w:u w:val="single"/>
            <w:lang w:eastAsia="uk-UA"/>
          </w:rPr>
          <w:t>https://ec.europa.eu/eurostat/en/web/products-eurostat-news/-/ddn-20200709-01</w:t>
        </w:r>
      </w:hyperlink>
    </w:p>
    <w:p w:rsidR="005D229F" w:rsidRPr="005D229F" w:rsidRDefault="005D229F" w:rsidP="005D229F">
      <w:pPr>
        <w:spacing w:after="0" w:line="240" w:lineRule="auto"/>
        <w:ind w:hanging="270"/>
        <w:jc w:val="both"/>
        <w:divId w:val="131301868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28. </w:t>
      </w:r>
      <w:r w:rsidRPr="005D229F">
        <w:rPr>
          <w:rFonts w:ascii="Times New Roman" w:eastAsia="Times New Roman" w:hAnsi="Times New Roman" w:cs="Times New Roman"/>
          <w:color w:val="000000"/>
          <w:sz w:val="32"/>
          <w:szCs w:val="32"/>
          <w:lang w:eastAsia="uk-UA"/>
        </w:rPr>
        <w:t>Електронний ресурс - </w:t>
      </w:r>
      <w:hyperlink r:id="rId36" w:history="1">
        <w:r w:rsidRPr="005D229F">
          <w:rPr>
            <w:rFonts w:ascii="Times New Roman" w:eastAsia="Times New Roman" w:hAnsi="Times New Roman" w:cs="Times New Roman"/>
            <w:color w:val="0563C1"/>
            <w:sz w:val="32"/>
            <w:szCs w:val="32"/>
            <w:u w:val="single"/>
            <w:lang w:eastAsia="uk-UA"/>
          </w:rPr>
          <w:t>https://re-solutions.com.ua/ru/rus-pochty-kak-shvetsyya-zachem-ukrayna-pokupaet-musor-yz-evropy-tunysa-y-fylyppyn/</w:t>
        </w:r>
      </w:hyperlink>
    </w:p>
    <w:p w:rsidR="005D229F" w:rsidRPr="005D229F" w:rsidRDefault="005D229F" w:rsidP="005D229F">
      <w:pPr>
        <w:spacing w:after="0" w:line="240" w:lineRule="auto"/>
        <w:ind w:hanging="270"/>
        <w:jc w:val="both"/>
        <w:divId w:val="1249920248"/>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29. </w:t>
      </w:r>
      <w:r w:rsidRPr="005D229F">
        <w:rPr>
          <w:rFonts w:ascii="Times New Roman" w:eastAsia="Times New Roman" w:hAnsi="Times New Roman" w:cs="Times New Roman"/>
          <w:color w:val="000000"/>
          <w:sz w:val="32"/>
          <w:szCs w:val="32"/>
          <w:lang w:eastAsia="uk-UA"/>
        </w:rPr>
        <w:t>Електронний ресурс - </w:t>
      </w:r>
      <w:hyperlink r:id="rId37" w:history="1">
        <w:r w:rsidRPr="005D229F">
          <w:rPr>
            <w:rFonts w:ascii="Times New Roman" w:eastAsia="Times New Roman" w:hAnsi="Times New Roman" w:cs="Times New Roman"/>
            <w:color w:val="0563C1"/>
            <w:sz w:val="32"/>
            <w:szCs w:val="32"/>
            <w:u w:val="single"/>
            <w:lang w:eastAsia="uk-UA"/>
          </w:rPr>
          <w:t>https://www.epravda.com.ua/publications/2021/06/18/675131/</w:t>
        </w:r>
      </w:hyperlink>
    </w:p>
    <w:p w:rsidR="005D229F" w:rsidRPr="005D229F" w:rsidRDefault="005D229F" w:rsidP="005D229F">
      <w:pPr>
        <w:spacing w:after="0" w:line="240" w:lineRule="auto"/>
        <w:ind w:hanging="270"/>
        <w:divId w:val="179906002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30. </w:t>
      </w:r>
      <w:r w:rsidRPr="005D229F">
        <w:rPr>
          <w:rFonts w:ascii="Times New Roman" w:eastAsia="Times New Roman" w:hAnsi="Times New Roman" w:cs="Times New Roman"/>
          <w:color w:val="000000"/>
          <w:sz w:val="32"/>
          <w:szCs w:val="32"/>
          <w:lang w:eastAsia="uk-UA"/>
        </w:rPr>
        <w:t>Переробка сміття та вторсировина: “</w:t>
      </w:r>
      <w:hyperlink r:id="rId38" w:history="1">
        <w:r w:rsidRPr="005D229F">
          <w:rPr>
            <w:rFonts w:ascii="Times New Roman" w:eastAsia="Times New Roman" w:hAnsi="Times New Roman" w:cs="Times New Roman"/>
            <w:color w:val="1155CC"/>
            <w:sz w:val="32"/>
            <w:szCs w:val="32"/>
            <w:u w:val="single"/>
            <w:lang w:eastAsia="uk-UA"/>
          </w:rPr>
          <w:t>https://www.reline.com.ua/statti/pererobka-smittya-ta-vtorsyrovyna/</w:t>
        </w:r>
      </w:hyperlink>
      <w:r w:rsidRPr="005D229F">
        <w:rPr>
          <w:rFonts w:ascii="Times New Roman" w:eastAsia="Times New Roman" w:hAnsi="Times New Roman" w:cs="Times New Roman"/>
          <w:color w:val="000000"/>
          <w:sz w:val="32"/>
          <w:szCs w:val="32"/>
          <w:lang w:eastAsia="uk-UA"/>
        </w:rPr>
        <w:t>”</w:t>
      </w:r>
    </w:p>
    <w:p w:rsidR="005D229F" w:rsidRPr="005D229F" w:rsidRDefault="005D229F" w:rsidP="005D229F">
      <w:pPr>
        <w:spacing w:after="0" w:line="240" w:lineRule="auto"/>
        <w:ind w:hanging="270"/>
        <w:divId w:val="164766063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lastRenderedPageBreak/>
        <w:t>31. </w:t>
      </w:r>
      <w:r w:rsidRPr="005D229F">
        <w:rPr>
          <w:rFonts w:ascii="Times New Roman" w:eastAsia="Times New Roman" w:hAnsi="Times New Roman" w:cs="Times New Roman"/>
          <w:color w:val="000000"/>
          <w:sz w:val="32"/>
          <w:szCs w:val="32"/>
          <w:lang w:eastAsia="uk-UA"/>
        </w:rPr>
        <w:t>Внешняя торговля вторсырьем в ЕС: “</w:t>
      </w:r>
      <w:hyperlink r:id="rId39" w:history="1">
        <w:r w:rsidRPr="005D229F">
          <w:rPr>
            <w:rFonts w:ascii="Times New Roman" w:eastAsia="Times New Roman" w:hAnsi="Times New Roman" w:cs="Times New Roman"/>
            <w:color w:val="1155CC"/>
            <w:sz w:val="32"/>
            <w:szCs w:val="32"/>
            <w:u w:val="single"/>
            <w:lang w:eastAsia="uk-UA"/>
          </w:rPr>
          <w:t>https://www.waste.ru/modules/news/article.php?storyid=4877</w:t>
        </w:r>
      </w:hyperlink>
      <w:r w:rsidRPr="005D229F">
        <w:rPr>
          <w:rFonts w:ascii="Times New Roman" w:eastAsia="Times New Roman" w:hAnsi="Times New Roman" w:cs="Times New Roman"/>
          <w:color w:val="000000"/>
          <w:sz w:val="32"/>
          <w:szCs w:val="32"/>
          <w:lang w:eastAsia="uk-UA"/>
        </w:rPr>
        <w:t> ”</w:t>
      </w:r>
    </w:p>
    <w:p w:rsidR="005D229F" w:rsidRPr="005D229F" w:rsidRDefault="005D229F" w:rsidP="005D229F">
      <w:pPr>
        <w:spacing w:after="0" w:line="240" w:lineRule="auto"/>
        <w:ind w:hanging="270"/>
        <w:jc w:val="both"/>
        <w:divId w:val="197829440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32. </w:t>
      </w:r>
      <w:r w:rsidRPr="005D229F">
        <w:rPr>
          <w:rFonts w:ascii="Times New Roman" w:eastAsia="Times New Roman" w:hAnsi="Times New Roman" w:cs="Times New Roman"/>
          <w:color w:val="000000"/>
          <w:sz w:val="32"/>
          <w:szCs w:val="32"/>
          <w:lang w:eastAsia="uk-UA"/>
        </w:rPr>
        <w:t>EU trade in recyclable raw materials:“</w:t>
      </w:r>
      <w:hyperlink r:id="rId40" w:history="1">
        <w:r w:rsidRPr="005D229F">
          <w:rPr>
            <w:rFonts w:ascii="Times New Roman" w:eastAsia="Times New Roman" w:hAnsi="Times New Roman" w:cs="Times New Roman"/>
            <w:color w:val="1155CC"/>
            <w:sz w:val="32"/>
            <w:szCs w:val="32"/>
            <w:u w:val="single"/>
            <w:lang w:eastAsia="uk-UA"/>
          </w:rPr>
          <w:t>https://ec.europa.eu/eurostat/web/products-eurostat-news/-/ddn-20210429-1</w:t>
        </w:r>
      </w:hyperlink>
    </w:p>
    <w:p w:rsidR="005D229F" w:rsidRPr="005D229F" w:rsidRDefault="005D229F" w:rsidP="005D229F">
      <w:pPr>
        <w:spacing w:after="0" w:line="240" w:lineRule="auto"/>
        <w:ind w:hanging="270"/>
        <w:jc w:val="both"/>
        <w:divId w:val="39474358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33. </w:t>
      </w:r>
      <w:r w:rsidRPr="005D229F">
        <w:rPr>
          <w:rFonts w:ascii="Times New Roman" w:eastAsia="Times New Roman" w:hAnsi="Times New Roman" w:cs="Times New Roman"/>
          <w:color w:val="000000"/>
          <w:sz w:val="32"/>
          <w:szCs w:val="32"/>
          <w:lang w:eastAsia="uk-UA"/>
        </w:rPr>
        <w:t>OECD Statistics URL : https://stats.oecd.org.</w:t>
      </w:r>
    </w:p>
    <w:p w:rsidR="005D229F" w:rsidRPr="005D229F" w:rsidRDefault="005D229F" w:rsidP="005D229F">
      <w:pPr>
        <w:spacing w:after="0" w:line="240" w:lineRule="auto"/>
        <w:ind w:hanging="270"/>
        <w:jc w:val="both"/>
        <w:divId w:val="327557818"/>
        <w:rPr>
          <w:rFonts w:ascii="-webkit-standard" w:eastAsia="Times New Roman" w:hAnsi="-webkit-standard" w:cs="Times New Roman"/>
          <w:color w:val="000000"/>
          <w:sz w:val="27"/>
          <w:szCs w:val="27"/>
          <w:lang w:eastAsia="uk-UA"/>
        </w:rPr>
      </w:pPr>
      <w:r w:rsidRPr="005D229F">
        <w:rPr>
          <w:rFonts w:ascii="Times New Roman" w:eastAsia="Times New Roman" w:hAnsi="Times New Roman" w:cs="Times New Roman"/>
          <w:color w:val="000000"/>
          <w:sz w:val="14"/>
          <w:szCs w:val="14"/>
          <w:lang w:eastAsia="uk-UA"/>
        </w:rPr>
        <w:t>34. </w:t>
      </w:r>
      <w:r w:rsidRPr="005D229F">
        <w:rPr>
          <w:rFonts w:ascii="Times New Roman" w:eastAsia="Times New Roman" w:hAnsi="Times New Roman" w:cs="Times New Roman"/>
          <w:color w:val="000000"/>
          <w:sz w:val="32"/>
          <w:szCs w:val="32"/>
          <w:lang w:eastAsia="uk-UA"/>
        </w:rPr>
        <w:t>OECD. Effective Carbon Rates. URL :http://oe.cd/ECRinterpretation.</w:t>
      </w:r>
    </w:p>
    <w:p w:rsidR="005D229F" w:rsidRPr="005D229F" w:rsidRDefault="005D229F" w:rsidP="005D229F">
      <w:pPr>
        <w:spacing w:after="0" w:line="240" w:lineRule="auto"/>
        <w:ind w:hanging="270"/>
        <w:jc w:val="both"/>
        <w:divId w:val="1108112946"/>
        <w:rPr>
          <w:rFonts w:ascii="-webkit-standard" w:eastAsia="Times New Roman" w:hAnsi="-webkit-standard" w:cs="Times New Roman"/>
          <w:color w:val="000000"/>
          <w:sz w:val="27"/>
          <w:szCs w:val="27"/>
          <w:lang w:eastAsia="uk-UA"/>
        </w:rPr>
      </w:pPr>
      <w:r w:rsidRPr="005D229F">
        <w:rPr>
          <w:rFonts w:ascii="Times New Roman" w:eastAsia="Times New Roman" w:hAnsi="Times New Roman" w:cs="Times New Roman"/>
          <w:color w:val="000000"/>
          <w:sz w:val="14"/>
          <w:szCs w:val="14"/>
          <w:lang w:eastAsia="uk-UA"/>
        </w:rPr>
        <w:t>35. </w:t>
      </w:r>
      <w:r w:rsidRPr="005D229F">
        <w:rPr>
          <w:rFonts w:ascii="Times New Roman" w:eastAsia="Times New Roman" w:hAnsi="Times New Roman" w:cs="Times New Roman"/>
          <w:color w:val="000000"/>
          <w:sz w:val="32"/>
          <w:szCs w:val="32"/>
          <w:lang w:eastAsia="uk-UA"/>
        </w:rPr>
        <w:t>Office for National Statistics. The feasibility of measuring the sharing economy: URL:https://www.ons.gov.uk/economy/economicoutputand productivity/</w:t>
      </w:r>
      <w:r w:rsidRPr="005D229F">
        <w:rPr>
          <w:rFonts w:ascii="Times New Roman" w:eastAsia="Times New Roman" w:hAnsi="Times New Roman" w:cs="Times New Roman"/>
          <w:color w:val="000000"/>
          <w:sz w:val="32"/>
          <w:szCs w:val="32"/>
          <w:lang w:eastAsia="uk-UA"/>
        </w:rPr>
        <w:br/>
        <w:t>output/articles/thefeasibilityofmeasuringthesharingeconomy/november2017progressupdate.</w:t>
      </w:r>
    </w:p>
    <w:p w:rsidR="005D229F" w:rsidRPr="005D229F" w:rsidRDefault="005D229F" w:rsidP="005D229F">
      <w:pPr>
        <w:spacing w:after="0" w:line="240" w:lineRule="auto"/>
        <w:ind w:hanging="270"/>
        <w:jc w:val="both"/>
        <w:divId w:val="19713428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36. </w:t>
      </w:r>
      <w:r w:rsidRPr="005D229F">
        <w:rPr>
          <w:rFonts w:ascii="Times New Roman" w:eastAsia="Times New Roman" w:hAnsi="Times New Roman" w:cs="Times New Roman"/>
          <w:color w:val="000000"/>
          <w:sz w:val="32"/>
          <w:szCs w:val="32"/>
          <w:lang w:eastAsia="uk-UA"/>
        </w:rPr>
        <w:t>Patrick Schröder Can the circular economy design out inequality as well as waste? URL:https://www.ids.ac.uk/opinions/can-the-circular-economy-design-out-inequality-as-well-as-waste/.</w:t>
      </w:r>
    </w:p>
    <w:p w:rsidR="005D229F" w:rsidRPr="005D229F" w:rsidRDefault="005D229F" w:rsidP="005D229F">
      <w:pPr>
        <w:spacing w:after="0" w:line="240" w:lineRule="auto"/>
        <w:ind w:hanging="270"/>
        <w:jc w:val="both"/>
        <w:divId w:val="207238183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37. </w:t>
      </w:r>
      <w:r w:rsidRPr="005D229F">
        <w:rPr>
          <w:rFonts w:ascii="Times New Roman" w:eastAsia="Times New Roman" w:hAnsi="Times New Roman" w:cs="Times New Roman"/>
          <w:color w:val="000000"/>
          <w:sz w:val="32"/>
          <w:szCs w:val="32"/>
          <w:lang w:eastAsia="uk-UA"/>
        </w:rPr>
        <w:t>Planbureau voor de Leefomgeving. Scarcity in a sea of plenty? Global resource scarcities and policiesin the European Union and the Netherlands. TheHague: PBL / Netherlands EnvironmentalAssessment Agency. 2011. URL:http://www.pbl.nl/sites/default/files/cms/publicaties/500167001_0.pdf.</w:t>
      </w:r>
    </w:p>
    <w:p w:rsidR="005D229F" w:rsidRPr="005D229F" w:rsidRDefault="005D229F" w:rsidP="005D229F">
      <w:pPr>
        <w:spacing w:after="0" w:line="240" w:lineRule="auto"/>
        <w:ind w:hanging="270"/>
        <w:jc w:val="both"/>
        <w:divId w:val="57431428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38. </w:t>
      </w:r>
      <w:r w:rsidRPr="005D229F">
        <w:rPr>
          <w:rFonts w:ascii="Times New Roman" w:eastAsia="Times New Roman" w:hAnsi="Times New Roman" w:cs="Times New Roman"/>
          <w:color w:val="000000"/>
          <w:sz w:val="32"/>
          <w:szCs w:val="32"/>
          <w:lang w:eastAsia="uk-UA"/>
        </w:rPr>
        <w:t>Plastic Waste: a European strategy to protect theplanet, defend our citizens and empower ourindustries. URL :</w:t>
      </w:r>
      <w:hyperlink r:id="rId41" w:history="1">
        <w:r w:rsidRPr="005D229F">
          <w:rPr>
            <w:rFonts w:ascii="Times New Roman" w:eastAsia="Times New Roman" w:hAnsi="Times New Roman" w:cs="Times New Roman"/>
            <w:color w:val="0563C1"/>
            <w:sz w:val="32"/>
            <w:szCs w:val="32"/>
            <w:u w:val="single"/>
            <w:lang w:eastAsia="uk-UA"/>
          </w:rPr>
          <w:t>http://ec.europa.eu/growth/content/plastic-waste-european-strategy-protect-planet-defend-our-citizens-and-empower-our_en</w:t>
        </w:r>
      </w:hyperlink>
      <w:r w:rsidRPr="005D229F">
        <w:rPr>
          <w:rFonts w:ascii="Times New Roman" w:eastAsia="Times New Roman" w:hAnsi="Times New Roman" w:cs="Times New Roman"/>
          <w:color w:val="0563C1"/>
          <w:sz w:val="32"/>
          <w:szCs w:val="32"/>
          <w:u w:val="single"/>
          <w:lang w:eastAsia="uk-UA"/>
        </w:rPr>
        <w:t>.</w:t>
      </w:r>
    </w:p>
    <w:p w:rsidR="005D229F" w:rsidRPr="005D229F" w:rsidRDefault="005D229F" w:rsidP="005D229F">
      <w:pPr>
        <w:spacing w:after="0" w:line="240" w:lineRule="auto"/>
        <w:ind w:hanging="270"/>
        <w:jc w:val="both"/>
        <w:divId w:val="103508050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39. </w:t>
      </w:r>
      <w:bookmarkStart w:id="0" w:name="_Hlk492682086"/>
      <w:bookmarkEnd w:id="0"/>
      <w:r w:rsidRPr="005D229F">
        <w:rPr>
          <w:rFonts w:ascii="Times New Roman" w:eastAsia="Times New Roman" w:hAnsi="Times New Roman" w:cs="Times New Roman"/>
          <w:color w:val="000000"/>
          <w:sz w:val="32"/>
          <w:szCs w:val="32"/>
          <w:lang w:eastAsia="uk-UA"/>
        </w:rPr>
        <w:t>Pleyers G. Alter-globalization: Becoming actors in a global age. Cambridge : Polity Press, 2013.</w:t>
      </w:r>
    </w:p>
    <w:p w:rsidR="005D229F" w:rsidRPr="005D229F" w:rsidRDefault="005D229F" w:rsidP="005D229F">
      <w:pPr>
        <w:spacing w:after="0" w:line="240" w:lineRule="auto"/>
        <w:ind w:hanging="270"/>
        <w:jc w:val="both"/>
        <w:divId w:val="143583089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40. </w:t>
      </w:r>
      <w:r w:rsidRPr="005D229F">
        <w:rPr>
          <w:rFonts w:ascii="Times New Roman" w:eastAsia="Times New Roman" w:hAnsi="Times New Roman" w:cs="Times New Roman"/>
          <w:color w:val="000000"/>
          <w:sz w:val="32"/>
          <w:szCs w:val="32"/>
          <w:lang w:eastAsia="uk-UA"/>
        </w:rPr>
        <w:t>Policy levers for a low-carbon circular economy. URL :  </w:t>
      </w:r>
      <w:hyperlink r:id="rId42" w:history="1">
        <w:r w:rsidRPr="005D229F">
          <w:rPr>
            <w:rFonts w:ascii="Times New Roman" w:eastAsia="Times New Roman" w:hAnsi="Times New Roman" w:cs="Times New Roman"/>
            <w:color w:val="0563C1"/>
            <w:sz w:val="32"/>
            <w:szCs w:val="32"/>
            <w:u w:val="single"/>
            <w:shd w:val="clear" w:color="auto" w:fill="FFFFFF"/>
            <w:lang w:eastAsia="uk-UA"/>
          </w:rPr>
          <w:t>https://www.circle-economy.com/low-carbon-circular-econo</w:t>
        </w:r>
      </w:hyperlink>
      <w:r w:rsidRPr="005D229F">
        <w:rPr>
          <w:rFonts w:ascii="Times New Roman" w:eastAsia="Times New Roman" w:hAnsi="Times New Roman" w:cs="Times New Roman"/>
          <w:color w:val="000000"/>
          <w:sz w:val="32"/>
          <w:szCs w:val="32"/>
          <w:shd w:val="clear" w:color="auto" w:fill="FFFFFF"/>
          <w:lang w:eastAsia="uk-UA"/>
        </w:rPr>
        <w:t>.</w:t>
      </w:r>
    </w:p>
    <w:p w:rsidR="005D229F" w:rsidRPr="005D229F" w:rsidRDefault="005D229F" w:rsidP="005D229F">
      <w:pPr>
        <w:spacing w:after="0" w:line="240" w:lineRule="auto"/>
        <w:ind w:hanging="270"/>
        <w:jc w:val="both"/>
        <w:divId w:val="10342566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41. </w:t>
      </w:r>
      <w:r w:rsidRPr="005D229F">
        <w:rPr>
          <w:rFonts w:ascii="Times New Roman" w:eastAsia="Times New Roman" w:hAnsi="Times New Roman" w:cs="Times New Roman"/>
          <w:color w:val="000000"/>
          <w:sz w:val="32"/>
          <w:szCs w:val="32"/>
          <w:shd w:val="clear" w:color="auto" w:fill="FFFFFF"/>
          <w:lang w:eastAsia="uk-UA"/>
        </w:rPr>
        <w:t>Porter M., Kramer M. Creating shared value. Harvard Business Review. January–February 2011. P.62-67.</w:t>
      </w:r>
    </w:p>
    <w:p w:rsidR="005D229F" w:rsidRPr="005D229F" w:rsidRDefault="005D229F" w:rsidP="005D229F">
      <w:pPr>
        <w:spacing w:after="0" w:line="240" w:lineRule="auto"/>
        <w:ind w:hanging="270"/>
        <w:jc w:val="both"/>
        <w:divId w:val="28176465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42. </w:t>
      </w:r>
      <w:r w:rsidRPr="005D229F">
        <w:rPr>
          <w:rFonts w:ascii="Times New Roman" w:eastAsia="Times New Roman" w:hAnsi="Times New Roman" w:cs="Times New Roman"/>
          <w:color w:val="000000"/>
          <w:sz w:val="32"/>
          <w:szCs w:val="32"/>
          <w:lang w:eastAsia="uk-UA"/>
        </w:rPr>
        <w:t>Preston F. A Global Redesign? Shaping the Circular Economy. URL :</w:t>
      </w:r>
      <w:hyperlink r:id="rId43" w:history="1">
        <w:r w:rsidRPr="005D229F">
          <w:rPr>
            <w:rFonts w:ascii="Times New Roman" w:eastAsia="Times New Roman" w:hAnsi="Times New Roman" w:cs="Times New Roman"/>
            <w:color w:val="0563C1"/>
            <w:sz w:val="32"/>
            <w:szCs w:val="32"/>
            <w:u w:val="single"/>
            <w:lang w:eastAsia="uk-UA"/>
          </w:rPr>
          <w:t>http://www.chathamhouse.org/</w:t>
        </w:r>
      </w:hyperlink>
      <w:r w:rsidRPr="005D229F">
        <w:rPr>
          <w:rFonts w:ascii="Times New Roman" w:eastAsia="Times New Roman" w:hAnsi="Times New Roman" w:cs="Times New Roman"/>
          <w:color w:val="000000"/>
          <w:sz w:val="32"/>
          <w:szCs w:val="32"/>
          <w:lang w:eastAsia="uk-UA"/>
        </w:rPr>
        <w:t>.</w:t>
      </w:r>
    </w:p>
    <w:p w:rsidR="005D229F" w:rsidRPr="005D229F" w:rsidRDefault="005D229F" w:rsidP="005D229F">
      <w:pPr>
        <w:spacing w:after="0" w:line="240" w:lineRule="auto"/>
        <w:ind w:hanging="270"/>
        <w:jc w:val="both"/>
        <w:divId w:val="400445813"/>
        <w:rPr>
          <w:rFonts w:ascii="-webkit-standard" w:eastAsia="Times New Roman" w:hAnsi="-webkit-standard" w:cs="Times New Roman"/>
          <w:color w:val="000000"/>
          <w:sz w:val="27"/>
          <w:szCs w:val="27"/>
          <w:lang w:eastAsia="uk-UA"/>
        </w:rPr>
      </w:pPr>
      <w:r w:rsidRPr="005D229F">
        <w:rPr>
          <w:rFonts w:ascii="Times New Roman" w:eastAsia="Times New Roman" w:hAnsi="Times New Roman" w:cs="Times New Roman"/>
          <w:color w:val="000000"/>
          <w:sz w:val="14"/>
          <w:szCs w:val="14"/>
          <w:lang w:eastAsia="uk-UA"/>
        </w:rPr>
        <w:t>43. </w:t>
      </w:r>
      <w:bookmarkStart w:id="1" w:name="_Hlk536436233"/>
      <w:bookmarkEnd w:id="1"/>
      <w:r w:rsidRPr="005D229F">
        <w:rPr>
          <w:rFonts w:ascii="Times New Roman" w:eastAsia="Times New Roman" w:hAnsi="Times New Roman" w:cs="Times New Roman"/>
          <w:color w:val="000000"/>
          <w:sz w:val="32"/>
          <w:szCs w:val="32"/>
          <w:lang w:eastAsia="uk-UA"/>
        </w:rPr>
        <w:t>Probst L., Frideres L., Cambier B., Lidé S. Sustainable supply of raw materials. Optimal recycling. Eurostat.eu February. 2016.</w:t>
      </w:r>
    </w:p>
    <w:p w:rsidR="005D229F" w:rsidRPr="005D229F" w:rsidRDefault="005D229F" w:rsidP="005D229F">
      <w:pPr>
        <w:spacing w:after="0" w:line="240" w:lineRule="auto"/>
        <w:ind w:hanging="270"/>
        <w:jc w:val="both"/>
        <w:divId w:val="135269918"/>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44. </w:t>
      </w:r>
      <w:r w:rsidRPr="005D229F">
        <w:rPr>
          <w:rFonts w:ascii="Times New Roman" w:eastAsia="Times New Roman" w:hAnsi="Times New Roman" w:cs="Times New Roman"/>
          <w:color w:val="000000"/>
          <w:sz w:val="32"/>
          <w:szCs w:val="32"/>
          <w:lang w:eastAsia="uk-UA"/>
        </w:rPr>
        <w:t>Prospects for electric vehicle batteries  in a circular economy Eleanor Drabik and Vasileios Rizos. 2018.July.https://www.ceps.eu/system/files/RR%202018_</w:t>
      </w:r>
      <w:r w:rsidRPr="005D229F">
        <w:rPr>
          <w:rFonts w:ascii="Times New Roman" w:eastAsia="Times New Roman" w:hAnsi="Times New Roman" w:cs="Times New Roman"/>
          <w:color w:val="000000"/>
          <w:sz w:val="32"/>
          <w:szCs w:val="32"/>
          <w:lang w:eastAsia="uk-UA"/>
        </w:rPr>
        <w:br/>
        <w:t>05_Circular%20Impacts_batteries.pdf.</w:t>
      </w:r>
    </w:p>
    <w:p w:rsidR="005D229F" w:rsidRPr="005D229F" w:rsidRDefault="005D229F" w:rsidP="005D229F">
      <w:pPr>
        <w:spacing w:after="0" w:line="240" w:lineRule="auto"/>
        <w:ind w:hanging="270"/>
        <w:jc w:val="both"/>
        <w:divId w:val="80478336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lastRenderedPageBreak/>
        <w:t>45. </w:t>
      </w:r>
      <w:r w:rsidRPr="005D229F">
        <w:rPr>
          <w:rFonts w:ascii="Times New Roman" w:eastAsia="Times New Roman" w:hAnsi="Times New Roman" w:cs="Times New Roman"/>
          <w:color w:val="000000"/>
          <w:sz w:val="32"/>
          <w:szCs w:val="32"/>
          <w:lang w:eastAsia="uk-UA"/>
        </w:rPr>
        <w:t>Report of the Commission on SustainableDevelopment acting as the preparatory committeefor the World Summit on Sustainable Development. Organizational session (30 April–2 May 2001).</w:t>
      </w:r>
    </w:p>
    <w:p w:rsidR="005D229F" w:rsidRPr="005D229F" w:rsidRDefault="005D229F" w:rsidP="005D229F">
      <w:pPr>
        <w:spacing w:after="0" w:line="240" w:lineRule="auto"/>
        <w:ind w:hanging="270"/>
        <w:jc w:val="both"/>
        <w:divId w:val="1251426220"/>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46. </w:t>
      </w:r>
      <w:r w:rsidRPr="005D229F">
        <w:rPr>
          <w:rFonts w:ascii="Times New Roman" w:eastAsia="Times New Roman" w:hAnsi="Times New Roman" w:cs="Times New Roman"/>
          <w:color w:val="000000"/>
          <w:sz w:val="32"/>
          <w:szCs w:val="32"/>
          <w:lang w:eastAsia="uk-UA"/>
        </w:rPr>
        <w:t>Research and Innovation for the Circular Economy. HORIZON 2020 Societal Challenge 5 – French brokerage event about circular economy and water.Paris, 2016. URL: http://cache.media.education.gouv.fr/file/2016/31/1/02_</w:t>
      </w:r>
      <w:r w:rsidRPr="005D229F">
        <w:rPr>
          <w:rFonts w:ascii="Times New Roman" w:eastAsia="Times New Roman" w:hAnsi="Times New Roman" w:cs="Times New Roman"/>
          <w:color w:val="000000"/>
          <w:sz w:val="32"/>
          <w:szCs w:val="32"/>
          <w:lang w:eastAsia="uk-UA"/>
        </w:rPr>
        <w:br/>
        <w:t>infoday_ecocirc_20161209_balabanis_retI_685311.pdf.</w:t>
      </w:r>
    </w:p>
    <w:p w:rsidR="005D229F" w:rsidRPr="005D229F" w:rsidRDefault="005D229F" w:rsidP="005D229F">
      <w:pPr>
        <w:spacing w:after="0" w:line="240" w:lineRule="auto"/>
        <w:ind w:hanging="270"/>
        <w:jc w:val="both"/>
        <w:divId w:val="1024331726"/>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47. </w:t>
      </w:r>
      <w:r w:rsidRPr="005D229F">
        <w:rPr>
          <w:rFonts w:ascii="Times New Roman" w:eastAsia="Times New Roman" w:hAnsi="Times New Roman" w:cs="Times New Roman"/>
          <w:color w:val="000000"/>
          <w:sz w:val="32"/>
          <w:szCs w:val="32"/>
          <w:lang w:eastAsia="uk-UA"/>
        </w:rPr>
        <w:t>ReThink,  2018. Карта обмежень обігу поліетиленових пакетів у світі. URL: </w:t>
      </w:r>
      <w:hyperlink r:id="rId44" w:history="1">
        <w:r w:rsidRPr="005D229F">
          <w:rPr>
            <w:rFonts w:ascii="Times New Roman" w:eastAsia="Times New Roman" w:hAnsi="Times New Roman" w:cs="Times New Roman"/>
            <w:color w:val="0563C1"/>
            <w:sz w:val="32"/>
            <w:szCs w:val="32"/>
            <w:u w:val="single"/>
            <w:lang w:eastAsia="uk-UA"/>
          </w:rPr>
          <w:t>https://rethink.com.ua/uk/materials/plastic-bags/karta-obmezhen-obigu-polietilenovikh-paketiv</w:t>
        </w:r>
      </w:hyperlink>
      <w:r w:rsidRPr="005D229F">
        <w:rPr>
          <w:rFonts w:ascii="Times New Roman" w:eastAsia="Times New Roman" w:hAnsi="Times New Roman" w:cs="Times New Roman"/>
          <w:color w:val="0563C1"/>
          <w:sz w:val="32"/>
          <w:szCs w:val="32"/>
          <w:u w:val="single"/>
          <w:lang w:eastAsia="uk-UA"/>
        </w:rPr>
        <w:t>.</w:t>
      </w:r>
    </w:p>
    <w:p w:rsidR="005D229F" w:rsidRPr="005D229F" w:rsidRDefault="005D229F" w:rsidP="005D229F">
      <w:pPr>
        <w:spacing w:after="0" w:line="240" w:lineRule="auto"/>
        <w:ind w:hanging="270"/>
        <w:jc w:val="both"/>
        <w:divId w:val="1578588791"/>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48. </w:t>
      </w:r>
      <w:r w:rsidRPr="005D229F">
        <w:rPr>
          <w:rFonts w:ascii="Times New Roman" w:eastAsia="Times New Roman" w:hAnsi="Times New Roman" w:cs="Times New Roman"/>
          <w:color w:val="000000"/>
          <w:sz w:val="32"/>
          <w:szCs w:val="32"/>
          <w:lang w:eastAsia="uk-UA"/>
        </w:rPr>
        <w:t>Rizos V., Behrens А., Kafyeke T, Hirschnitz-Garbers M., Ioannou A. The Circular Economy: Barriers and Opportunities for SMEs. No. 412 / September 2015. URL :</w:t>
      </w:r>
      <w:hyperlink r:id="rId45" w:history="1">
        <w:r w:rsidRPr="005D229F">
          <w:rPr>
            <w:rFonts w:ascii="Times New Roman" w:eastAsia="Times New Roman" w:hAnsi="Times New Roman" w:cs="Times New Roman"/>
            <w:color w:val="0563C1"/>
            <w:sz w:val="32"/>
            <w:szCs w:val="32"/>
            <w:u w:val="single"/>
            <w:lang w:eastAsia="uk-UA"/>
          </w:rPr>
          <w:t>https://www.ceps.eu/system/files/WD412%20GreenEconet%20SMEs%20Circular%20Economy.pdf/</w:t>
        </w:r>
      </w:hyperlink>
      <w:r w:rsidRPr="005D229F">
        <w:rPr>
          <w:rFonts w:ascii="Times New Roman" w:eastAsia="Times New Roman" w:hAnsi="Times New Roman" w:cs="Times New Roman"/>
          <w:color w:val="000000"/>
          <w:sz w:val="32"/>
          <w:szCs w:val="32"/>
          <w:lang w:eastAsia="uk-UA"/>
        </w:rPr>
        <w:t>.</w:t>
      </w:r>
    </w:p>
    <w:p w:rsidR="005D229F" w:rsidRPr="005D229F" w:rsidRDefault="005D229F" w:rsidP="005D229F">
      <w:pPr>
        <w:spacing w:after="0" w:line="240" w:lineRule="auto"/>
        <w:ind w:hanging="270"/>
        <w:jc w:val="both"/>
        <w:divId w:val="101005945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49. </w:t>
      </w:r>
      <w:r w:rsidRPr="005D229F">
        <w:rPr>
          <w:rFonts w:ascii="Times New Roman" w:eastAsia="Times New Roman" w:hAnsi="Times New Roman" w:cs="Times New Roman"/>
          <w:color w:val="000000"/>
          <w:sz w:val="32"/>
          <w:szCs w:val="32"/>
          <w:lang w:eastAsia="uk-UA"/>
        </w:rPr>
        <w:t>Черкас А. Екологічні виклики сьогодення: які шляхи подолання? URL :http://iac.org.ua/ekologichni-vikliki-sogodennya-yaki-shlyahi-podolannya/.</w:t>
      </w:r>
    </w:p>
    <w:p w:rsidR="005D229F" w:rsidRPr="005D229F" w:rsidRDefault="005D229F" w:rsidP="005D229F">
      <w:pPr>
        <w:spacing w:after="0" w:line="240" w:lineRule="auto"/>
        <w:ind w:hanging="270"/>
        <w:jc w:val="both"/>
        <w:divId w:val="125370880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50. </w:t>
      </w:r>
      <w:r w:rsidRPr="005D229F">
        <w:rPr>
          <w:rFonts w:ascii="Times New Roman" w:eastAsia="Times New Roman" w:hAnsi="Times New Roman" w:cs="Times New Roman"/>
          <w:color w:val="000000"/>
          <w:sz w:val="32"/>
          <w:szCs w:val="32"/>
          <w:lang w:eastAsia="uk-UA"/>
        </w:rPr>
        <w:t>Четвёртая промышленная революция: Интернетвещей, циркулярная экономика и блокчейн.  URL : http://www.furfur.me/furfur/changes/</w:t>
      </w:r>
      <w:r w:rsidRPr="005D229F">
        <w:rPr>
          <w:rFonts w:ascii="Times New Roman" w:eastAsia="Times New Roman" w:hAnsi="Times New Roman" w:cs="Times New Roman"/>
          <w:color w:val="000000"/>
          <w:sz w:val="32"/>
          <w:szCs w:val="32"/>
          <w:lang w:eastAsia="uk-UA"/>
        </w:rPr>
        <w:br/>
        <w:t>changes/216447-4-aya-promyshlennaya-revolyutsiya.</w:t>
      </w:r>
    </w:p>
    <w:p w:rsidR="005D229F" w:rsidRPr="005D229F" w:rsidRDefault="005D229F" w:rsidP="005D229F">
      <w:pPr>
        <w:spacing w:after="0" w:line="240" w:lineRule="auto"/>
        <w:ind w:hanging="270"/>
        <w:jc w:val="both"/>
        <w:divId w:val="83900938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51. </w:t>
      </w:r>
      <w:r w:rsidRPr="005D229F">
        <w:rPr>
          <w:rFonts w:ascii="Times New Roman" w:eastAsia="Times New Roman" w:hAnsi="Times New Roman" w:cs="Times New Roman"/>
          <w:color w:val="000000"/>
          <w:sz w:val="32"/>
          <w:szCs w:val="32"/>
          <w:lang w:eastAsia="uk-UA"/>
        </w:rPr>
        <w:t>Чудеса циркулярной экономики: обувь изиспользованных бутылок и шин. URL :</w:t>
      </w:r>
      <w:hyperlink r:id="rId46" w:history="1">
        <w:r w:rsidRPr="005D229F">
          <w:rPr>
            <w:rFonts w:ascii="Times New Roman" w:eastAsia="Times New Roman" w:hAnsi="Times New Roman" w:cs="Times New Roman"/>
            <w:color w:val="0563C1"/>
            <w:sz w:val="32"/>
            <w:szCs w:val="32"/>
            <w:u w:val="single"/>
            <w:lang w:eastAsia="uk-UA"/>
          </w:rPr>
          <w:t>http://www.bakertilly.ua/ru/news/id1065</w:t>
        </w:r>
      </w:hyperlink>
      <w:r w:rsidRPr="005D229F">
        <w:rPr>
          <w:rFonts w:ascii="Times New Roman" w:eastAsia="Times New Roman" w:hAnsi="Times New Roman" w:cs="Times New Roman"/>
          <w:color w:val="0563C1"/>
          <w:sz w:val="32"/>
          <w:szCs w:val="32"/>
          <w:u w:val="single"/>
          <w:lang w:eastAsia="uk-UA"/>
        </w:rPr>
        <w:t>.</w:t>
      </w:r>
    </w:p>
    <w:p w:rsidR="005D229F" w:rsidRPr="005D229F" w:rsidRDefault="005D229F" w:rsidP="005D229F">
      <w:pPr>
        <w:spacing w:after="0" w:line="240" w:lineRule="auto"/>
        <w:ind w:hanging="270"/>
        <w:jc w:val="both"/>
        <w:divId w:val="1931347495"/>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52. </w:t>
      </w:r>
      <w:r w:rsidRPr="005D229F">
        <w:rPr>
          <w:rFonts w:ascii="Times New Roman" w:eastAsia="Times New Roman" w:hAnsi="Times New Roman" w:cs="Times New Roman"/>
          <w:color w:val="000000"/>
          <w:sz w:val="32"/>
          <w:szCs w:val="32"/>
          <w:lang w:eastAsia="uk-UA"/>
        </w:rPr>
        <w:t>Шосте національне повідомлення України з питань зміни клімату. URL :</w:t>
      </w:r>
      <w:hyperlink r:id="rId47" w:history="1">
        <w:r w:rsidRPr="005D229F">
          <w:rPr>
            <w:rFonts w:ascii="Times New Roman" w:eastAsia="Times New Roman" w:hAnsi="Times New Roman" w:cs="Times New Roman"/>
            <w:color w:val="0563C1"/>
            <w:sz w:val="32"/>
            <w:szCs w:val="32"/>
            <w:u w:val="single"/>
            <w:lang w:eastAsia="uk-UA"/>
          </w:rPr>
          <w:t>http://unfccc.int/national_reports/national_communications_and_biennial_reports/submissions/items/7742.php</w:t>
        </w:r>
      </w:hyperlink>
      <w:r w:rsidRPr="005D229F">
        <w:rPr>
          <w:rFonts w:ascii="Times New Roman" w:eastAsia="Times New Roman" w:hAnsi="Times New Roman" w:cs="Times New Roman"/>
          <w:color w:val="000000"/>
          <w:sz w:val="32"/>
          <w:szCs w:val="32"/>
          <w:lang w:eastAsia="uk-UA"/>
        </w:rPr>
        <w:t>.</w:t>
      </w:r>
    </w:p>
    <w:p w:rsidR="005D229F" w:rsidRPr="005D229F" w:rsidRDefault="005D229F" w:rsidP="005D229F">
      <w:pPr>
        <w:spacing w:after="0" w:line="240" w:lineRule="auto"/>
        <w:ind w:hanging="270"/>
        <w:jc w:val="both"/>
        <w:divId w:val="379793374"/>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53. </w:t>
      </w:r>
      <w:r w:rsidRPr="005D229F">
        <w:rPr>
          <w:rFonts w:ascii="Times New Roman" w:eastAsia="Times New Roman" w:hAnsi="Times New Roman" w:cs="Times New Roman"/>
          <w:color w:val="000000"/>
          <w:sz w:val="32"/>
          <w:szCs w:val="32"/>
          <w:lang w:eastAsia="uk-UA"/>
        </w:rPr>
        <w:t>10 Key Indicators  for Monitoring the CircularEconomy. URL: </w:t>
      </w:r>
      <w:hyperlink r:id="rId48" w:history="1">
        <w:r w:rsidRPr="005D229F">
          <w:rPr>
            <w:rFonts w:ascii="Times New Roman" w:eastAsia="Times New Roman" w:hAnsi="Times New Roman" w:cs="Times New Roman"/>
            <w:color w:val="0563C1"/>
            <w:sz w:val="32"/>
            <w:szCs w:val="32"/>
            <w:u w:val="single"/>
            <w:shd w:val="clear" w:color="auto" w:fill="FFFFFF"/>
            <w:lang w:eastAsia="uk-UA"/>
          </w:rPr>
          <w:t>www.statistiques.developpement-durable.gouv.fr/.../datalab-</w:t>
        </w:r>
      </w:hyperlink>
      <w:r w:rsidRPr="005D229F">
        <w:rPr>
          <w:rFonts w:ascii="Times New Roman" w:eastAsia="Times New Roman" w:hAnsi="Times New Roman" w:cs="Times New Roman"/>
          <w:color w:val="0563C1"/>
          <w:sz w:val="32"/>
          <w:szCs w:val="32"/>
          <w:u w:val="single"/>
          <w:shd w:val="clear" w:color="auto" w:fill="FFFFFF"/>
          <w:lang w:eastAsia="uk-UA"/>
        </w:rPr>
        <w:t>.</w:t>
      </w:r>
    </w:p>
    <w:p w:rsidR="005D229F" w:rsidRPr="005D229F" w:rsidRDefault="005D229F" w:rsidP="005D229F">
      <w:pPr>
        <w:spacing w:after="0" w:line="240" w:lineRule="auto"/>
        <w:ind w:hanging="270"/>
        <w:jc w:val="both"/>
        <w:divId w:val="1900163217"/>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54. </w:t>
      </w:r>
      <w:r w:rsidRPr="005D229F">
        <w:rPr>
          <w:rFonts w:ascii="Times New Roman" w:eastAsia="Times New Roman" w:hAnsi="Times New Roman" w:cs="Times New Roman"/>
          <w:color w:val="000000"/>
          <w:sz w:val="32"/>
          <w:szCs w:val="32"/>
          <w:lang w:eastAsia="uk-UA"/>
        </w:rPr>
        <w:t>10 Key Indicators  for Monitoring the CircularEconomy. URL: </w:t>
      </w:r>
      <w:r w:rsidRPr="005D229F">
        <w:rPr>
          <w:rFonts w:ascii="Times New Roman" w:eastAsia="Times New Roman" w:hAnsi="Times New Roman" w:cs="Times New Roman"/>
          <w:color w:val="000000"/>
          <w:sz w:val="32"/>
          <w:szCs w:val="32"/>
          <w:shd w:val="clear" w:color="auto" w:fill="FFFFFF"/>
          <w:lang w:eastAsia="uk-UA"/>
        </w:rPr>
        <w:t>www.statistiques.developpement-durable.gouv.fr/.../datalab-.</w:t>
      </w:r>
    </w:p>
    <w:p w:rsidR="005D229F" w:rsidRPr="005D229F" w:rsidRDefault="005D229F" w:rsidP="005D229F">
      <w:pPr>
        <w:spacing w:after="0" w:line="240" w:lineRule="auto"/>
        <w:ind w:hanging="270"/>
        <w:jc w:val="both"/>
        <w:divId w:val="1241333044"/>
        <w:rPr>
          <w:rFonts w:ascii="-webkit-standard" w:eastAsia="Times New Roman" w:hAnsi="-webkit-standard" w:cs="Times New Roman"/>
          <w:color w:val="000000"/>
          <w:sz w:val="27"/>
          <w:szCs w:val="27"/>
          <w:lang w:eastAsia="uk-UA"/>
        </w:rPr>
      </w:pPr>
      <w:r w:rsidRPr="005D229F">
        <w:rPr>
          <w:rFonts w:ascii="Calibri Light" w:eastAsia="Times New Roman" w:hAnsi="Calibri Light" w:cs="Times New Roman"/>
          <w:color w:val="2E74B5"/>
          <w:sz w:val="24"/>
          <w:szCs w:val="24"/>
          <w:lang w:eastAsia="uk-UA"/>
        </w:rPr>
        <w:t>55. </w:t>
      </w:r>
      <w:r w:rsidRPr="005D229F">
        <w:rPr>
          <w:rFonts w:ascii="Times New Roman" w:eastAsia="Times New Roman" w:hAnsi="Times New Roman" w:cs="Times New Roman"/>
          <w:color w:val="000000"/>
          <w:sz w:val="32"/>
          <w:szCs w:val="32"/>
          <w:lang w:eastAsia="uk-UA"/>
        </w:rPr>
        <w:t>Rethinking the future. Our transition towards a circular economy. URL :</w:t>
      </w:r>
      <w:hyperlink r:id="rId49" w:history="1">
        <w:r w:rsidRPr="005D229F">
          <w:rPr>
            <w:rFonts w:ascii="Times New Roman" w:eastAsia="Times New Roman" w:hAnsi="Times New Roman" w:cs="Times New Roman"/>
            <w:color w:val="000000"/>
            <w:sz w:val="32"/>
            <w:szCs w:val="32"/>
            <w:u w:val="single"/>
            <w:lang w:eastAsia="uk-UA"/>
          </w:rPr>
          <w:t>http://www.philips.com/aw/about/sustainability/sustainable-planet/circular-economy.html</w:t>
        </w:r>
      </w:hyperlink>
      <w:r w:rsidRPr="005D229F">
        <w:rPr>
          <w:rFonts w:ascii="Times New Roman" w:eastAsia="Times New Roman" w:hAnsi="Times New Roman" w:cs="Times New Roman"/>
          <w:color w:val="000000"/>
          <w:sz w:val="32"/>
          <w:szCs w:val="32"/>
          <w:u w:val="single"/>
          <w:lang w:eastAsia="uk-UA"/>
        </w:rPr>
        <w:t>.</w:t>
      </w:r>
    </w:p>
    <w:p w:rsidR="005D229F" w:rsidRPr="005D229F" w:rsidRDefault="005D229F" w:rsidP="005D229F">
      <w:pPr>
        <w:spacing w:after="0" w:line="240" w:lineRule="auto"/>
        <w:ind w:hanging="270"/>
        <w:jc w:val="both"/>
        <w:divId w:val="409347073"/>
        <w:rPr>
          <w:rFonts w:ascii="-webkit-standard" w:eastAsia="Times New Roman" w:hAnsi="-webkit-standard" w:cs="Times New Roman"/>
          <w:color w:val="000000"/>
          <w:sz w:val="27"/>
          <w:szCs w:val="27"/>
          <w:lang w:eastAsia="uk-UA"/>
        </w:rPr>
      </w:pPr>
      <w:r w:rsidRPr="005D229F">
        <w:rPr>
          <w:rFonts w:ascii="-webkit-standard" w:eastAsia="Times New Roman" w:hAnsi="-webkit-standard" w:cs="Times New Roman"/>
          <w:color w:val="000000"/>
          <w:sz w:val="27"/>
          <w:szCs w:val="27"/>
          <w:lang w:eastAsia="uk-UA"/>
        </w:rPr>
        <w:t>56. </w:t>
      </w:r>
      <w:r w:rsidRPr="005D229F">
        <w:rPr>
          <w:rFonts w:ascii="Times New Roman" w:eastAsia="Times New Roman" w:hAnsi="Times New Roman" w:cs="Times New Roman"/>
          <w:color w:val="000000"/>
          <w:sz w:val="32"/>
          <w:szCs w:val="32"/>
          <w:shd w:val="clear" w:color="auto" w:fill="FFFFFF"/>
          <w:lang w:eastAsia="uk-UA"/>
        </w:rPr>
        <w:t>Reznikova N. Ecological imperatives for extensionof globalization processes: problem of economicsecurity. Інвестиції: практика та досвід. 2016. № 21. С. 23–26. </w:t>
      </w:r>
    </w:p>
    <w:p w:rsidR="005D229F" w:rsidRPr="005D229F" w:rsidRDefault="005D229F" w:rsidP="005D229F">
      <w:pPr>
        <w:spacing w:after="0" w:line="240" w:lineRule="auto"/>
        <w:jc w:val="both"/>
        <w:divId w:val="1029378458"/>
        <w:rPr>
          <w:rFonts w:ascii="-webkit-standard" w:eastAsiaTheme="minorEastAsia" w:hAnsi="-webkit-standard" w:cs="Times New Roman"/>
          <w:color w:val="000000"/>
          <w:sz w:val="27"/>
          <w:szCs w:val="27"/>
          <w:lang w:eastAsia="uk-UA"/>
        </w:rPr>
      </w:pPr>
      <w:r w:rsidRPr="005D229F">
        <w:rPr>
          <w:rFonts w:ascii="-webkit-standard" w:eastAsiaTheme="minorEastAsia" w:hAnsi="-webkit-standard" w:cs="Times New Roman"/>
          <w:color w:val="000000"/>
          <w:sz w:val="27"/>
          <w:szCs w:val="27"/>
          <w:lang w:eastAsia="uk-UA"/>
        </w:rPr>
        <w:t> </w:t>
      </w:r>
    </w:p>
    <w:p w:rsidR="005D229F" w:rsidRPr="005D229F" w:rsidRDefault="005D229F" w:rsidP="005D229F">
      <w:pPr>
        <w:spacing w:after="0" w:line="240" w:lineRule="auto"/>
        <w:divId w:val="1029378458"/>
        <w:rPr>
          <w:rFonts w:ascii="-webkit-standard" w:eastAsiaTheme="minorEastAsia" w:hAnsi="-webkit-standard" w:cs="Times New Roman"/>
          <w:color w:val="000000"/>
          <w:sz w:val="27"/>
          <w:szCs w:val="27"/>
          <w:lang w:eastAsia="uk-UA"/>
        </w:rPr>
      </w:pPr>
      <w:r w:rsidRPr="005D229F">
        <w:rPr>
          <w:rFonts w:ascii="-webkit-standard" w:eastAsiaTheme="minorEastAsia" w:hAnsi="-webkit-standard" w:cs="Times New Roman"/>
          <w:color w:val="000000"/>
          <w:sz w:val="27"/>
          <w:szCs w:val="27"/>
          <w:lang w:eastAsia="uk-UA"/>
        </w:rPr>
        <w:t> </w:t>
      </w:r>
    </w:p>
    <w:p w:rsidR="005D229F" w:rsidRPr="004A25EE" w:rsidRDefault="005D229F" w:rsidP="00595EA9">
      <w:pPr>
        <w:spacing w:after="0" w:line="360" w:lineRule="auto"/>
        <w:ind w:firstLine="851"/>
        <w:jc w:val="both"/>
        <w:rPr>
          <w:rFonts w:ascii="Times New Roman" w:hAnsi="Times New Roman" w:cs="Times New Roman"/>
          <w:b/>
          <w:sz w:val="28"/>
          <w:szCs w:val="28"/>
        </w:rPr>
      </w:pPr>
    </w:p>
    <w:sectPr w:rsidR="005D229F" w:rsidRPr="004A25EE">
      <w:headerReference w:type="default" r:id="rId5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408AE" w:rsidRDefault="002408AE" w:rsidP="00B63E31">
      <w:pPr>
        <w:spacing w:after="0" w:line="240" w:lineRule="auto"/>
      </w:pPr>
      <w:r>
        <w:separator/>
      </w:r>
    </w:p>
  </w:endnote>
  <w:endnote w:type="continuationSeparator" w:id="0">
    <w:p w:rsidR="002408AE" w:rsidRDefault="002408AE" w:rsidP="00B63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CYR">
    <w:panose1 w:val="020B0604020202020204"/>
    <w:charset w:val="CC"/>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ebkit-standard">
    <w:altName w:val="Cambria"/>
    <w:panose1 w:val="020B0604020202020204"/>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408AE" w:rsidRDefault="002408AE" w:rsidP="00B63E31">
      <w:pPr>
        <w:spacing w:after="0" w:line="240" w:lineRule="auto"/>
      </w:pPr>
      <w:r>
        <w:separator/>
      </w:r>
    </w:p>
  </w:footnote>
  <w:footnote w:type="continuationSeparator" w:id="0">
    <w:p w:rsidR="002408AE" w:rsidRDefault="002408AE" w:rsidP="00B63E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1142646"/>
      <w:docPartObj>
        <w:docPartGallery w:val="Page Numbers (Top of Page)"/>
        <w:docPartUnique/>
      </w:docPartObj>
    </w:sdtPr>
    <w:sdtEndPr/>
    <w:sdtContent>
      <w:p w:rsidR="00B63E31" w:rsidRDefault="00B63E31">
        <w:pPr>
          <w:pStyle w:val="a4"/>
          <w:jc w:val="right"/>
        </w:pPr>
        <w:r>
          <w:fldChar w:fldCharType="begin"/>
        </w:r>
        <w:r>
          <w:instrText>PAGE   \* MERGEFORMAT</w:instrText>
        </w:r>
        <w:r>
          <w:fldChar w:fldCharType="separate"/>
        </w:r>
        <w:r w:rsidR="000047F7">
          <w:rPr>
            <w:noProof/>
          </w:rPr>
          <w:t>26</w:t>
        </w:r>
        <w:r>
          <w:fldChar w:fldCharType="end"/>
        </w:r>
      </w:p>
    </w:sdtContent>
  </w:sdt>
  <w:p w:rsidR="00B63E31" w:rsidRDefault="00B63E3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625AF"/>
    <w:multiLevelType w:val="hybridMultilevel"/>
    <w:tmpl w:val="B5286112"/>
    <w:lvl w:ilvl="0" w:tplc="32C06F06">
      <w:start w:val="1"/>
      <w:numFmt w:val="decimal"/>
      <w:lvlText w:val="%1.)"/>
      <w:lvlJc w:val="left"/>
      <w:pPr>
        <w:ind w:left="2062"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15:restartNumberingAfterBreak="0">
    <w:nsid w:val="083343FB"/>
    <w:multiLevelType w:val="hybridMultilevel"/>
    <w:tmpl w:val="55AC2C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53722A8"/>
    <w:multiLevelType w:val="hybridMultilevel"/>
    <w:tmpl w:val="82B497E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213B7DBD"/>
    <w:multiLevelType w:val="multilevel"/>
    <w:tmpl w:val="354E4FA6"/>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 w15:restartNumberingAfterBreak="0">
    <w:nsid w:val="362B4561"/>
    <w:multiLevelType w:val="hybridMultilevel"/>
    <w:tmpl w:val="9B48BE8E"/>
    <w:lvl w:ilvl="0" w:tplc="32C06F0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5" w15:restartNumberingAfterBreak="0">
    <w:nsid w:val="3A150326"/>
    <w:multiLevelType w:val="hybridMultilevel"/>
    <w:tmpl w:val="F990D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67249E1"/>
    <w:multiLevelType w:val="hybridMultilevel"/>
    <w:tmpl w:val="EF26488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6CBF28F4"/>
    <w:multiLevelType w:val="hybridMultilevel"/>
    <w:tmpl w:val="AFC0FB4C"/>
    <w:lvl w:ilvl="0" w:tplc="32C06F06">
      <w:start w:val="1"/>
      <w:numFmt w:val="decimal"/>
      <w:lvlText w:val="%1.)"/>
      <w:lvlJc w:val="left"/>
      <w:pPr>
        <w:ind w:left="2062"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num w:numId="1">
    <w:abstractNumId w:val="1"/>
  </w:num>
  <w:num w:numId="2">
    <w:abstractNumId w:val="5"/>
  </w:num>
  <w:num w:numId="3">
    <w:abstractNumId w:val="3"/>
  </w:num>
  <w:num w:numId="4">
    <w:abstractNumId w:val="6"/>
  </w:num>
  <w:num w:numId="5">
    <w:abstractNumId w:val="4"/>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C00"/>
    <w:rsid w:val="00001424"/>
    <w:rsid w:val="000047F7"/>
    <w:rsid w:val="00010295"/>
    <w:rsid w:val="0003281F"/>
    <w:rsid w:val="00042BAD"/>
    <w:rsid w:val="000527AC"/>
    <w:rsid w:val="00094370"/>
    <w:rsid w:val="000C012B"/>
    <w:rsid w:val="000E1349"/>
    <w:rsid w:val="000E6827"/>
    <w:rsid w:val="000F3A1F"/>
    <w:rsid w:val="00122D6D"/>
    <w:rsid w:val="001271D1"/>
    <w:rsid w:val="00164D2A"/>
    <w:rsid w:val="0017179F"/>
    <w:rsid w:val="00186571"/>
    <w:rsid w:val="001B407C"/>
    <w:rsid w:val="001B5069"/>
    <w:rsid w:val="001D2178"/>
    <w:rsid w:val="001D2D46"/>
    <w:rsid w:val="001D5A73"/>
    <w:rsid w:val="001F585E"/>
    <w:rsid w:val="00211659"/>
    <w:rsid w:val="002408AE"/>
    <w:rsid w:val="002559DB"/>
    <w:rsid w:val="00272970"/>
    <w:rsid w:val="002D14BD"/>
    <w:rsid w:val="00357A7A"/>
    <w:rsid w:val="0036166F"/>
    <w:rsid w:val="003626E3"/>
    <w:rsid w:val="00374F08"/>
    <w:rsid w:val="00384D18"/>
    <w:rsid w:val="00396CC5"/>
    <w:rsid w:val="003A57AC"/>
    <w:rsid w:val="003B4644"/>
    <w:rsid w:val="003D5E5D"/>
    <w:rsid w:val="003E0701"/>
    <w:rsid w:val="00425D8B"/>
    <w:rsid w:val="004731E8"/>
    <w:rsid w:val="0049243A"/>
    <w:rsid w:val="004A25EE"/>
    <w:rsid w:val="004B39D4"/>
    <w:rsid w:val="004C587B"/>
    <w:rsid w:val="004D035F"/>
    <w:rsid w:val="0058771E"/>
    <w:rsid w:val="00595EA9"/>
    <w:rsid w:val="005A7053"/>
    <w:rsid w:val="005B2DEA"/>
    <w:rsid w:val="005D229F"/>
    <w:rsid w:val="005F609C"/>
    <w:rsid w:val="00625C58"/>
    <w:rsid w:val="00637C27"/>
    <w:rsid w:val="00640F5F"/>
    <w:rsid w:val="00660C8E"/>
    <w:rsid w:val="006A27BA"/>
    <w:rsid w:val="006A3E6E"/>
    <w:rsid w:val="006B2F8A"/>
    <w:rsid w:val="006C4544"/>
    <w:rsid w:val="006C760D"/>
    <w:rsid w:val="006D4C97"/>
    <w:rsid w:val="006D5F47"/>
    <w:rsid w:val="00717002"/>
    <w:rsid w:val="00743976"/>
    <w:rsid w:val="007921E0"/>
    <w:rsid w:val="007C63CC"/>
    <w:rsid w:val="007E44E5"/>
    <w:rsid w:val="007F2E3C"/>
    <w:rsid w:val="007F3380"/>
    <w:rsid w:val="00801194"/>
    <w:rsid w:val="00811C8F"/>
    <w:rsid w:val="00814DC6"/>
    <w:rsid w:val="00840CA4"/>
    <w:rsid w:val="008A00BB"/>
    <w:rsid w:val="008B257A"/>
    <w:rsid w:val="008C3A17"/>
    <w:rsid w:val="008C51FA"/>
    <w:rsid w:val="008D5916"/>
    <w:rsid w:val="008E3211"/>
    <w:rsid w:val="009106DF"/>
    <w:rsid w:val="00940C00"/>
    <w:rsid w:val="00964247"/>
    <w:rsid w:val="009663F4"/>
    <w:rsid w:val="009A3659"/>
    <w:rsid w:val="009D4F5B"/>
    <w:rsid w:val="009D7226"/>
    <w:rsid w:val="00A33C58"/>
    <w:rsid w:val="00AA105F"/>
    <w:rsid w:val="00AD4F33"/>
    <w:rsid w:val="00B03F53"/>
    <w:rsid w:val="00B052CF"/>
    <w:rsid w:val="00B23868"/>
    <w:rsid w:val="00B40921"/>
    <w:rsid w:val="00B57806"/>
    <w:rsid w:val="00B63E31"/>
    <w:rsid w:val="00B8371B"/>
    <w:rsid w:val="00B838C3"/>
    <w:rsid w:val="00BA0BC5"/>
    <w:rsid w:val="00BC092D"/>
    <w:rsid w:val="00C1244C"/>
    <w:rsid w:val="00C2644D"/>
    <w:rsid w:val="00C5685A"/>
    <w:rsid w:val="00C60347"/>
    <w:rsid w:val="00CE09FF"/>
    <w:rsid w:val="00CE4B8D"/>
    <w:rsid w:val="00CF09A1"/>
    <w:rsid w:val="00D00C52"/>
    <w:rsid w:val="00D13683"/>
    <w:rsid w:val="00D354BA"/>
    <w:rsid w:val="00D44AB8"/>
    <w:rsid w:val="00D468C5"/>
    <w:rsid w:val="00D67C71"/>
    <w:rsid w:val="00D91025"/>
    <w:rsid w:val="00DB507A"/>
    <w:rsid w:val="00DC4FEB"/>
    <w:rsid w:val="00DE1753"/>
    <w:rsid w:val="00E00466"/>
    <w:rsid w:val="00E0775F"/>
    <w:rsid w:val="00E27436"/>
    <w:rsid w:val="00E42050"/>
    <w:rsid w:val="00E444A6"/>
    <w:rsid w:val="00E81015"/>
    <w:rsid w:val="00E81A27"/>
    <w:rsid w:val="00E84432"/>
    <w:rsid w:val="00EB30A5"/>
    <w:rsid w:val="00EE119E"/>
    <w:rsid w:val="00EE60BB"/>
    <w:rsid w:val="00F04E4E"/>
    <w:rsid w:val="00F1378E"/>
    <w:rsid w:val="00F3569C"/>
    <w:rsid w:val="00F3775E"/>
    <w:rsid w:val="00F458E8"/>
    <w:rsid w:val="00F6114A"/>
    <w:rsid w:val="00F64871"/>
    <w:rsid w:val="00F854F4"/>
    <w:rsid w:val="00FA1D5A"/>
    <w:rsid w:val="00FD43EE"/>
    <w:rsid w:val="00FE34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C8986-1F26-457C-B168-AFDA0CF14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2970"/>
    <w:pPr>
      <w:ind w:left="720"/>
      <w:contextualSpacing/>
    </w:pPr>
  </w:style>
  <w:style w:type="paragraph" w:styleId="a4">
    <w:name w:val="header"/>
    <w:basedOn w:val="a"/>
    <w:link w:val="a5"/>
    <w:uiPriority w:val="99"/>
    <w:unhideWhenUsed/>
    <w:rsid w:val="00B63E31"/>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B63E31"/>
  </w:style>
  <w:style w:type="paragraph" w:styleId="a6">
    <w:name w:val="footer"/>
    <w:basedOn w:val="a"/>
    <w:link w:val="a7"/>
    <w:uiPriority w:val="99"/>
    <w:unhideWhenUsed/>
    <w:rsid w:val="00B63E31"/>
    <w:pPr>
      <w:tabs>
        <w:tab w:val="center" w:pos="4819"/>
        <w:tab w:val="right" w:pos="9639"/>
      </w:tabs>
      <w:spacing w:after="0" w:line="240" w:lineRule="auto"/>
    </w:pPr>
  </w:style>
  <w:style w:type="character" w:customStyle="1" w:styleId="a7">
    <w:name w:val="Нижній колонтитул Знак"/>
    <w:basedOn w:val="a0"/>
    <w:link w:val="a6"/>
    <w:uiPriority w:val="99"/>
    <w:rsid w:val="00B63E31"/>
  </w:style>
  <w:style w:type="character" w:styleId="a8">
    <w:name w:val="Hyperlink"/>
    <w:basedOn w:val="a0"/>
    <w:uiPriority w:val="99"/>
    <w:unhideWhenUsed/>
    <w:rsid w:val="00EB30A5"/>
    <w:rPr>
      <w:color w:val="0563C1" w:themeColor="hyperlink"/>
      <w:u w:val="single"/>
    </w:rPr>
  </w:style>
  <w:style w:type="character" w:styleId="a9">
    <w:name w:val="Emphasis"/>
    <w:basedOn w:val="a0"/>
    <w:uiPriority w:val="20"/>
    <w:qFormat/>
    <w:rsid w:val="00EB30A5"/>
    <w:rPr>
      <w:i/>
      <w:iCs/>
    </w:rPr>
  </w:style>
  <w:style w:type="character" w:styleId="aa">
    <w:name w:val="Strong"/>
    <w:basedOn w:val="a0"/>
    <w:uiPriority w:val="22"/>
    <w:qFormat/>
    <w:rsid w:val="000047F7"/>
    <w:rPr>
      <w:b/>
      <w:bCs/>
    </w:rPr>
  </w:style>
  <w:style w:type="paragraph" w:styleId="ab">
    <w:name w:val="Body Text"/>
    <w:basedOn w:val="a"/>
    <w:link w:val="ac"/>
    <w:unhideWhenUsed/>
    <w:rsid w:val="000047F7"/>
    <w:pPr>
      <w:spacing w:after="120" w:line="240" w:lineRule="auto"/>
    </w:pPr>
    <w:rPr>
      <w:rFonts w:ascii="Times New Roman CYR" w:eastAsia="Times New Roman" w:hAnsi="Times New Roman CYR" w:cs="Times New Roman"/>
      <w:sz w:val="20"/>
      <w:szCs w:val="20"/>
      <w:lang w:val="ru-RU" w:eastAsia="ru-RU"/>
    </w:rPr>
  </w:style>
  <w:style w:type="character" w:customStyle="1" w:styleId="ac">
    <w:name w:val="Основний текст Знак"/>
    <w:basedOn w:val="a0"/>
    <w:link w:val="ab"/>
    <w:rsid w:val="000047F7"/>
    <w:rPr>
      <w:rFonts w:ascii="Times New Roman CYR" w:eastAsia="Times New Roman" w:hAnsi="Times New Roman CYR" w:cs="Times New Roman"/>
      <w:sz w:val="20"/>
      <w:szCs w:val="20"/>
      <w:lang w:val="ru-RU" w:eastAsia="ru-RU"/>
    </w:rPr>
  </w:style>
  <w:style w:type="paragraph" w:customStyle="1" w:styleId="s4">
    <w:name w:val="s4"/>
    <w:basedOn w:val="a"/>
    <w:rsid w:val="005D229F"/>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customStyle="1" w:styleId="bumpedfont15">
    <w:name w:val="bumpedfont15"/>
    <w:basedOn w:val="a0"/>
    <w:rsid w:val="005D229F"/>
  </w:style>
  <w:style w:type="character" w:customStyle="1" w:styleId="apple-converted-space">
    <w:name w:val="apple-converted-space"/>
    <w:basedOn w:val="a0"/>
    <w:rsid w:val="005D229F"/>
  </w:style>
  <w:style w:type="paragraph" w:customStyle="1" w:styleId="s11">
    <w:name w:val="s11"/>
    <w:basedOn w:val="a"/>
    <w:rsid w:val="005D229F"/>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customStyle="1" w:styleId="s15">
    <w:name w:val="s15"/>
    <w:basedOn w:val="a0"/>
    <w:rsid w:val="005D229F"/>
  </w:style>
  <w:style w:type="character" w:customStyle="1" w:styleId="s18">
    <w:name w:val="s18"/>
    <w:basedOn w:val="a0"/>
    <w:rsid w:val="005D229F"/>
  </w:style>
  <w:style w:type="paragraph" w:customStyle="1" w:styleId="s22">
    <w:name w:val="s22"/>
    <w:basedOn w:val="a"/>
    <w:rsid w:val="005D229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s23">
    <w:name w:val="s23"/>
    <w:basedOn w:val="a"/>
    <w:rsid w:val="005D229F"/>
    <w:pPr>
      <w:spacing w:before="100" w:beforeAutospacing="1" w:after="100" w:afterAutospacing="1" w:line="240" w:lineRule="auto"/>
    </w:pPr>
    <w:rPr>
      <w:rFonts w:ascii="Times New Roman" w:eastAsiaTheme="minorEastAsia"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9378458">
      <w:bodyDiv w:val="1"/>
      <w:marLeft w:val="0"/>
      <w:marRight w:val="0"/>
      <w:marTop w:val="0"/>
      <w:marBottom w:val="0"/>
      <w:divBdr>
        <w:top w:val="none" w:sz="0" w:space="0" w:color="auto"/>
        <w:left w:val="none" w:sz="0" w:space="0" w:color="auto"/>
        <w:bottom w:val="none" w:sz="0" w:space="0" w:color="auto"/>
        <w:right w:val="none" w:sz="0" w:space="0" w:color="auto"/>
      </w:divBdr>
      <w:divsChild>
        <w:div w:id="1039010156">
          <w:marLeft w:val="540"/>
          <w:marRight w:val="0"/>
          <w:marTop w:val="0"/>
          <w:marBottom w:val="0"/>
          <w:divBdr>
            <w:top w:val="none" w:sz="0" w:space="0" w:color="auto"/>
            <w:left w:val="none" w:sz="0" w:space="0" w:color="auto"/>
            <w:bottom w:val="none" w:sz="0" w:space="0" w:color="auto"/>
            <w:right w:val="none" w:sz="0" w:space="0" w:color="auto"/>
          </w:divBdr>
        </w:div>
        <w:div w:id="1852573353">
          <w:marLeft w:val="540"/>
          <w:marRight w:val="0"/>
          <w:marTop w:val="0"/>
          <w:marBottom w:val="0"/>
          <w:divBdr>
            <w:top w:val="none" w:sz="0" w:space="0" w:color="auto"/>
            <w:left w:val="none" w:sz="0" w:space="0" w:color="auto"/>
            <w:bottom w:val="none" w:sz="0" w:space="0" w:color="auto"/>
            <w:right w:val="none" w:sz="0" w:space="0" w:color="auto"/>
          </w:divBdr>
        </w:div>
        <w:div w:id="152380779">
          <w:marLeft w:val="540"/>
          <w:marRight w:val="0"/>
          <w:marTop w:val="0"/>
          <w:marBottom w:val="0"/>
          <w:divBdr>
            <w:top w:val="none" w:sz="0" w:space="0" w:color="auto"/>
            <w:left w:val="none" w:sz="0" w:space="0" w:color="auto"/>
            <w:bottom w:val="none" w:sz="0" w:space="0" w:color="auto"/>
            <w:right w:val="none" w:sz="0" w:space="0" w:color="auto"/>
          </w:divBdr>
        </w:div>
        <w:div w:id="314799562">
          <w:marLeft w:val="540"/>
          <w:marRight w:val="0"/>
          <w:marTop w:val="0"/>
          <w:marBottom w:val="0"/>
          <w:divBdr>
            <w:top w:val="none" w:sz="0" w:space="0" w:color="auto"/>
            <w:left w:val="none" w:sz="0" w:space="0" w:color="auto"/>
            <w:bottom w:val="none" w:sz="0" w:space="0" w:color="auto"/>
            <w:right w:val="none" w:sz="0" w:space="0" w:color="auto"/>
          </w:divBdr>
        </w:div>
        <w:div w:id="2125683624">
          <w:marLeft w:val="540"/>
          <w:marRight w:val="0"/>
          <w:marTop w:val="0"/>
          <w:marBottom w:val="0"/>
          <w:divBdr>
            <w:top w:val="none" w:sz="0" w:space="0" w:color="auto"/>
            <w:left w:val="none" w:sz="0" w:space="0" w:color="auto"/>
            <w:bottom w:val="none" w:sz="0" w:space="0" w:color="auto"/>
            <w:right w:val="none" w:sz="0" w:space="0" w:color="auto"/>
          </w:divBdr>
        </w:div>
        <w:div w:id="1573931556">
          <w:marLeft w:val="540"/>
          <w:marRight w:val="0"/>
          <w:marTop w:val="0"/>
          <w:marBottom w:val="0"/>
          <w:divBdr>
            <w:top w:val="none" w:sz="0" w:space="0" w:color="auto"/>
            <w:left w:val="none" w:sz="0" w:space="0" w:color="auto"/>
            <w:bottom w:val="none" w:sz="0" w:space="0" w:color="auto"/>
            <w:right w:val="none" w:sz="0" w:space="0" w:color="auto"/>
          </w:divBdr>
        </w:div>
        <w:div w:id="1382285900">
          <w:marLeft w:val="540"/>
          <w:marRight w:val="0"/>
          <w:marTop w:val="0"/>
          <w:marBottom w:val="0"/>
          <w:divBdr>
            <w:top w:val="none" w:sz="0" w:space="0" w:color="auto"/>
            <w:left w:val="none" w:sz="0" w:space="0" w:color="auto"/>
            <w:bottom w:val="none" w:sz="0" w:space="0" w:color="auto"/>
            <w:right w:val="none" w:sz="0" w:space="0" w:color="auto"/>
          </w:divBdr>
        </w:div>
        <w:div w:id="575433996">
          <w:marLeft w:val="540"/>
          <w:marRight w:val="0"/>
          <w:marTop w:val="0"/>
          <w:marBottom w:val="0"/>
          <w:divBdr>
            <w:top w:val="none" w:sz="0" w:space="0" w:color="auto"/>
            <w:left w:val="none" w:sz="0" w:space="0" w:color="auto"/>
            <w:bottom w:val="none" w:sz="0" w:space="0" w:color="auto"/>
            <w:right w:val="none" w:sz="0" w:space="0" w:color="auto"/>
          </w:divBdr>
        </w:div>
        <w:div w:id="19012837">
          <w:marLeft w:val="540"/>
          <w:marRight w:val="0"/>
          <w:marTop w:val="0"/>
          <w:marBottom w:val="0"/>
          <w:divBdr>
            <w:top w:val="none" w:sz="0" w:space="0" w:color="auto"/>
            <w:left w:val="none" w:sz="0" w:space="0" w:color="auto"/>
            <w:bottom w:val="none" w:sz="0" w:space="0" w:color="auto"/>
            <w:right w:val="none" w:sz="0" w:space="0" w:color="auto"/>
          </w:divBdr>
        </w:div>
        <w:div w:id="481779901">
          <w:marLeft w:val="540"/>
          <w:marRight w:val="0"/>
          <w:marTop w:val="0"/>
          <w:marBottom w:val="0"/>
          <w:divBdr>
            <w:top w:val="none" w:sz="0" w:space="0" w:color="auto"/>
            <w:left w:val="none" w:sz="0" w:space="0" w:color="auto"/>
            <w:bottom w:val="none" w:sz="0" w:space="0" w:color="auto"/>
            <w:right w:val="none" w:sz="0" w:space="0" w:color="auto"/>
          </w:divBdr>
        </w:div>
        <w:div w:id="1615362753">
          <w:marLeft w:val="540"/>
          <w:marRight w:val="0"/>
          <w:marTop w:val="0"/>
          <w:marBottom w:val="0"/>
          <w:divBdr>
            <w:top w:val="none" w:sz="0" w:space="0" w:color="auto"/>
            <w:left w:val="none" w:sz="0" w:space="0" w:color="auto"/>
            <w:bottom w:val="none" w:sz="0" w:space="0" w:color="auto"/>
            <w:right w:val="none" w:sz="0" w:space="0" w:color="auto"/>
          </w:divBdr>
        </w:div>
        <w:div w:id="1984506900">
          <w:marLeft w:val="540"/>
          <w:marRight w:val="0"/>
          <w:marTop w:val="0"/>
          <w:marBottom w:val="0"/>
          <w:divBdr>
            <w:top w:val="none" w:sz="0" w:space="0" w:color="auto"/>
            <w:left w:val="none" w:sz="0" w:space="0" w:color="auto"/>
            <w:bottom w:val="none" w:sz="0" w:space="0" w:color="auto"/>
            <w:right w:val="none" w:sz="0" w:space="0" w:color="auto"/>
          </w:divBdr>
        </w:div>
        <w:div w:id="262307781">
          <w:marLeft w:val="540"/>
          <w:marRight w:val="0"/>
          <w:marTop w:val="0"/>
          <w:marBottom w:val="0"/>
          <w:divBdr>
            <w:top w:val="none" w:sz="0" w:space="0" w:color="auto"/>
            <w:left w:val="none" w:sz="0" w:space="0" w:color="auto"/>
            <w:bottom w:val="none" w:sz="0" w:space="0" w:color="auto"/>
            <w:right w:val="none" w:sz="0" w:space="0" w:color="auto"/>
          </w:divBdr>
        </w:div>
        <w:div w:id="1367485231">
          <w:marLeft w:val="540"/>
          <w:marRight w:val="0"/>
          <w:marTop w:val="0"/>
          <w:marBottom w:val="0"/>
          <w:divBdr>
            <w:top w:val="none" w:sz="0" w:space="0" w:color="auto"/>
            <w:left w:val="none" w:sz="0" w:space="0" w:color="auto"/>
            <w:bottom w:val="none" w:sz="0" w:space="0" w:color="auto"/>
            <w:right w:val="none" w:sz="0" w:space="0" w:color="auto"/>
          </w:divBdr>
        </w:div>
        <w:div w:id="791898335">
          <w:marLeft w:val="540"/>
          <w:marRight w:val="0"/>
          <w:marTop w:val="0"/>
          <w:marBottom w:val="0"/>
          <w:divBdr>
            <w:top w:val="none" w:sz="0" w:space="0" w:color="auto"/>
            <w:left w:val="none" w:sz="0" w:space="0" w:color="auto"/>
            <w:bottom w:val="none" w:sz="0" w:space="0" w:color="auto"/>
            <w:right w:val="none" w:sz="0" w:space="0" w:color="auto"/>
          </w:divBdr>
        </w:div>
        <w:div w:id="1307467683">
          <w:marLeft w:val="540"/>
          <w:marRight w:val="0"/>
          <w:marTop w:val="0"/>
          <w:marBottom w:val="0"/>
          <w:divBdr>
            <w:top w:val="none" w:sz="0" w:space="0" w:color="auto"/>
            <w:left w:val="none" w:sz="0" w:space="0" w:color="auto"/>
            <w:bottom w:val="none" w:sz="0" w:space="0" w:color="auto"/>
            <w:right w:val="none" w:sz="0" w:space="0" w:color="auto"/>
          </w:divBdr>
        </w:div>
        <w:div w:id="144858792">
          <w:marLeft w:val="540"/>
          <w:marRight w:val="0"/>
          <w:marTop w:val="0"/>
          <w:marBottom w:val="0"/>
          <w:divBdr>
            <w:top w:val="none" w:sz="0" w:space="0" w:color="auto"/>
            <w:left w:val="none" w:sz="0" w:space="0" w:color="auto"/>
            <w:bottom w:val="none" w:sz="0" w:space="0" w:color="auto"/>
            <w:right w:val="none" w:sz="0" w:space="0" w:color="auto"/>
          </w:divBdr>
        </w:div>
        <w:div w:id="1766344751">
          <w:marLeft w:val="540"/>
          <w:marRight w:val="0"/>
          <w:marTop w:val="0"/>
          <w:marBottom w:val="0"/>
          <w:divBdr>
            <w:top w:val="none" w:sz="0" w:space="0" w:color="auto"/>
            <w:left w:val="none" w:sz="0" w:space="0" w:color="auto"/>
            <w:bottom w:val="none" w:sz="0" w:space="0" w:color="auto"/>
            <w:right w:val="none" w:sz="0" w:space="0" w:color="auto"/>
          </w:divBdr>
        </w:div>
        <w:div w:id="1116176325">
          <w:marLeft w:val="540"/>
          <w:marRight w:val="0"/>
          <w:marTop w:val="0"/>
          <w:marBottom w:val="0"/>
          <w:divBdr>
            <w:top w:val="none" w:sz="0" w:space="0" w:color="auto"/>
            <w:left w:val="none" w:sz="0" w:space="0" w:color="auto"/>
            <w:bottom w:val="none" w:sz="0" w:space="0" w:color="auto"/>
            <w:right w:val="none" w:sz="0" w:space="0" w:color="auto"/>
          </w:divBdr>
        </w:div>
        <w:div w:id="1342271344">
          <w:marLeft w:val="540"/>
          <w:marRight w:val="0"/>
          <w:marTop w:val="0"/>
          <w:marBottom w:val="0"/>
          <w:divBdr>
            <w:top w:val="none" w:sz="0" w:space="0" w:color="auto"/>
            <w:left w:val="none" w:sz="0" w:space="0" w:color="auto"/>
            <w:bottom w:val="none" w:sz="0" w:space="0" w:color="auto"/>
            <w:right w:val="none" w:sz="0" w:space="0" w:color="auto"/>
          </w:divBdr>
        </w:div>
        <w:div w:id="1083379545">
          <w:marLeft w:val="540"/>
          <w:marRight w:val="0"/>
          <w:marTop w:val="0"/>
          <w:marBottom w:val="0"/>
          <w:divBdr>
            <w:top w:val="none" w:sz="0" w:space="0" w:color="auto"/>
            <w:left w:val="none" w:sz="0" w:space="0" w:color="auto"/>
            <w:bottom w:val="none" w:sz="0" w:space="0" w:color="auto"/>
            <w:right w:val="none" w:sz="0" w:space="0" w:color="auto"/>
          </w:divBdr>
        </w:div>
        <w:div w:id="1145120587">
          <w:marLeft w:val="540"/>
          <w:marRight w:val="0"/>
          <w:marTop w:val="0"/>
          <w:marBottom w:val="0"/>
          <w:divBdr>
            <w:top w:val="none" w:sz="0" w:space="0" w:color="auto"/>
            <w:left w:val="none" w:sz="0" w:space="0" w:color="auto"/>
            <w:bottom w:val="none" w:sz="0" w:space="0" w:color="auto"/>
            <w:right w:val="none" w:sz="0" w:space="0" w:color="auto"/>
          </w:divBdr>
        </w:div>
        <w:div w:id="2107067297">
          <w:marLeft w:val="540"/>
          <w:marRight w:val="0"/>
          <w:marTop w:val="0"/>
          <w:marBottom w:val="0"/>
          <w:divBdr>
            <w:top w:val="none" w:sz="0" w:space="0" w:color="auto"/>
            <w:left w:val="none" w:sz="0" w:space="0" w:color="auto"/>
            <w:bottom w:val="none" w:sz="0" w:space="0" w:color="auto"/>
            <w:right w:val="none" w:sz="0" w:space="0" w:color="auto"/>
          </w:divBdr>
        </w:div>
        <w:div w:id="181817903">
          <w:marLeft w:val="540"/>
          <w:marRight w:val="0"/>
          <w:marTop w:val="0"/>
          <w:marBottom w:val="0"/>
          <w:divBdr>
            <w:top w:val="none" w:sz="0" w:space="0" w:color="auto"/>
            <w:left w:val="none" w:sz="0" w:space="0" w:color="auto"/>
            <w:bottom w:val="none" w:sz="0" w:space="0" w:color="auto"/>
            <w:right w:val="none" w:sz="0" w:space="0" w:color="auto"/>
          </w:divBdr>
        </w:div>
        <w:div w:id="1950505028">
          <w:marLeft w:val="540"/>
          <w:marRight w:val="0"/>
          <w:marTop w:val="0"/>
          <w:marBottom w:val="0"/>
          <w:divBdr>
            <w:top w:val="none" w:sz="0" w:space="0" w:color="auto"/>
            <w:left w:val="none" w:sz="0" w:space="0" w:color="auto"/>
            <w:bottom w:val="none" w:sz="0" w:space="0" w:color="auto"/>
            <w:right w:val="none" w:sz="0" w:space="0" w:color="auto"/>
          </w:divBdr>
        </w:div>
        <w:div w:id="1371301123">
          <w:marLeft w:val="540"/>
          <w:marRight w:val="0"/>
          <w:marTop w:val="0"/>
          <w:marBottom w:val="0"/>
          <w:divBdr>
            <w:top w:val="none" w:sz="0" w:space="0" w:color="auto"/>
            <w:left w:val="none" w:sz="0" w:space="0" w:color="auto"/>
            <w:bottom w:val="none" w:sz="0" w:space="0" w:color="auto"/>
            <w:right w:val="none" w:sz="0" w:space="0" w:color="auto"/>
          </w:divBdr>
        </w:div>
        <w:div w:id="1114784511">
          <w:marLeft w:val="540"/>
          <w:marRight w:val="0"/>
          <w:marTop w:val="0"/>
          <w:marBottom w:val="0"/>
          <w:divBdr>
            <w:top w:val="none" w:sz="0" w:space="0" w:color="auto"/>
            <w:left w:val="none" w:sz="0" w:space="0" w:color="auto"/>
            <w:bottom w:val="none" w:sz="0" w:space="0" w:color="auto"/>
            <w:right w:val="none" w:sz="0" w:space="0" w:color="auto"/>
          </w:divBdr>
        </w:div>
        <w:div w:id="1313018683">
          <w:marLeft w:val="540"/>
          <w:marRight w:val="0"/>
          <w:marTop w:val="0"/>
          <w:marBottom w:val="0"/>
          <w:divBdr>
            <w:top w:val="none" w:sz="0" w:space="0" w:color="auto"/>
            <w:left w:val="none" w:sz="0" w:space="0" w:color="auto"/>
            <w:bottom w:val="none" w:sz="0" w:space="0" w:color="auto"/>
            <w:right w:val="none" w:sz="0" w:space="0" w:color="auto"/>
          </w:divBdr>
        </w:div>
        <w:div w:id="1249920248">
          <w:marLeft w:val="540"/>
          <w:marRight w:val="0"/>
          <w:marTop w:val="0"/>
          <w:marBottom w:val="0"/>
          <w:divBdr>
            <w:top w:val="none" w:sz="0" w:space="0" w:color="auto"/>
            <w:left w:val="none" w:sz="0" w:space="0" w:color="auto"/>
            <w:bottom w:val="none" w:sz="0" w:space="0" w:color="auto"/>
            <w:right w:val="none" w:sz="0" w:space="0" w:color="auto"/>
          </w:divBdr>
        </w:div>
        <w:div w:id="1799060027">
          <w:marLeft w:val="540"/>
          <w:marRight w:val="-135"/>
          <w:marTop w:val="0"/>
          <w:marBottom w:val="0"/>
          <w:divBdr>
            <w:top w:val="none" w:sz="0" w:space="0" w:color="auto"/>
            <w:left w:val="none" w:sz="0" w:space="0" w:color="auto"/>
            <w:bottom w:val="none" w:sz="0" w:space="0" w:color="auto"/>
            <w:right w:val="none" w:sz="0" w:space="0" w:color="auto"/>
          </w:divBdr>
        </w:div>
        <w:div w:id="1647660634">
          <w:marLeft w:val="540"/>
          <w:marRight w:val="-135"/>
          <w:marTop w:val="0"/>
          <w:marBottom w:val="0"/>
          <w:divBdr>
            <w:top w:val="none" w:sz="0" w:space="0" w:color="auto"/>
            <w:left w:val="none" w:sz="0" w:space="0" w:color="auto"/>
            <w:bottom w:val="none" w:sz="0" w:space="0" w:color="auto"/>
            <w:right w:val="none" w:sz="0" w:space="0" w:color="auto"/>
          </w:divBdr>
        </w:div>
        <w:div w:id="1978294403">
          <w:marLeft w:val="540"/>
          <w:marRight w:val="-135"/>
          <w:marTop w:val="0"/>
          <w:marBottom w:val="0"/>
          <w:divBdr>
            <w:top w:val="none" w:sz="0" w:space="0" w:color="auto"/>
            <w:left w:val="none" w:sz="0" w:space="0" w:color="auto"/>
            <w:bottom w:val="none" w:sz="0" w:space="0" w:color="auto"/>
            <w:right w:val="none" w:sz="0" w:space="0" w:color="auto"/>
          </w:divBdr>
        </w:div>
        <w:div w:id="394743584">
          <w:marLeft w:val="540"/>
          <w:marRight w:val="0"/>
          <w:marTop w:val="0"/>
          <w:marBottom w:val="0"/>
          <w:divBdr>
            <w:top w:val="none" w:sz="0" w:space="0" w:color="auto"/>
            <w:left w:val="none" w:sz="0" w:space="0" w:color="auto"/>
            <w:bottom w:val="none" w:sz="0" w:space="0" w:color="auto"/>
            <w:right w:val="none" w:sz="0" w:space="0" w:color="auto"/>
          </w:divBdr>
        </w:div>
        <w:div w:id="327557818">
          <w:marLeft w:val="540"/>
          <w:marRight w:val="0"/>
          <w:marTop w:val="0"/>
          <w:marBottom w:val="0"/>
          <w:divBdr>
            <w:top w:val="none" w:sz="0" w:space="0" w:color="auto"/>
            <w:left w:val="none" w:sz="0" w:space="0" w:color="auto"/>
            <w:bottom w:val="none" w:sz="0" w:space="0" w:color="auto"/>
            <w:right w:val="none" w:sz="0" w:space="0" w:color="auto"/>
          </w:divBdr>
        </w:div>
        <w:div w:id="1108112946">
          <w:marLeft w:val="540"/>
          <w:marRight w:val="0"/>
          <w:marTop w:val="0"/>
          <w:marBottom w:val="0"/>
          <w:divBdr>
            <w:top w:val="none" w:sz="0" w:space="0" w:color="auto"/>
            <w:left w:val="none" w:sz="0" w:space="0" w:color="auto"/>
            <w:bottom w:val="none" w:sz="0" w:space="0" w:color="auto"/>
            <w:right w:val="none" w:sz="0" w:space="0" w:color="auto"/>
          </w:divBdr>
        </w:div>
        <w:div w:id="197134286">
          <w:marLeft w:val="540"/>
          <w:marRight w:val="0"/>
          <w:marTop w:val="0"/>
          <w:marBottom w:val="0"/>
          <w:divBdr>
            <w:top w:val="none" w:sz="0" w:space="0" w:color="auto"/>
            <w:left w:val="none" w:sz="0" w:space="0" w:color="auto"/>
            <w:bottom w:val="none" w:sz="0" w:space="0" w:color="auto"/>
            <w:right w:val="none" w:sz="0" w:space="0" w:color="auto"/>
          </w:divBdr>
        </w:div>
        <w:div w:id="2072381835">
          <w:marLeft w:val="540"/>
          <w:marRight w:val="0"/>
          <w:marTop w:val="0"/>
          <w:marBottom w:val="0"/>
          <w:divBdr>
            <w:top w:val="none" w:sz="0" w:space="0" w:color="auto"/>
            <w:left w:val="none" w:sz="0" w:space="0" w:color="auto"/>
            <w:bottom w:val="none" w:sz="0" w:space="0" w:color="auto"/>
            <w:right w:val="none" w:sz="0" w:space="0" w:color="auto"/>
          </w:divBdr>
        </w:div>
        <w:div w:id="574314283">
          <w:marLeft w:val="540"/>
          <w:marRight w:val="0"/>
          <w:marTop w:val="0"/>
          <w:marBottom w:val="0"/>
          <w:divBdr>
            <w:top w:val="none" w:sz="0" w:space="0" w:color="auto"/>
            <w:left w:val="none" w:sz="0" w:space="0" w:color="auto"/>
            <w:bottom w:val="none" w:sz="0" w:space="0" w:color="auto"/>
            <w:right w:val="none" w:sz="0" w:space="0" w:color="auto"/>
          </w:divBdr>
        </w:div>
        <w:div w:id="1035080507">
          <w:marLeft w:val="540"/>
          <w:marRight w:val="0"/>
          <w:marTop w:val="0"/>
          <w:marBottom w:val="0"/>
          <w:divBdr>
            <w:top w:val="none" w:sz="0" w:space="0" w:color="auto"/>
            <w:left w:val="none" w:sz="0" w:space="0" w:color="auto"/>
            <w:bottom w:val="none" w:sz="0" w:space="0" w:color="auto"/>
            <w:right w:val="none" w:sz="0" w:space="0" w:color="auto"/>
          </w:divBdr>
        </w:div>
        <w:div w:id="1435830896">
          <w:marLeft w:val="540"/>
          <w:marRight w:val="0"/>
          <w:marTop w:val="0"/>
          <w:marBottom w:val="0"/>
          <w:divBdr>
            <w:top w:val="none" w:sz="0" w:space="0" w:color="auto"/>
            <w:left w:val="none" w:sz="0" w:space="0" w:color="auto"/>
            <w:bottom w:val="none" w:sz="0" w:space="0" w:color="auto"/>
            <w:right w:val="none" w:sz="0" w:space="0" w:color="auto"/>
          </w:divBdr>
        </w:div>
        <w:div w:id="103425667">
          <w:marLeft w:val="540"/>
          <w:marRight w:val="0"/>
          <w:marTop w:val="0"/>
          <w:marBottom w:val="0"/>
          <w:divBdr>
            <w:top w:val="none" w:sz="0" w:space="0" w:color="auto"/>
            <w:left w:val="none" w:sz="0" w:space="0" w:color="auto"/>
            <w:bottom w:val="none" w:sz="0" w:space="0" w:color="auto"/>
            <w:right w:val="none" w:sz="0" w:space="0" w:color="auto"/>
          </w:divBdr>
        </w:div>
        <w:div w:id="281764655">
          <w:marLeft w:val="540"/>
          <w:marRight w:val="0"/>
          <w:marTop w:val="0"/>
          <w:marBottom w:val="0"/>
          <w:divBdr>
            <w:top w:val="none" w:sz="0" w:space="0" w:color="auto"/>
            <w:left w:val="none" w:sz="0" w:space="0" w:color="auto"/>
            <w:bottom w:val="none" w:sz="0" w:space="0" w:color="auto"/>
            <w:right w:val="none" w:sz="0" w:space="0" w:color="auto"/>
          </w:divBdr>
        </w:div>
        <w:div w:id="400445813">
          <w:marLeft w:val="540"/>
          <w:marRight w:val="0"/>
          <w:marTop w:val="0"/>
          <w:marBottom w:val="0"/>
          <w:divBdr>
            <w:top w:val="none" w:sz="0" w:space="0" w:color="auto"/>
            <w:left w:val="none" w:sz="0" w:space="0" w:color="auto"/>
            <w:bottom w:val="none" w:sz="0" w:space="0" w:color="auto"/>
            <w:right w:val="none" w:sz="0" w:space="0" w:color="auto"/>
          </w:divBdr>
        </w:div>
        <w:div w:id="135269918">
          <w:marLeft w:val="540"/>
          <w:marRight w:val="0"/>
          <w:marTop w:val="0"/>
          <w:marBottom w:val="0"/>
          <w:divBdr>
            <w:top w:val="none" w:sz="0" w:space="0" w:color="auto"/>
            <w:left w:val="none" w:sz="0" w:space="0" w:color="auto"/>
            <w:bottom w:val="none" w:sz="0" w:space="0" w:color="auto"/>
            <w:right w:val="none" w:sz="0" w:space="0" w:color="auto"/>
          </w:divBdr>
        </w:div>
        <w:div w:id="804783363">
          <w:marLeft w:val="540"/>
          <w:marRight w:val="0"/>
          <w:marTop w:val="0"/>
          <w:marBottom w:val="0"/>
          <w:divBdr>
            <w:top w:val="none" w:sz="0" w:space="0" w:color="auto"/>
            <w:left w:val="none" w:sz="0" w:space="0" w:color="auto"/>
            <w:bottom w:val="none" w:sz="0" w:space="0" w:color="auto"/>
            <w:right w:val="none" w:sz="0" w:space="0" w:color="auto"/>
          </w:divBdr>
        </w:div>
        <w:div w:id="1251426220">
          <w:marLeft w:val="540"/>
          <w:marRight w:val="0"/>
          <w:marTop w:val="0"/>
          <w:marBottom w:val="0"/>
          <w:divBdr>
            <w:top w:val="none" w:sz="0" w:space="0" w:color="auto"/>
            <w:left w:val="none" w:sz="0" w:space="0" w:color="auto"/>
            <w:bottom w:val="none" w:sz="0" w:space="0" w:color="auto"/>
            <w:right w:val="none" w:sz="0" w:space="0" w:color="auto"/>
          </w:divBdr>
        </w:div>
        <w:div w:id="1024331726">
          <w:marLeft w:val="540"/>
          <w:marRight w:val="0"/>
          <w:marTop w:val="0"/>
          <w:marBottom w:val="0"/>
          <w:divBdr>
            <w:top w:val="none" w:sz="0" w:space="0" w:color="auto"/>
            <w:left w:val="none" w:sz="0" w:space="0" w:color="auto"/>
            <w:bottom w:val="none" w:sz="0" w:space="0" w:color="auto"/>
            <w:right w:val="none" w:sz="0" w:space="0" w:color="auto"/>
          </w:divBdr>
        </w:div>
        <w:div w:id="1578588791">
          <w:marLeft w:val="540"/>
          <w:marRight w:val="0"/>
          <w:marTop w:val="0"/>
          <w:marBottom w:val="0"/>
          <w:divBdr>
            <w:top w:val="none" w:sz="0" w:space="0" w:color="auto"/>
            <w:left w:val="none" w:sz="0" w:space="0" w:color="auto"/>
            <w:bottom w:val="none" w:sz="0" w:space="0" w:color="auto"/>
            <w:right w:val="none" w:sz="0" w:space="0" w:color="auto"/>
          </w:divBdr>
        </w:div>
        <w:div w:id="1010059454">
          <w:marLeft w:val="540"/>
          <w:marRight w:val="0"/>
          <w:marTop w:val="0"/>
          <w:marBottom w:val="0"/>
          <w:divBdr>
            <w:top w:val="none" w:sz="0" w:space="0" w:color="auto"/>
            <w:left w:val="none" w:sz="0" w:space="0" w:color="auto"/>
            <w:bottom w:val="none" w:sz="0" w:space="0" w:color="auto"/>
            <w:right w:val="none" w:sz="0" w:space="0" w:color="auto"/>
          </w:divBdr>
        </w:div>
        <w:div w:id="1253708803">
          <w:marLeft w:val="540"/>
          <w:marRight w:val="0"/>
          <w:marTop w:val="0"/>
          <w:marBottom w:val="0"/>
          <w:divBdr>
            <w:top w:val="none" w:sz="0" w:space="0" w:color="auto"/>
            <w:left w:val="none" w:sz="0" w:space="0" w:color="auto"/>
            <w:bottom w:val="none" w:sz="0" w:space="0" w:color="auto"/>
            <w:right w:val="none" w:sz="0" w:space="0" w:color="auto"/>
          </w:divBdr>
        </w:div>
        <w:div w:id="839009384">
          <w:marLeft w:val="540"/>
          <w:marRight w:val="0"/>
          <w:marTop w:val="0"/>
          <w:marBottom w:val="0"/>
          <w:divBdr>
            <w:top w:val="none" w:sz="0" w:space="0" w:color="auto"/>
            <w:left w:val="none" w:sz="0" w:space="0" w:color="auto"/>
            <w:bottom w:val="none" w:sz="0" w:space="0" w:color="auto"/>
            <w:right w:val="none" w:sz="0" w:space="0" w:color="auto"/>
          </w:divBdr>
        </w:div>
        <w:div w:id="1931347495">
          <w:marLeft w:val="540"/>
          <w:marRight w:val="0"/>
          <w:marTop w:val="0"/>
          <w:marBottom w:val="0"/>
          <w:divBdr>
            <w:top w:val="none" w:sz="0" w:space="0" w:color="auto"/>
            <w:left w:val="none" w:sz="0" w:space="0" w:color="auto"/>
            <w:bottom w:val="none" w:sz="0" w:space="0" w:color="auto"/>
            <w:right w:val="none" w:sz="0" w:space="0" w:color="auto"/>
          </w:divBdr>
        </w:div>
        <w:div w:id="379793374">
          <w:marLeft w:val="540"/>
          <w:marRight w:val="0"/>
          <w:marTop w:val="0"/>
          <w:marBottom w:val="0"/>
          <w:divBdr>
            <w:top w:val="none" w:sz="0" w:space="0" w:color="auto"/>
            <w:left w:val="none" w:sz="0" w:space="0" w:color="auto"/>
            <w:bottom w:val="none" w:sz="0" w:space="0" w:color="auto"/>
            <w:right w:val="none" w:sz="0" w:space="0" w:color="auto"/>
          </w:divBdr>
        </w:div>
        <w:div w:id="1900163217">
          <w:marLeft w:val="540"/>
          <w:marRight w:val="0"/>
          <w:marTop w:val="0"/>
          <w:marBottom w:val="0"/>
          <w:divBdr>
            <w:top w:val="none" w:sz="0" w:space="0" w:color="auto"/>
            <w:left w:val="none" w:sz="0" w:space="0" w:color="auto"/>
            <w:bottom w:val="none" w:sz="0" w:space="0" w:color="auto"/>
            <w:right w:val="none" w:sz="0" w:space="0" w:color="auto"/>
          </w:divBdr>
        </w:div>
        <w:div w:id="1241333044">
          <w:marLeft w:val="540"/>
          <w:marRight w:val="0"/>
          <w:marTop w:val="0"/>
          <w:marBottom w:val="0"/>
          <w:divBdr>
            <w:top w:val="none" w:sz="0" w:space="0" w:color="auto"/>
            <w:left w:val="none" w:sz="0" w:space="0" w:color="auto"/>
            <w:bottom w:val="none" w:sz="0" w:space="0" w:color="auto"/>
            <w:right w:val="none" w:sz="0" w:space="0" w:color="auto"/>
          </w:divBdr>
        </w:div>
        <w:div w:id="409347073">
          <w:marLeft w:val="5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2.png"/><Relationship Id="rId26" Type="http://schemas.openxmlformats.org/officeDocument/2006/relationships/hyperlink" Target="https://www.huffingtonpost.com/alexandre-lemille/circular-economy-20_b_9376488.html" TargetMode="External"/><Relationship Id="rId39" Type="http://schemas.openxmlformats.org/officeDocument/2006/relationships/hyperlink" Target="https://www.waste.ru/modules/news/article.php?storyid=4877" TargetMode="External"/><Relationship Id="rId21" Type="http://schemas.openxmlformats.org/officeDocument/2006/relationships/image" Target="media/image5.emf"/><Relationship Id="rId34" Type="http://schemas.openxmlformats.org/officeDocument/2006/relationships/hyperlink" Target="https://ec.europa.eu/eurostat/en/web/products-eurostat-news/-/ddn-20210429-1" TargetMode="External"/><Relationship Id="rId42" Type="http://schemas.openxmlformats.org/officeDocument/2006/relationships/hyperlink" Target="https://www.circle-economy.com/low-carbon-circular-econo" TargetMode="External"/><Relationship Id="rId47" Type="http://schemas.openxmlformats.org/officeDocument/2006/relationships/hyperlink" Target="http://unfccc.int/national_reports/national_communications_and_biennial_reports/submissions/items/7742.php" TargetMode="External"/><Relationship Id="rId50" Type="http://schemas.openxmlformats.org/officeDocument/2006/relationships/header" Target="header1.xml"/><Relationship Id="rId7" Type="http://schemas.openxmlformats.org/officeDocument/2006/relationships/diagramData" Target="diagrams/data1.xml"/><Relationship Id="rId2" Type="http://schemas.openxmlformats.org/officeDocument/2006/relationships/styles" Target="styles.xml"/><Relationship Id="rId16" Type="http://schemas.openxmlformats.org/officeDocument/2006/relationships/diagramColors" Target="diagrams/colors2.xml"/><Relationship Id="rId29" Type="http://schemas.openxmlformats.org/officeDocument/2006/relationships/hyperlink" Target="https://doi.org/10.21003/ea.V179-01" TargetMode="External"/><Relationship Id="rId11" Type="http://schemas.microsoft.com/office/2007/relationships/diagramDrawing" Target="diagrams/drawing1.xml"/><Relationship Id="rId24" Type="http://schemas.openxmlformats.org/officeDocument/2006/relationships/image" Target="media/image8.png"/><Relationship Id="rId32" Type="http://schemas.openxmlformats.org/officeDocument/2006/relationships/hyperlink" Target="https://www.jois.eu/?476,en_%D0%A1ircular-economy-in-the-context-of-alterglobalization" TargetMode="External"/><Relationship Id="rId37" Type="http://schemas.openxmlformats.org/officeDocument/2006/relationships/hyperlink" Target="https://www.epravda.com.ua/publications/2021/06/18/675131/" TargetMode="External"/><Relationship Id="rId40" Type="http://schemas.openxmlformats.org/officeDocument/2006/relationships/hyperlink" Target="https://ec.europa.eu/eurostat/web/products-eurostat-news/-/ddn-20210429-1" TargetMode="External"/><Relationship Id="rId45" Type="http://schemas.openxmlformats.org/officeDocument/2006/relationships/hyperlink" Target="https://www.ceps.eu/system/files/WD412%20GreenEconet%20SMEs%20Circular%20Economy.pdf/" TargetMode="External"/><Relationship Id="rId5"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7.png"/><Relationship Id="rId28" Type="http://schemas.openxmlformats.org/officeDocument/2006/relationships/hyperlink" Target="http://procedia-esem.eu/pdf/issues/2021/no2/17_49_Krysovatyy_21.pdf" TargetMode="External"/><Relationship Id="rId36" Type="http://schemas.openxmlformats.org/officeDocument/2006/relationships/hyperlink" Target="https://re-solutions.com.ua/ru/rus-pochty-kak-shvetsyya-zachem-ukrayna-pokupaet-musor-yz-evropy-tunysa-y-fylyppyn/" TargetMode="External"/><Relationship Id="rId49" Type="http://schemas.openxmlformats.org/officeDocument/2006/relationships/hyperlink" Target="http://www.philips.com/aw/about/sustainability/sustainable-planet/circular-economy.html" TargetMode="External"/><Relationship Id="rId10" Type="http://schemas.openxmlformats.org/officeDocument/2006/relationships/diagramColors" Target="diagrams/colors1.xml"/><Relationship Id="rId19" Type="http://schemas.openxmlformats.org/officeDocument/2006/relationships/image" Target="media/image3.emf"/><Relationship Id="rId31" Type="http://schemas.openxmlformats.org/officeDocument/2006/relationships/hyperlink" Target="https://www.researchgate.net/publication/330121772_Preconditions_for_the_Tax_Environment_of_a_Alterglobal_Development" TargetMode="External"/><Relationship Id="rId44" Type="http://schemas.openxmlformats.org/officeDocument/2006/relationships/hyperlink" Target="https://rethink.com.ua/uk/materials/plastic-bags/karta-obmezhen-obigu-polietilenovikh-paketiv"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Layout" Target="diagrams/layout2.xml"/><Relationship Id="rId22" Type="http://schemas.openxmlformats.org/officeDocument/2006/relationships/image" Target="media/image6.emf"/><Relationship Id="rId27" Type="http://schemas.openxmlformats.org/officeDocument/2006/relationships/hyperlink" Target="https://doi.org/10.21003/ea.V184-01" TargetMode="External"/><Relationship Id="rId30" Type="http://schemas.openxmlformats.org/officeDocument/2006/relationships/hyperlink" Target="http://www.procedia-esem.eu/pdf/issues/2019/no4/72_Reznikova_19.pdf" TargetMode="External"/><Relationship Id="rId35" Type="http://schemas.openxmlformats.org/officeDocument/2006/relationships/hyperlink" Target="https://ec.europa.eu/eurostat/en/web/products-eurostat-news/-/ddn-20200709-01" TargetMode="External"/><Relationship Id="rId43" Type="http://schemas.openxmlformats.org/officeDocument/2006/relationships/hyperlink" Target="http://www.chathamhouse.org/" TargetMode="External"/><Relationship Id="rId48" Type="http://schemas.openxmlformats.org/officeDocument/2006/relationships/hyperlink" Target="http://www.statistiques.developpement-durable.gouv.fr/.../datalab-" TargetMode="External"/><Relationship Id="rId8" Type="http://schemas.openxmlformats.org/officeDocument/2006/relationships/diagramLayout" Target="diagrams/layout1.xm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1.emf"/><Relationship Id="rId17" Type="http://schemas.microsoft.com/office/2007/relationships/diagramDrawing" Target="diagrams/drawing2.xml"/><Relationship Id="rId25" Type="http://schemas.openxmlformats.org/officeDocument/2006/relationships/image" Target="media/image9.png"/><Relationship Id="rId33" Type="http://schemas.openxmlformats.org/officeDocument/2006/relationships/hyperlink" Target="https://doi.org/10.21003/ea.V174-01" TargetMode="External"/><Relationship Id="rId38" Type="http://schemas.openxmlformats.org/officeDocument/2006/relationships/hyperlink" Target="https://www.reline.com.ua/statti/pererobka-smittya-ta-vtorsyrovyna/" TargetMode="External"/><Relationship Id="rId46" Type="http://schemas.openxmlformats.org/officeDocument/2006/relationships/hyperlink" Target="http://www.bakertilly.ua/ru/news/id1065" TargetMode="External"/><Relationship Id="rId20" Type="http://schemas.openxmlformats.org/officeDocument/2006/relationships/image" Target="media/image4.emf"/><Relationship Id="rId41" Type="http://schemas.openxmlformats.org/officeDocument/2006/relationships/hyperlink" Target="http://ec.europa.eu/growth/content/plastic-waste-european-strategy-protect-planet-defend-our-citizens-and-empower-our_en" TargetMode="External"/><Relationship Id="rId1" Type="http://schemas.openxmlformats.org/officeDocument/2006/relationships/numbering" Target="numbering.xml"/><Relationship Id="rId6"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21E47A4-3C6F-4F02-90F6-2AD4F8DD15D2}"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uk-UA"/>
        </a:p>
      </dgm:t>
    </dgm:pt>
    <dgm:pt modelId="{DE0C3861-6CD8-4A21-8C20-A0ACC3817A5C}">
      <dgm:prSet phldrT="[Текст]"/>
      <dgm:spPr/>
      <dgm:t>
        <a:bodyPr/>
        <a:lstStyle/>
        <a:p>
          <a:r>
            <a:rPr lang="uk-UA">
              <a:latin typeface="Times New Roman" panose="02020603050405020304" pitchFamily="18" charset="0"/>
              <a:cs typeface="Times New Roman" panose="02020603050405020304" pitchFamily="18" charset="0"/>
            </a:rPr>
            <a:t>Ембріональний період (до 1972 р.)</a:t>
          </a:r>
        </a:p>
      </dgm:t>
    </dgm:pt>
    <dgm:pt modelId="{9870BB00-27A8-4E52-86C9-1246CF9D1B17}" type="parTrans" cxnId="{7BCDE63E-45BD-4CB7-8422-8F56A454A0C4}">
      <dgm:prSet/>
      <dgm:spPr/>
      <dgm:t>
        <a:bodyPr/>
        <a:lstStyle/>
        <a:p>
          <a:endParaRPr lang="uk-UA">
            <a:latin typeface="Times New Roman" panose="02020603050405020304" pitchFamily="18" charset="0"/>
            <a:cs typeface="Times New Roman" panose="02020603050405020304" pitchFamily="18" charset="0"/>
          </a:endParaRPr>
        </a:p>
      </dgm:t>
    </dgm:pt>
    <dgm:pt modelId="{5F2D1E9D-6CB5-42CA-B735-A7A36FB8BEC7}" type="sibTrans" cxnId="{7BCDE63E-45BD-4CB7-8422-8F56A454A0C4}">
      <dgm:prSet/>
      <dgm:spPr/>
      <dgm:t>
        <a:bodyPr/>
        <a:lstStyle/>
        <a:p>
          <a:endParaRPr lang="uk-UA">
            <a:latin typeface="Times New Roman" panose="02020603050405020304" pitchFamily="18" charset="0"/>
            <a:cs typeface="Times New Roman" panose="02020603050405020304" pitchFamily="18" charset="0"/>
          </a:endParaRPr>
        </a:p>
      </dgm:t>
    </dgm:pt>
    <dgm:pt modelId="{886AD8C8-A246-4CEC-91D6-F19AFE358443}">
      <dgm:prSet phldrT="[Текст]"/>
      <dgm:spPr/>
      <dgm:t>
        <a:bodyPr/>
        <a:lstStyle/>
        <a:p>
          <a:r>
            <a:rPr lang="uk-UA">
              <a:latin typeface="Times New Roman" panose="02020603050405020304" pitchFamily="18" charset="0"/>
              <a:cs typeface="Times New Roman" panose="02020603050405020304" pitchFamily="18" charset="0"/>
            </a:rPr>
            <a:t>Період формування (1972–1987)</a:t>
          </a:r>
        </a:p>
        <a:p>
          <a:r>
            <a:rPr lang="uk-UA">
              <a:latin typeface="Times New Roman" panose="02020603050405020304" pitchFamily="18" charset="0"/>
              <a:cs typeface="Times New Roman" panose="02020603050405020304" pitchFamily="18" charset="0"/>
            </a:rPr>
            <a:t>Конференція ООН з навколишнього середовища в 1972 році</a:t>
          </a:r>
        </a:p>
      </dgm:t>
    </dgm:pt>
    <dgm:pt modelId="{6164CA33-C3D9-484F-97D4-EEC248067A2A}" type="parTrans" cxnId="{834BBDB1-E379-4BB2-99B7-4FA920D86664}">
      <dgm:prSet/>
      <dgm:spPr/>
      <dgm:t>
        <a:bodyPr/>
        <a:lstStyle/>
        <a:p>
          <a:endParaRPr lang="uk-UA">
            <a:latin typeface="Times New Roman" panose="02020603050405020304" pitchFamily="18" charset="0"/>
            <a:cs typeface="Times New Roman" panose="02020603050405020304" pitchFamily="18" charset="0"/>
          </a:endParaRPr>
        </a:p>
      </dgm:t>
    </dgm:pt>
    <dgm:pt modelId="{90AA6D43-6613-47CC-9C35-963223810ED4}" type="sibTrans" cxnId="{834BBDB1-E379-4BB2-99B7-4FA920D86664}">
      <dgm:prSet/>
      <dgm:spPr/>
      <dgm:t>
        <a:bodyPr/>
        <a:lstStyle/>
        <a:p>
          <a:endParaRPr lang="uk-UA">
            <a:latin typeface="Times New Roman" panose="02020603050405020304" pitchFamily="18" charset="0"/>
            <a:cs typeface="Times New Roman" panose="02020603050405020304" pitchFamily="18" charset="0"/>
          </a:endParaRPr>
        </a:p>
      </dgm:t>
    </dgm:pt>
    <dgm:pt modelId="{685DB5AF-7A30-4168-9BFE-69D6898B6D83}">
      <dgm:prSet phldrT="[Текст]"/>
      <dgm:spPr/>
      <dgm:t>
        <a:bodyPr/>
        <a:lstStyle/>
        <a:p>
          <a:r>
            <a:rPr lang="uk-UA">
              <a:latin typeface="Times New Roman" panose="02020603050405020304" pitchFamily="18" charset="0"/>
              <a:cs typeface="Times New Roman" panose="02020603050405020304" pitchFamily="18" charset="0"/>
            </a:rPr>
            <a:t>Період розвитку (1987 – дотепер)</a:t>
          </a:r>
        </a:p>
        <a:p>
          <a:r>
            <a:rPr lang="uk-UA">
              <a:latin typeface="Times New Roman" panose="02020603050405020304" pitchFamily="18" charset="0"/>
              <a:cs typeface="Times New Roman" panose="02020603050405020304" pitchFamily="18" charset="0"/>
            </a:rPr>
            <a:t>Конференція ООН з навколишнього середовища та розвитку 1992 року</a:t>
          </a:r>
        </a:p>
      </dgm:t>
    </dgm:pt>
    <dgm:pt modelId="{4C4170F8-159E-4B9E-AB9F-C2522B364CD0}" type="parTrans" cxnId="{08CCDA3A-9068-4E52-AA0D-1FBEC7174F04}">
      <dgm:prSet/>
      <dgm:spPr/>
      <dgm:t>
        <a:bodyPr/>
        <a:lstStyle/>
        <a:p>
          <a:endParaRPr lang="uk-UA">
            <a:latin typeface="Times New Roman" panose="02020603050405020304" pitchFamily="18" charset="0"/>
            <a:cs typeface="Times New Roman" panose="02020603050405020304" pitchFamily="18" charset="0"/>
          </a:endParaRPr>
        </a:p>
      </dgm:t>
    </dgm:pt>
    <dgm:pt modelId="{318757E7-0355-48D3-A4BA-D2BD2E85ADFF}" type="sibTrans" cxnId="{08CCDA3A-9068-4E52-AA0D-1FBEC7174F04}">
      <dgm:prSet/>
      <dgm:spPr/>
      <dgm:t>
        <a:bodyPr/>
        <a:lstStyle/>
        <a:p>
          <a:endParaRPr lang="uk-UA">
            <a:latin typeface="Times New Roman" panose="02020603050405020304" pitchFamily="18" charset="0"/>
            <a:cs typeface="Times New Roman" panose="02020603050405020304" pitchFamily="18" charset="0"/>
          </a:endParaRPr>
        </a:p>
      </dgm:t>
    </dgm:pt>
    <dgm:pt modelId="{D9E9BE69-EEA5-4FEA-BB20-5C9228BBEA1B}" type="pres">
      <dgm:prSet presAssocID="{021E47A4-3C6F-4F02-90F6-2AD4F8DD15D2}" presName="rootnode" presStyleCnt="0">
        <dgm:presLayoutVars>
          <dgm:chMax/>
          <dgm:chPref/>
          <dgm:dir/>
          <dgm:animLvl val="lvl"/>
        </dgm:presLayoutVars>
      </dgm:prSet>
      <dgm:spPr/>
    </dgm:pt>
    <dgm:pt modelId="{417F05FF-3DD0-425A-8E56-8283E900D3C7}" type="pres">
      <dgm:prSet presAssocID="{DE0C3861-6CD8-4A21-8C20-A0ACC3817A5C}" presName="composite" presStyleCnt="0"/>
      <dgm:spPr/>
    </dgm:pt>
    <dgm:pt modelId="{CB63C8B0-EFDB-441F-AD4A-CA121438F0F8}" type="pres">
      <dgm:prSet presAssocID="{DE0C3861-6CD8-4A21-8C20-A0ACC3817A5C}" presName="LShape" presStyleLbl="alignNode1" presStyleIdx="0" presStyleCnt="5"/>
      <dgm:spPr/>
    </dgm:pt>
    <dgm:pt modelId="{9D027D0F-DEC5-4E22-B7CE-C54D78086774}" type="pres">
      <dgm:prSet presAssocID="{DE0C3861-6CD8-4A21-8C20-A0ACC3817A5C}" presName="ParentText" presStyleLbl="revTx" presStyleIdx="0" presStyleCnt="3">
        <dgm:presLayoutVars>
          <dgm:chMax val="0"/>
          <dgm:chPref val="0"/>
          <dgm:bulletEnabled val="1"/>
        </dgm:presLayoutVars>
      </dgm:prSet>
      <dgm:spPr/>
    </dgm:pt>
    <dgm:pt modelId="{CFB89114-67EB-4A11-9DE5-9BD86E4C1F6E}" type="pres">
      <dgm:prSet presAssocID="{DE0C3861-6CD8-4A21-8C20-A0ACC3817A5C}" presName="Triangle" presStyleLbl="alignNode1" presStyleIdx="1" presStyleCnt="5"/>
      <dgm:spPr/>
    </dgm:pt>
    <dgm:pt modelId="{2C412D99-8ABF-4DF1-B89F-B1A10D491EF9}" type="pres">
      <dgm:prSet presAssocID="{5F2D1E9D-6CB5-42CA-B735-A7A36FB8BEC7}" presName="sibTrans" presStyleCnt="0"/>
      <dgm:spPr/>
    </dgm:pt>
    <dgm:pt modelId="{8AAD0AC0-F4D7-45CC-A8FD-6837E7DF4A1B}" type="pres">
      <dgm:prSet presAssocID="{5F2D1E9D-6CB5-42CA-B735-A7A36FB8BEC7}" presName="space" presStyleCnt="0"/>
      <dgm:spPr/>
    </dgm:pt>
    <dgm:pt modelId="{BCC74E42-558C-4628-BFE3-F2668919609A}" type="pres">
      <dgm:prSet presAssocID="{886AD8C8-A246-4CEC-91D6-F19AFE358443}" presName="composite" presStyleCnt="0"/>
      <dgm:spPr/>
    </dgm:pt>
    <dgm:pt modelId="{C1A308EE-102F-42F3-A08D-ED973882AA86}" type="pres">
      <dgm:prSet presAssocID="{886AD8C8-A246-4CEC-91D6-F19AFE358443}" presName="LShape" presStyleLbl="alignNode1" presStyleIdx="2" presStyleCnt="5"/>
      <dgm:spPr/>
    </dgm:pt>
    <dgm:pt modelId="{A51BD77A-5BC7-44F9-AD74-1CF32B944B66}" type="pres">
      <dgm:prSet presAssocID="{886AD8C8-A246-4CEC-91D6-F19AFE358443}" presName="ParentText" presStyleLbl="revTx" presStyleIdx="1" presStyleCnt="3">
        <dgm:presLayoutVars>
          <dgm:chMax val="0"/>
          <dgm:chPref val="0"/>
          <dgm:bulletEnabled val="1"/>
        </dgm:presLayoutVars>
      </dgm:prSet>
      <dgm:spPr/>
    </dgm:pt>
    <dgm:pt modelId="{F53C804B-7451-4F0F-BC51-B67258CF46DB}" type="pres">
      <dgm:prSet presAssocID="{886AD8C8-A246-4CEC-91D6-F19AFE358443}" presName="Triangle" presStyleLbl="alignNode1" presStyleIdx="3" presStyleCnt="5"/>
      <dgm:spPr/>
    </dgm:pt>
    <dgm:pt modelId="{7F2E2F8A-5B89-43AF-A265-D398B8912DFF}" type="pres">
      <dgm:prSet presAssocID="{90AA6D43-6613-47CC-9C35-963223810ED4}" presName="sibTrans" presStyleCnt="0"/>
      <dgm:spPr/>
    </dgm:pt>
    <dgm:pt modelId="{19B9A506-818D-49A3-9411-2BBE009F8E93}" type="pres">
      <dgm:prSet presAssocID="{90AA6D43-6613-47CC-9C35-963223810ED4}" presName="space" presStyleCnt="0"/>
      <dgm:spPr/>
    </dgm:pt>
    <dgm:pt modelId="{116F1381-887A-4127-AA06-84FC9AC42098}" type="pres">
      <dgm:prSet presAssocID="{685DB5AF-7A30-4168-9BFE-69D6898B6D83}" presName="composite" presStyleCnt="0"/>
      <dgm:spPr/>
    </dgm:pt>
    <dgm:pt modelId="{46BC027D-AC2E-452C-BAFC-D3D8A6509C33}" type="pres">
      <dgm:prSet presAssocID="{685DB5AF-7A30-4168-9BFE-69D6898B6D83}" presName="LShape" presStyleLbl="alignNode1" presStyleIdx="4" presStyleCnt="5"/>
      <dgm:spPr/>
    </dgm:pt>
    <dgm:pt modelId="{F495A964-661A-4F8D-9264-2F5E4D8E312B}" type="pres">
      <dgm:prSet presAssocID="{685DB5AF-7A30-4168-9BFE-69D6898B6D83}" presName="ParentText" presStyleLbl="revTx" presStyleIdx="2" presStyleCnt="3">
        <dgm:presLayoutVars>
          <dgm:chMax val="0"/>
          <dgm:chPref val="0"/>
          <dgm:bulletEnabled val="1"/>
        </dgm:presLayoutVars>
      </dgm:prSet>
      <dgm:spPr/>
    </dgm:pt>
  </dgm:ptLst>
  <dgm:cxnLst>
    <dgm:cxn modelId="{08CCDA3A-9068-4E52-AA0D-1FBEC7174F04}" srcId="{021E47A4-3C6F-4F02-90F6-2AD4F8DD15D2}" destId="{685DB5AF-7A30-4168-9BFE-69D6898B6D83}" srcOrd="2" destOrd="0" parTransId="{4C4170F8-159E-4B9E-AB9F-C2522B364CD0}" sibTransId="{318757E7-0355-48D3-A4BA-D2BD2E85ADFF}"/>
    <dgm:cxn modelId="{7BCDE63E-45BD-4CB7-8422-8F56A454A0C4}" srcId="{021E47A4-3C6F-4F02-90F6-2AD4F8DD15D2}" destId="{DE0C3861-6CD8-4A21-8C20-A0ACC3817A5C}" srcOrd="0" destOrd="0" parTransId="{9870BB00-27A8-4E52-86C9-1246CF9D1B17}" sibTransId="{5F2D1E9D-6CB5-42CA-B735-A7A36FB8BEC7}"/>
    <dgm:cxn modelId="{1B289B70-9572-47D2-B135-FD4B15188524}" type="presOf" srcId="{DE0C3861-6CD8-4A21-8C20-A0ACC3817A5C}" destId="{9D027D0F-DEC5-4E22-B7CE-C54D78086774}" srcOrd="0" destOrd="0" presId="urn:microsoft.com/office/officeart/2009/3/layout/StepUpProcess"/>
    <dgm:cxn modelId="{256AE87B-3904-481A-A6B6-1E53519FDBBF}" type="presOf" srcId="{021E47A4-3C6F-4F02-90F6-2AD4F8DD15D2}" destId="{D9E9BE69-EEA5-4FEA-BB20-5C9228BBEA1B}" srcOrd="0" destOrd="0" presId="urn:microsoft.com/office/officeart/2009/3/layout/StepUpProcess"/>
    <dgm:cxn modelId="{E2413D8C-A5E4-44F3-9EB1-3CC572AAA767}" type="presOf" srcId="{886AD8C8-A246-4CEC-91D6-F19AFE358443}" destId="{A51BD77A-5BC7-44F9-AD74-1CF32B944B66}" srcOrd="0" destOrd="0" presId="urn:microsoft.com/office/officeart/2009/3/layout/StepUpProcess"/>
    <dgm:cxn modelId="{834BBDB1-E379-4BB2-99B7-4FA920D86664}" srcId="{021E47A4-3C6F-4F02-90F6-2AD4F8DD15D2}" destId="{886AD8C8-A246-4CEC-91D6-F19AFE358443}" srcOrd="1" destOrd="0" parTransId="{6164CA33-C3D9-484F-97D4-EEC248067A2A}" sibTransId="{90AA6D43-6613-47CC-9C35-963223810ED4}"/>
    <dgm:cxn modelId="{B713B2B8-E59F-4BF3-8D66-F7165131BB7D}" type="presOf" srcId="{685DB5AF-7A30-4168-9BFE-69D6898B6D83}" destId="{F495A964-661A-4F8D-9264-2F5E4D8E312B}" srcOrd="0" destOrd="0" presId="urn:microsoft.com/office/officeart/2009/3/layout/StepUpProcess"/>
    <dgm:cxn modelId="{335C6CA0-B2B3-4BC8-8EA1-9E520DE1C705}" type="presParOf" srcId="{D9E9BE69-EEA5-4FEA-BB20-5C9228BBEA1B}" destId="{417F05FF-3DD0-425A-8E56-8283E900D3C7}" srcOrd="0" destOrd="0" presId="urn:microsoft.com/office/officeart/2009/3/layout/StepUpProcess"/>
    <dgm:cxn modelId="{B7B5841A-A679-4876-89F0-2AADEF8ACF03}" type="presParOf" srcId="{417F05FF-3DD0-425A-8E56-8283E900D3C7}" destId="{CB63C8B0-EFDB-441F-AD4A-CA121438F0F8}" srcOrd="0" destOrd="0" presId="urn:microsoft.com/office/officeart/2009/3/layout/StepUpProcess"/>
    <dgm:cxn modelId="{8CB8C46F-C742-4ED5-B5FB-72CFA7578517}" type="presParOf" srcId="{417F05FF-3DD0-425A-8E56-8283E900D3C7}" destId="{9D027D0F-DEC5-4E22-B7CE-C54D78086774}" srcOrd="1" destOrd="0" presId="urn:microsoft.com/office/officeart/2009/3/layout/StepUpProcess"/>
    <dgm:cxn modelId="{9286D1FA-CB4E-4CC5-8BB5-EE236AB43E58}" type="presParOf" srcId="{417F05FF-3DD0-425A-8E56-8283E900D3C7}" destId="{CFB89114-67EB-4A11-9DE5-9BD86E4C1F6E}" srcOrd="2" destOrd="0" presId="urn:microsoft.com/office/officeart/2009/3/layout/StepUpProcess"/>
    <dgm:cxn modelId="{48E45075-B18E-48B4-A11A-92CAB24725BC}" type="presParOf" srcId="{D9E9BE69-EEA5-4FEA-BB20-5C9228BBEA1B}" destId="{2C412D99-8ABF-4DF1-B89F-B1A10D491EF9}" srcOrd="1" destOrd="0" presId="urn:microsoft.com/office/officeart/2009/3/layout/StepUpProcess"/>
    <dgm:cxn modelId="{CB1CD2F0-7AE8-4A63-B733-AA8E2FE95DDF}" type="presParOf" srcId="{2C412D99-8ABF-4DF1-B89F-B1A10D491EF9}" destId="{8AAD0AC0-F4D7-45CC-A8FD-6837E7DF4A1B}" srcOrd="0" destOrd="0" presId="urn:microsoft.com/office/officeart/2009/3/layout/StepUpProcess"/>
    <dgm:cxn modelId="{196072AC-CCDC-4C7E-9FC4-C80B896D53F7}" type="presParOf" srcId="{D9E9BE69-EEA5-4FEA-BB20-5C9228BBEA1B}" destId="{BCC74E42-558C-4628-BFE3-F2668919609A}" srcOrd="2" destOrd="0" presId="urn:microsoft.com/office/officeart/2009/3/layout/StepUpProcess"/>
    <dgm:cxn modelId="{5C474D14-CCE7-4124-B396-E9E8AF88D022}" type="presParOf" srcId="{BCC74E42-558C-4628-BFE3-F2668919609A}" destId="{C1A308EE-102F-42F3-A08D-ED973882AA86}" srcOrd="0" destOrd="0" presId="urn:microsoft.com/office/officeart/2009/3/layout/StepUpProcess"/>
    <dgm:cxn modelId="{5A13276D-E533-4952-A05D-BCE6F07CAAC0}" type="presParOf" srcId="{BCC74E42-558C-4628-BFE3-F2668919609A}" destId="{A51BD77A-5BC7-44F9-AD74-1CF32B944B66}" srcOrd="1" destOrd="0" presId="urn:microsoft.com/office/officeart/2009/3/layout/StepUpProcess"/>
    <dgm:cxn modelId="{AEE0399D-FFD2-4E71-968D-407CDAB5384D}" type="presParOf" srcId="{BCC74E42-558C-4628-BFE3-F2668919609A}" destId="{F53C804B-7451-4F0F-BC51-B67258CF46DB}" srcOrd="2" destOrd="0" presId="urn:microsoft.com/office/officeart/2009/3/layout/StepUpProcess"/>
    <dgm:cxn modelId="{6D266BAE-4B32-446B-8D7D-01E7D1E1166D}" type="presParOf" srcId="{D9E9BE69-EEA5-4FEA-BB20-5C9228BBEA1B}" destId="{7F2E2F8A-5B89-43AF-A265-D398B8912DFF}" srcOrd="3" destOrd="0" presId="urn:microsoft.com/office/officeart/2009/3/layout/StepUpProcess"/>
    <dgm:cxn modelId="{2ACD41FD-8931-4704-B071-AF107F0A9441}" type="presParOf" srcId="{7F2E2F8A-5B89-43AF-A265-D398B8912DFF}" destId="{19B9A506-818D-49A3-9411-2BBE009F8E93}" srcOrd="0" destOrd="0" presId="urn:microsoft.com/office/officeart/2009/3/layout/StepUpProcess"/>
    <dgm:cxn modelId="{A3CD2ECA-B5A6-4FDE-8F44-6D90D5BBBDAC}" type="presParOf" srcId="{D9E9BE69-EEA5-4FEA-BB20-5C9228BBEA1B}" destId="{116F1381-887A-4127-AA06-84FC9AC42098}" srcOrd="4" destOrd="0" presId="urn:microsoft.com/office/officeart/2009/3/layout/StepUpProcess"/>
    <dgm:cxn modelId="{F658A3E2-35AC-4215-8E19-EC598976818E}" type="presParOf" srcId="{116F1381-887A-4127-AA06-84FC9AC42098}" destId="{46BC027D-AC2E-452C-BAFC-D3D8A6509C33}" srcOrd="0" destOrd="0" presId="urn:microsoft.com/office/officeart/2009/3/layout/StepUpProcess"/>
    <dgm:cxn modelId="{DC82D73A-7407-4DA0-A2A8-EDFBFC914FDC}" type="presParOf" srcId="{116F1381-887A-4127-AA06-84FC9AC42098}" destId="{F495A964-661A-4F8D-9264-2F5E4D8E312B}" srcOrd="1" destOrd="0" presId="urn:microsoft.com/office/officeart/2009/3/layout/StepUpProcess"/>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AFB7784-D913-4295-BA02-24430877BE15}" type="doc">
      <dgm:prSet loTypeId="urn:microsoft.com/office/officeart/2005/8/layout/venn2" loCatId="relationship" qsTypeId="urn:microsoft.com/office/officeart/2005/8/quickstyle/simple5" qsCatId="simple" csTypeId="urn:microsoft.com/office/officeart/2005/8/colors/accent0_1" csCatId="mainScheme" phldr="1"/>
      <dgm:spPr/>
      <dgm:t>
        <a:bodyPr/>
        <a:lstStyle/>
        <a:p>
          <a:endParaRPr lang="uk-UA"/>
        </a:p>
      </dgm:t>
    </dgm:pt>
    <dgm:pt modelId="{B8B6DCDE-7552-4359-88D8-0020373DAA81}">
      <dgm:prSet phldrT="[Текст]" custT="1"/>
      <dgm:spPr/>
      <dgm:t>
        <a:bodyPr/>
        <a:lstStyle/>
        <a:p>
          <a:r>
            <a:rPr lang="uk-UA" sz="1050">
              <a:latin typeface="Times New Roman" panose="02020603050405020304" pitchFamily="18" charset="0"/>
              <a:cs typeface="Times New Roman" panose="02020603050405020304" pitchFamily="18" charset="0"/>
            </a:rPr>
            <a:t>хроносистема</a:t>
          </a:r>
        </a:p>
      </dgm:t>
    </dgm:pt>
    <dgm:pt modelId="{31CFB01F-B82A-483D-8ECA-2BFBBB3E77BC}" type="parTrans" cxnId="{91787D0A-E1A2-4065-8C78-5126DE4B5A3F}">
      <dgm:prSet/>
      <dgm:spPr/>
      <dgm:t>
        <a:bodyPr/>
        <a:lstStyle/>
        <a:p>
          <a:endParaRPr lang="uk-UA" sz="1050">
            <a:latin typeface="Times New Roman" panose="02020603050405020304" pitchFamily="18" charset="0"/>
            <a:cs typeface="Times New Roman" panose="02020603050405020304" pitchFamily="18" charset="0"/>
          </a:endParaRPr>
        </a:p>
      </dgm:t>
    </dgm:pt>
    <dgm:pt modelId="{2407D7D8-EFB1-4729-AB32-E8B1304984BC}" type="sibTrans" cxnId="{91787D0A-E1A2-4065-8C78-5126DE4B5A3F}">
      <dgm:prSet/>
      <dgm:spPr/>
      <dgm:t>
        <a:bodyPr/>
        <a:lstStyle/>
        <a:p>
          <a:endParaRPr lang="uk-UA" sz="1050">
            <a:latin typeface="Times New Roman" panose="02020603050405020304" pitchFamily="18" charset="0"/>
            <a:cs typeface="Times New Roman" panose="02020603050405020304" pitchFamily="18" charset="0"/>
          </a:endParaRPr>
        </a:p>
      </dgm:t>
    </dgm:pt>
    <dgm:pt modelId="{54A6511C-54AE-41EF-A7A2-F6DF7E817EC0}">
      <dgm:prSet phldrT="[Текст]" custT="1"/>
      <dgm:spPr/>
      <dgm:t>
        <a:bodyPr/>
        <a:lstStyle/>
        <a:p>
          <a:r>
            <a:rPr lang="uk-UA" sz="1050">
              <a:latin typeface="Times New Roman" panose="02020603050405020304" pitchFamily="18" charset="0"/>
              <a:cs typeface="Times New Roman" panose="02020603050405020304" pitchFamily="18" charset="0"/>
            </a:rPr>
            <a:t>макросистеми</a:t>
          </a:r>
        </a:p>
      </dgm:t>
    </dgm:pt>
    <dgm:pt modelId="{BADC6770-2929-47E6-A33B-E89EC6518823}" type="parTrans" cxnId="{BC15DFC7-DAE7-4C6D-8C01-598BA0CCAB97}">
      <dgm:prSet/>
      <dgm:spPr/>
      <dgm:t>
        <a:bodyPr/>
        <a:lstStyle/>
        <a:p>
          <a:endParaRPr lang="uk-UA" sz="1050">
            <a:latin typeface="Times New Roman" panose="02020603050405020304" pitchFamily="18" charset="0"/>
            <a:cs typeface="Times New Roman" panose="02020603050405020304" pitchFamily="18" charset="0"/>
          </a:endParaRPr>
        </a:p>
      </dgm:t>
    </dgm:pt>
    <dgm:pt modelId="{0B1DA3C9-15AF-40C4-8516-99939F2DEC1A}" type="sibTrans" cxnId="{BC15DFC7-DAE7-4C6D-8C01-598BA0CCAB97}">
      <dgm:prSet/>
      <dgm:spPr/>
      <dgm:t>
        <a:bodyPr/>
        <a:lstStyle/>
        <a:p>
          <a:endParaRPr lang="uk-UA" sz="1050">
            <a:latin typeface="Times New Roman" panose="02020603050405020304" pitchFamily="18" charset="0"/>
            <a:cs typeface="Times New Roman" panose="02020603050405020304" pitchFamily="18" charset="0"/>
          </a:endParaRPr>
        </a:p>
      </dgm:t>
    </dgm:pt>
    <dgm:pt modelId="{B6990C65-7E09-4AA8-8E01-8C3232B22AC2}">
      <dgm:prSet phldrT="[Текст]" custT="1"/>
      <dgm:spPr/>
      <dgm:t>
        <a:bodyPr/>
        <a:lstStyle/>
        <a:p>
          <a:r>
            <a:rPr lang="uk-UA" sz="1050">
              <a:latin typeface="Times New Roman" panose="02020603050405020304" pitchFamily="18" charset="0"/>
              <a:cs typeface="Times New Roman" panose="02020603050405020304" pitchFamily="18" charset="0"/>
            </a:rPr>
            <a:t>мезосистема</a:t>
          </a:r>
        </a:p>
      </dgm:t>
    </dgm:pt>
    <dgm:pt modelId="{80DF0A1E-649F-4E45-8366-A0DD34C20066}" type="parTrans" cxnId="{53C3F696-A71C-475C-9752-D42EB810DD6C}">
      <dgm:prSet/>
      <dgm:spPr/>
      <dgm:t>
        <a:bodyPr/>
        <a:lstStyle/>
        <a:p>
          <a:endParaRPr lang="uk-UA" sz="1050">
            <a:latin typeface="Times New Roman" panose="02020603050405020304" pitchFamily="18" charset="0"/>
            <a:cs typeface="Times New Roman" panose="02020603050405020304" pitchFamily="18" charset="0"/>
          </a:endParaRPr>
        </a:p>
      </dgm:t>
    </dgm:pt>
    <dgm:pt modelId="{C9ADCCC3-B746-48AA-ACFE-B5FB83C164EE}" type="sibTrans" cxnId="{53C3F696-A71C-475C-9752-D42EB810DD6C}">
      <dgm:prSet/>
      <dgm:spPr/>
      <dgm:t>
        <a:bodyPr/>
        <a:lstStyle/>
        <a:p>
          <a:endParaRPr lang="uk-UA" sz="1050">
            <a:latin typeface="Times New Roman" panose="02020603050405020304" pitchFamily="18" charset="0"/>
            <a:cs typeface="Times New Roman" panose="02020603050405020304" pitchFamily="18" charset="0"/>
          </a:endParaRPr>
        </a:p>
      </dgm:t>
    </dgm:pt>
    <dgm:pt modelId="{C9464C87-805E-4BB2-B318-926566747CF8}">
      <dgm:prSet phldrT="[Текст]" custT="1"/>
      <dgm:spPr/>
      <dgm:t>
        <a:bodyPr/>
        <a:lstStyle/>
        <a:p>
          <a:r>
            <a:rPr lang="uk-UA" sz="1050">
              <a:latin typeface="Times New Roman" panose="02020603050405020304" pitchFamily="18" charset="0"/>
              <a:cs typeface="Times New Roman" panose="02020603050405020304" pitchFamily="18" charset="0"/>
            </a:rPr>
            <a:t>мікросистема</a:t>
          </a:r>
        </a:p>
      </dgm:t>
    </dgm:pt>
    <dgm:pt modelId="{AF71505C-25F0-4D04-8AC2-D26A048F1A63}" type="parTrans" cxnId="{6D51617B-7464-4A4A-96D3-C53BA3A7CCE0}">
      <dgm:prSet/>
      <dgm:spPr/>
      <dgm:t>
        <a:bodyPr/>
        <a:lstStyle/>
        <a:p>
          <a:endParaRPr lang="uk-UA" sz="1050">
            <a:latin typeface="Times New Roman" panose="02020603050405020304" pitchFamily="18" charset="0"/>
            <a:cs typeface="Times New Roman" panose="02020603050405020304" pitchFamily="18" charset="0"/>
          </a:endParaRPr>
        </a:p>
      </dgm:t>
    </dgm:pt>
    <dgm:pt modelId="{A2A1AD86-DF58-4CAA-BA1F-0D14E3F7B394}" type="sibTrans" cxnId="{6D51617B-7464-4A4A-96D3-C53BA3A7CCE0}">
      <dgm:prSet/>
      <dgm:spPr/>
      <dgm:t>
        <a:bodyPr/>
        <a:lstStyle/>
        <a:p>
          <a:endParaRPr lang="uk-UA" sz="1050">
            <a:latin typeface="Times New Roman" panose="02020603050405020304" pitchFamily="18" charset="0"/>
            <a:cs typeface="Times New Roman" panose="02020603050405020304" pitchFamily="18" charset="0"/>
          </a:endParaRPr>
        </a:p>
      </dgm:t>
    </dgm:pt>
    <dgm:pt modelId="{183996C3-8370-4814-8EBC-0AA27B30D8AF}" type="pres">
      <dgm:prSet presAssocID="{9AFB7784-D913-4295-BA02-24430877BE15}" presName="Name0" presStyleCnt="0">
        <dgm:presLayoutVars>
          <dgm:chMax val="7"/>
          <dgm:resizeHandles val="exact"/>
        </dgm:presLayoutVars>
      </dgm:prSet>
      <dgm:spPr/>
    </dgm:pt>
    <dgm:pt modelId="{2B54B5A6-3E23-4E7F-9375-FDCC79853FBE}" type="pres">
      <dgm:prSet presAssocID="{9AFB7784-D913-4295-BA02-24430877BE15}" presName="comp1" presStyleCnt="0"/>
      <dgm:spPr/>
    </dgm:pt>
    <dgm:pt modelId="{13BD8EA2-C82A-47E2-AC76-58F486F1BA82}" type="pres">
      <dgm:prSet presAssocID="{9AFB7784-D913-4295-BA02-24430877BE15}" presName="circle1" presStyleLbl="node1" presStyleIdx="0" presStyleCnt="4"/>
      <dgm:spPr/>
    </dgm:pt>
    <dgm:pt modelId="{89295AB6-87B2-4964-9C18-FCA3B0340CC6}" type="pres">
      <dgm:prSet presAssocID="{9AFB7784-D913-4295-BA02-24430877BE15}" presName="c1text" presStyleLbl="node1" presStyleIdx="0" presStyleCnt="4">
        <dgm:presLayoutVars>
          <dgm:bulletEnabled val="1"/>
        </dgm:presLayoutVars>
      </dgm:prSet>
      <dgm:spPr/>
    </dgm:pt>
    <dgm:pt modelId="{A7360A08-3BAB-44A4-8B10-8ACF1B20644D}" type="pres">
      <dgm:prSet presAssocID="{9AFB7784-D913-4295-BA02-24430877BE15}" presName="comp2" presStyleCnt="0"/>
      <dgm:spPr/>
    </dgm:pt>
    <dgm:pt modelId="{AEDEE9BF-2282-4A6B-81E4-7B497AD55BBF}" type="pres">
      <dgm:prSet presAssocID="{9AFB7784-D913-4295-BA02-24430877BE15}" presName="circle2" presStyleLbl="node1" presStyleIdx="1" presStyleCnt="4" custScaleX="105461" custScaleY="102378"/>
      <dgm:spPr/>
    </dgm:pt>
    <dgm:pt modelId="{3A6C5787-1123-4C2D-9DAB-5DAE90BBF36F}" type="pres">
      <dgm:prSet presAssocID="{9AFB7784-D913-4295-BA02-24430877BE15}" presName="c2text" presStyleLbl="node1" presStyleIdx="1" presStyleCnt="4">
        <dgm:presLayoutVars>
          <dgm:bulletEnabled val="1"/>
        </dgm:presLayoutVars>
      </dgm:prSet>
      <dgm:spPr/>
    </dgm:pt>
    <dgm:pt modelId="{FDD4A7C6-494E-4647-AA64-953EA907C2C3}" type="pres">
      <dgm:prSet presAssocID="{9AFB7784-D913-4295-BA02-24430877BE15}" presName="comp3" presStyleCnt="0"/>
      <dgm:spPr/>
    </dgm:pt>
    <dgm:pt modelId="{24AADD29-F655-4B4D-9473-ECD7EB488A41}" type="pres">
      <dgm:prSet presAssocID="{9AFB7784-D913-4295-BA02-24430877BE15}" presName="circle3" presStyleLbl="node1" presStyleIdx="2" presStyleCnt="4"/>
      <dgm:spPr/>
    </dgm:pt>
    <dgm:pt modelId="{96E804DA-4BF6-4A2E-B87D-2D312BA0A947}" type="pres">
      <dgm:prSet presAssocID="{9AFB7784-D913-4295-BA02-24430877BE15}" presName="c3text" presStyleLbl="node1" presStyleIdx="2" presStyleCnt="4">
        <dgm:presLayoutVars>
          <dgm:bulletEnabled val="1"/>
        </dgm:presLayoutVars>
      </dgm:prSet>
      <dgm:spPr/>
    </dgm:pt>
    <dgm:pt modelId="{CDB208AE-EDDA-475F-8433-463E3E77DA39}" type="pres">
      <dgm:prSet presAssocID="{9AFB7784-D913-4295-BA02-24430877BE15}" presName="comp4" presStyleCnt="0"/>
      <dgm:spPr/>
    </dgm:pt>
    <dgm:pt modelId="{B8B4C005-3C60-4BA2-A29C-C6CFD3352C21}" type="pres">
      <dgm:prSet presAssocID="{9AFB7784-D913-4295-BA02-24430877BE15}" presName="circle4" presStyleLbl="node1" presStyleIdx="3" presStyleCnt="4"/>
      <dgm:spPr/>
    </dgm:pt>
    <dgm:pt modelId="{5B2EA48F-14B7-48AC-BC03-8D515DDFBEE1}" type="pres">
      <dgm:prSet presAssocID="{9AFB7784-D913-4295-BA02-24430877BE15}" presName="c4text" presStyleLbl="node1" presStyleIdx="3" presStyleCnt="4">
        <dgm:presLayoutVars>
          <dgm:bulletEnabled val="1"/>
        </dgm:presLayoutVars>
      </dgm:prSet>
      <dgm:spPr/>
    </dgm:pt>
  </dgm:ptLst>
  <dgm:cxnLst>
    <dgm:cxn modelId="{756AF405-F3EC-4818-9EA6-CCE2A9DC107E}" type="presOf" srcId="{B6990C65-7E09-4AA8-8E01-8C3232B22AC2}" destId="{24AADD29-F655-4B4D-9473-ECD7EB488A41}" srcOrd="0" destOrd="0" presId="urn:microsoft.com/office/officeart/2005/8/layout/venn2"/>
    <dgm:cxn modelId="{DF61F709-6817-4722-AF99-1C17A34A3B55}" type="presOf" srcId="{C9464C87-805E-4BB2-B318-926566747CF8}" destId="{5B2EA48F-14B7-48AC-BC03-8D515DDFBEE1}" srcOrd="1" destOrd="0" presId="urn:microsoft.com/office/officeart/2005/8/layout/venn2"/>
    <dgm:cxn modelId="{91787D0A-E1A2-4065-8C78-5126DE4B5A3F}" srcId="{9AFB7784-D913-4295-BA02-24430877BE15}" destId="{B8B6DCDE-7552-4359-88D8-0020373DAA81}" srcOrd="0" destOrd="0" parTransId="{31CFB01F-B82A-483D-8ECA-2BFBBB3E77BC}" sibTransId="{2407D7D8-EFB1-4729-AB32-E8B1304984BC}"/>
    <dgm:cxn modelId="{61D49442-A704-46C4-82D2-7B374B2DD9BC}" type="presOf" srcId="{54A6511C-54AE-41EF-A7A2-F6DF7E817EC0}" destId="{AEDEE9BF-2282-4A6B-81E4-7B497AD55BBF}" srcOrd="0" destOrd="0" presId="urn:microsoft.com/office/officeart/2005/8/layout/venn2"/>
    <dgm:cxn modelId="{E5CA2F59-43D0-4637-B322-76F92A892511}" type="presOf" srcId="{B6990C65-7E09-4AA8-8E01-8C3232B22AC2}" destId="{96E804DA-4BF6-4A2E-B87D-2D312BA0A947}" srcOrd="1" destOrd="0" presId="urn:microsoft.com/office/officeart/2005/8/layout/venn2"/>
    <dgm:cxn modelId="{B5155D63-F9C8-4A36-A4BD-2B7732A3B747}" type="presOf" srcId="{54A6511C-54AE-41EF-A7A2-F6DF7E817EC0}" destId="{3A6C5787-1123-4C2D-9DAB-5DAE90BBF36F}" srcOrd="1" destOrd="0" presId="urn:microsoft.com/office/officeart/2005/8/layout/venn2"/>
    <dgm:cxn modelId="{7778AB6B-4B17-474A-B2D4-C57838A7E842}" type="presOf" srcId="{C9464C87-805E-4BB2-B318-926566747CF8}" destId="{B8B4C005-3C60-4BA2-A29C-C6CFD3352C21}" srcOrd="0" destOrd="0" presId="urn:microsoft.com/office/officeart/2005/8/layout/venn2"/>
    <dgm:cxn modelId="{5D279279-605E-4033-BE32-6887CA90BDE5}" type="presOf" srcId="{B8B6DCDE-7552-4359-88D8-0020373DAA81}" destId="{13BD8EA2-C82A-47E2-AC76-58F486F1BA82}" srcOrd="0" destOrd="0" presId="urn:microsoft.com/office/officeart/2005/8/layout/venn2"/>
    <dgm:cxn modelId="{6D51617B-7464-4A4A-96D3-C53BA3A7CCE0}" srcId="{9AFB7784-D913-4295-BA02-24430877BE15}" destId="{C9464C87-805E-4BB2-B318-926566747CF8}" srcOrd="3" destOrd="0" parTransId="{AF71505C-25F0-4D04-8AC2-D26A048F1A63}" sibTransId="{A2A1AD86-DF58-4CAA-BA1F-0D14E3F7B394}"/>
    <dgm:cxn modelId="{53C3F696-A71C-475C-9752-D42EB810DD6C}" srcId="{9AFB7784-D913-4295-BA02-24430877BE15}" destId="{B6990C65-7E09-4AA8-8E01-8C3232B22AC2}" srcOrd="2" destOrd="0" parTransId="{80DF0A1E-649F-4E45-8366-A0DD34C20066}" sibTransId="{C9ADCCC3-B746-48AA-ACFE-B5FB83C164EE}"/>
    <dgm:cxn modelId="{B8F281AB-850E-415C-ADDB-D769A3960797}" type="presOf" srcId="{B8B6DCDE-7552-4359-88D8-0020373DAA81}" destId="{89295AB6-87B2-4964-9C18-FCA3B0340CC6}" srcOrd="1" destOrd="0" presId="urn:microsoft.com/office/officeart/2005/8/layout/venn2"/>
    <dgm:cxn modelId="{BC15DFC7-DAE7-4C6D-8C01-598BA0CCAB97}" srcId="{9AFB7784-D913-4295-BA02-24430877BE15}" destId="{54A6511C-54AE-41EF-A7A2-F6DF7E817EC0}" srcOrd="1" destOrd="0" parTransId="{BADC6770-2929-47E6-A33B-E89EC6518823}" sibTransId="{0B1DA3C9-15AF-40C4-8516-99939F2DEC1A}"/>
    <dgm:cxn modelId="{FB7737D5-7123-46C5-ABAC-74ED93AB68FD}" type="presOf" srcId="{9AFB7784-D913-4295-BA02-24430877BE15}" destId="{183996C3-8370-4814-8EBC-0AA27B30D8AF}" srcOrd="0" destOrd="0" presId="urn:microsoft.com/office/officeart/2005/8/layout/venn2"/>
    <dgm:cxn modelId="{5CED4F68-5A6D-4260-B6D8-F7185E48443D}" type="presParOf" srcId="{183996C3-8370-4814-8EBC-0AA27B30D8AF}" destId="{2B54B5A6-3E23-4E7F-9375-FDCC79853FBE}" srcOrd="0" destOrd="0" presId="urn:microsoft.com/office/officeart/2005/8/layout/venn2"/>
    <dgm:cxn modelId="{AF76C05F-0B9E-4BDD-95DA-4767074A0ADB}" type="presParOf" srcId="{2B54B5A6-3E23-4E7F-9375-FDCC79853FBE}" destId="{13BD8EA2-C82A-47E2-AC76-58F486F1BA82}" srcOrd="0" destOrd="0" presId="urn:microsoft.com/office/officeart/2005/8/layout/venn2"/>
    <dgm:cxn modelId="{DC1A1401-167A-4B79-A9F5-B8F3BC2829A4}" type="presParOf" srcId="{2B54B5A6-3E23-4E7F-9375-FDCC79853FBE}" destId="{89295AB6-87B2-4964-9C18-FCA3B0340CC6}" srcOrd="1" destOrd="0" presId="urn:microsoft.com/office/officeart/2005/8/layout/venn2"/>
    <dgm:cxn modelId="{2C69FCF9-A776-424A-95BA-5270624CBFBC}" type="presParOf" srcId="{183996C3-8370-4814-8EBC-0AA27B30D8AF}" destId="{A7360A08-3BAB-44A4-8B10-8ACF1B20644D}" srcOrd="1" destOrd="0" presId="urn:microsoft.com/office/officeart/2005/8/layout/venn2"/>
    <dgm:cxn modelId="{E6F02213-79F2-442A-9071-65F04DD7C54D}" type="presParOf" srcId="{A7360A08-3BAB-44A4-8B10-8ACF1B20644D}" destId="{AEDEE9BF-2282-4A6B-81E4-7B497AD55BBF}" srcOrd="0" destOrd="0" presId="urn:microsoft.com/office/officeart/2005/8/layout/venn2"/>
    <dgm:cxn modelId="{DF91CB81-0AB8-40B1-9727-7D4135CEBAFB}" type="presParOf" srcId="{A7360A08-3BAB-44A4-8B10-8ACF1B20644D}" destId="{3A6C5787-1123-4C2D-9DAB-5DAE90BBF36F}" srcOrd="1" destOrd="0" presId="urn:microsoft.com/office/officeart/2005/8/layout/venn2"/>
    <dgm:cxn modelId="{33A1301C-E4B2-4D2D-81C2-24D423D7A0B3}" type="presParOf" srcId="{183996C3-8370-4814-8EBC-0AA27B30D8AF}" destId="{FDD4A7C6-494E-4647-AA64-953EA907C2C3}" srcOrd="2" destOrd="0" presId="urn:microsoft.com/office/officeart/2005/8/layout/venn2"/>
    <dgm:cxn modelId="{4DF775E3-326E-433A-B031-69C06FECC7AF}" type="presParOf" srcId="{FDD4A7C6-494E-4647-AA64-953EA907C2C3}" destId="{24AADD29-F655-4B4D-9473-ECD7EB488A41}" srcOrd="0" destOrd="0" presId="urn:microsoft.com/office/officeart/2005/8/layout/venn2"/>
    <dgm:cxn modelId="{190AAF71-9E3B-4510-BC37-A32634DF945E}" type="presParOf" srcId="{FDD4A7C6-494E-4647-AA64-953EA907C2C3}" destId="{96E804DA-4BF6-4A2E-B87D-2D312BA0A947}" srcOrd="1" destOrd="0" presId="urn:microsoft.com/office/officeart/2005/8/layout/venn2"/>
    <dgm:cxn modelId="{3E56A367-C27E-4867-A06A-017CBFA78898}" type="presParOf" srcId="{183996C3-8370-4814-8EBC-0AA27B30D8AF}" destId="{CDB208AE-EDDA-475F-8433-463E3E77DA39}" srcOrd="3" destOrd="0" presId="urn:microsoft.com/office/officeart/2005/8/layout/venn2"/>
    <dgm:cxn modelId="{F0139502-6185-4786-B39F-BF4F9E7AB99B}" type="presParOf" srcId="{CDB208AE-EDDA-475F-8433-463E3E77DA39}" destId="{B8B4C005-3C60-4BA2-A29C-C6CFD3352C21}" srcOrd="0" destOrd="0" presId="urn:microsoft.com/office/officeart/2005/8/layout/venn2"/>
    <dgm:cxn modelId="{915C8527-3BEB-4BA7-AB1A-2B5C87DCDCF9}" type="presParOf" srcId="{CDB208AE-EDDA-475F-8433-463E3E77DA39}" destId="{5B2EA48F-14B7-48AC-BC03-8D515DDFBEE1}" srcOrd="1" destOrd="0" presId="urn:microsoft.com/office/officeart/2005/8/layout/ven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63C8B0-EFDB-441F-AD4A-CA121438F0F8}">
      <dsp:nvSpPr>
        <dsp:cNvPr id="0" name=""/>
        <dsp:cNvSpPr/>
      </dsp:nvSpPr>
      <dsp:spPr>
        <a:xfrm rot="5400000">
          <a:off x="344298" y="966928"/>
          <a:ext cx="1024859" cy="1705342"/>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D027D0F-DEC5-4E22-B7CE-C54D78086774}">
      <dsp:nvSpPr>
        <dsp:cNvPr id="0" name=""/>
        <dsp:cNvSpPr/>
      </dsp:nvSpPr>
      <dsp:spPr>
        <a:xfrm>
          <a:off x="173224" y="1476458"/>
          <a:ext cx="1539593" cy="13495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Ембріональний період (до 1972 р.)</a:t>
          </a:r>
        </a:p>
      </dsp:txBody>
      <dsp:txXfrm>
        <a:off x="173224" y="1476458"/>
        <a:ext cx="1539593" cy="1349543"/>
      </dsp:txXfrm>
    </dsp:sp>
    <dsp:sp modelId="{CFB89114-67EB-4A11-9DE5-9BD86E4C1F6E}">
      <dsp:nvSpPr>
        <dsp:cNvPr id="0" name=""/>
        <dsp:cNvSpPr/>
      </dsp:nvSpPr>
      <dsp:spPr>
        <a:xfrm>
          <a:off x="1422328" y="841379"/>
          <a:ext cx="290489" cy="290489"/>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1A308EE-102F-42F3-A08D-ED973882AA86}">
      <dsp:nvSpPr>
        <dsp:cNvPr id="0" name=""/>
        <dsp:cNvSpPr/>
      </dsp:nvSpPr>
      <dsp:spPr>
        <a:xfrm rot="5400000">
          <a:off x="2229061" y="500542"/>
          <a:ext cx="1024859" cy="1705342"/>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51BD77A-5BC7-44F9-AD74-1CF32B944B66}">
      <dsp:nvSpPr>
        <dsp:cNvPr id="0" name=""/>
        <dsp:cNvSpPr/>
      </dsp:nvSpPr>
      <dsp:spPr>
        <a:xfrm>
          <a:off x="2057987" y="1010072"/>
          <a:ext cx="1539593" cy="13495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Період формування (1972–1987)</a:t>
          </a:r>
        </a:p>
        <a:p>
          <a:pPr marL="0" lvl="0" indent="0" algn="l"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Конференція ООН з навколишнього середовища в 1972 році</a:t>
          </a:r>
        </a:p>
      </dsp:txBody>
      <dsp:txXfrm>
        <a:off x="2057987" y="1010072"/>
        <a:ext cx="1539593" cy="1349543"/>
      </dsp:txXfrm>
    </dsp:sp>
    <dsp:sp modelId="{F53C804B-7451-4F0F-BC51-B67258CF46DB}">
      <dsp:nvSpPr>
        <dsp:cNvPr id="0" name=""/>
        <dsp:cNvSpPr/>
      </dsp:nvSpPr>
      <dsp:spPr>
        <a:xfrm>
          <a:off x="3307090" y="374992"/>
          <a:ext cx="290489" cy="290489"/>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6BC027D-AC2E-452C-BAFC-D3D8A6509C33}">
      <dsp:nvSpPr>
        <dsp:cNvPr id="0" name=""/>
        <dsp:cNvSpPr/>
      </dsp:nvSpPr>
      <dsp:spPr>
        <a:xfrm rot="5400000">
          <a:off x="4113824" y="34155"/>
          <a:ext cx="1024859" cy="1705342"/>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495A964-661A-4F8D-9264-2F5E4D8E312B}">
      <dsp:nvSpPr>
        <dsp:cNvPr id="0" name=""/>
        <dsp:cNvSpPr/>
      </dsp:nvSpPr>
      <dsp:spPr>
        <a:xfrm>
          <a:off x="3942749" y="543685"/>
          <a:ext cx="1539593" cy="13495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Період розвитку (1987 – дотепер)</a:t>
          </a:r>
        </a:p>
        <a:p>
          <a:pPr marL="0" lvl="0" indent="0" algn="l" defTabSz="577850">
            <a:lnSpc>
              <a:spcPct val="90000"/>
            </a:lnSpc>
            <a:spcBef>
              <a:spcPct val="0"/>
            </a:spcBef>
            <a:spcAft>
              <a:spcPct val="35000"/>
            </a:spcAft>
            <a:buNone/>
          </a:pPr>
          <a:r>
            <a:rPr lang="uk-UA" sz="1300" kern="1200">
              <a:latin typeface="Times New Roman" panose="02020603050405020304" pitchFamily="18" charset="0"/>
              <a:cs typeface="Times New Roman" panose="02020603050405020304" pitchFamily="18" charset="0"/>
            </a:rPr>
            <a:t>Конференція ООН з навколишнього середовища та розвитку 1992 року</a:t>
          </a:r>
        </a:p>
      </dsp:txBody>
      <dsp:txXfrm>
        <a:off x="3942749" y="543685"/>
        <a:ext cx="1539593" cy="13495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BD8EA2-C82A-47E2-AC76-58F486F1BA82}">
      <dsp:nvSpPr>
        <dsp:cNvPr id="0" name=""/>
        <dsp:cNvSpPr/>
      </dsp:nvSpPr>
      <dsp:spPr>
        <a:xfrm>
          <a:off x="1294447" y="-17998"/>
          <a:ext cx="3784348" cy="3784348"/>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хроносистема</a:t>
          </a:r>
        </a:p>
      </dsp:txBody>
      <dsp:txXfrm>
        <a:off x="2657569" y="171219"/>
        <a:ext cx="1058103" cy="567652"/>
      </dsp:txXfrm>
    </dsp:sp>
    <dsp:sp modelId="{AEDEE9BF-2282-4A6B-81E4-7B497AD55BBF}">
      <dsp:nvSpPr>
        <dsp:cNvPr id="0" name=""/>
        <dsp:cNvSpPr/>
      </dsp:nvSpPr>
      <dsp:spPr>
        <a:xfrm>
          <a:off x="1590217" y="702874"/>
          <a:ext cx="3192808" cy="3099471"/>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макросистеми</a:t>
          </a:r>
        </a:p>
      </dsp:txBody>
      <dsp:txXfrm>
        <a:off x="2628678" y="888842"/>
        <a:ext cx="1115886" cy="557904"/>
      </dsp:txXfrm>
    </dsp:sp>
    <dsp:sp modelId="{24AADD29-F655-4B4D-9473-ECD7EB488A41}">
      <dsp:nvSpPr>
        <dsp:cNvPr id="0" name=""/>
        <dsp:cNvSpPr/>
      </dsp:nvSpPr>
      <dsp:spPr>
        <a:xfrm>
          <a:off x="2051317" y="1495740"/>
          <a:ext cx="2270608" cy="2270608"/>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мезосистема</a:t>
          </a:r>
        </a:p>
      </dsp:txBody>
      <dsp:txXfrm>
        <a:off x="2657569" y="1666036"/>
        <a:ext cx="1058103" cy="510886"/>
      </dsp:txXfrm>
    </dsp:sp>
    <dsp:sp modelId="{B8B4C005-3C60-4BA2-A29C-C6CFD3352C21}">
      <dsp:nvSpPr>
        <dsp:cNvPr id="0" name=""/>
        <dsp:cNvSpPr/>
      </dsp:nvSpPr>
      <dsp:spPr>
        <a:xfrm>
          <a:off x="2429751" y="2252610"/>
          <a:ext cx="1513739" cy="1513739"/>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мікросистема</a:t>
          </a:r>
        </a:p>
      </dsp:txBody>
      <dsp:txXfrm>
        <a:off x="2651433" y="2631045"/>
        <a:ext cx="1070375" cy="756869"/>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78</Pages>
  <Words>85841</Words>
  <Characters>48930</Characters>
  <Application>Microsoft Office Word</Application>
  <DocSecurity>0</DocSecurity>
  <Lines>407</Lines>
  <Paragraphs>269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134502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dc:creator>
  <cp:keywords/>
  <dc:description/>
  <cp:lastModifiedBy>Microsoft Office User</cp:lastModifiedBy>
  <cp:revision>2</cp:revision>
  <cp:lastPrinted>2021-12-07T13:57:00Z</cp:lastPrinted>
  <dcterms:created xsi:type="dcterms:W3CDTF">2021-12-07T14:00:00Z</dcterms:created>
  <dcterms:modified xsi:type="dcterms:W3CDTF">2021-12-07T14:00:00Z</dcterms:modified>
</cp:coreProperties>
</file>