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0AEB" w:rsidRPr="007604F0" w:rsidRDefault="00BF0AEB" w:rsidP="00BF0AEB">
      <w:pPr>
        <w:spacing w:after="0" w:line="360" w:lineRule="auto"/>
        <w:jc w:val="center"/>
        <w:rPr>
          <w:rFonts w:ascii="Arial" w:hAnsi="Arial" w:cs="Arial"/>
          <w:b/>
          <w:sz w:val="28"/>
          <w:szCs w:val="28"/>
        </w:rPr>
      </w:pPr>
      <w:r w:rsidRPr="007604F0">
        <w:rPr>
          <w:rFonts w:ascii="Arial" w:hAnsi="Arial" w:cs="Arial"/>
          <w:b/>
          <w:sz w:val="28"/>
          <w:szCs w:val="28"/>
        </w:rPr>
        <w:t>МІНІСТЕРСТВО ОСВІТИ І НАУКИ УКРАЇНИ</w:t>
      </w:r>
    </w:p>
    <w:p w:rsidR="00BF0AEB" w:rsidRPr="007604F0" w:rsidRDefault="00BF0AEB" w:rsidP="00BF0AEB">
      <w:pPr>
        <w:spacing w:after="0" w:line="360" w:lineRule="auto"/>
        <w:jc w:val="center"/>
        <w:rPr>
          <w:rFonts w:ascii="Arial" w:hAnsi="Arial" w:cs="Arial"/>
          <w:b/>
          <w:sz w:val="28"/>
          <w:szCs w:val="28"/>
        </w:rPr>
      </w:pPr>
      <w:r w:rsidRPr="007604F0">
        <w:rPr>
          <w:rFonts w:ascii="Arial" w:hAnsi="Arial" w:cs="Arial"/>
          <w:b/>
          <w:sz w:val="28"/>
          <w:szCs w:val="28"/>
        </w:rPr>
        <w:t>Західноукраїнський національний університет</w:t>
      </w:r>
    </w:p>
    <w:p w:rsidR="00BF0AEB" w:rsidRPr="007604F0" w:rsidRDefault="00BF0AEB" w:rsidP="00BF0AEB">
      <w:pPr>
        <w:spacing w:after="0" w:line="360" w:lineRule="auto"/>
        <w:jc w:val="center"/>
        <w:rPr>
          <w:rFonts w:ascii="Arial" w:hAnsi="Arial" w:cs="Arial"/>
          <w:b/>
          <w:sz w:val="28"/>
          <w:szCs w:val="28"/>
        </w:rPr>
      </w:pPr>
      <w:r>
        <w:rPr>
          <w:rFonts w:ascii="Arial" w:hAnsi="Arial" w:cs="Arial"/>
          <w:b/>
          <w:sz w:val="28"/>
          <w:szCs w:val="28"/>
        </w:rPr>
        <w:t>Факультет фінансів та обліку</w:t>
      </w:r>
    </w:p>
    <w:p w:rsidR="00BF0AEB" w:rsidRDefault="00BF0AEB" w:rsidP="00BF0AEB">
      <w:pPr>
        <w:spacing w:after="0" w:line="360" w:lineRule="auto"/>
        <w:jc w:val="center"/>
        <w:rPr>
          <w:rFonts w:ascii="Arial" w:hAnsi="Arial" w:cs="Arial"/>
          <w:sz w:val="28"/>
          <w:szCs w:val="28"/>
        </w:rPr>
      </w:pPr>
      <w:r>
        <w:rPr>
          <w:rFonts w:ascii="Arial" w:hAnsi="Arial" w:cs="Arial"/>
          <w:sz w:val="28"/>
          <w:szCs w:val="28"/>
        </w:rPr>
        <w:t>Кафедра фінансів ім. С. І. Юрія</w:t>
      </w:r>
    </w:p>
    <w:p w:rsidR="00BF0AEB" w:rsidRDefault="00BF0AEB" w:rsidP="00BF0AEB">
      <w:pPr>
        <w:spacing w:after="0" w:line="360" w:lineRule="auto"/>
        <w:rPr>
          <w:rFonts w:ascii="Arial" w:hAnsi="Arial" w:cs="Arial"/>
          <w:sz w:val="28"/>
          <w:szCs w:val="28"/>
        </w:rPr>
      </w:pPr>
    </w:p>
    <w:p w:rsidR="00BF0AEB" w:rsidRDefault="00BF0AEB" w:rsidP="00BF0AEB">
      <w:pPr>
        <w:spacing w:after="0" w:line="360" w:lineRule="auto"/>
        <w:jc w:val="center"/>
        <w:rPr>
          <w:rFonts w:ascii="Arial" w:hAnsi="Arial" w:cs="Arial"/>
          <w:sz w:val="28"/>
          <w:szCs w:val="28"/>
        </w:rPr>
      </w:pPr>
    </w:p>
    <w:p w:rsidR="00BF0AEB" w:rsidRPr="007604F0" w:rsidRDefault="00BF0AEB" w:rsidP="00BF0AEB">
      <w:pPr>
        <w:spacing w:after="0" w:line="360" w:lineRule="auto"/>
        <w:jc w:val="center"/>
        <w:rPr>
          <w:rFonts w:ascii="Arial" w:hAnsi="Arial" w:cs="Arial"/>
          <w:b/>
          <w:sz w:val="28"/>
          <w:szCs w:val="28"/>
        </w:rPr>
      </w:pPr>
      <w:r>
        <w:rPr>
          <w:rFonts w:ascii="Arial" w:hAnsi="Arial" w:cs="Arial"/>
          <w:b/>
          <w:sz w:val="28"/>
          <w:szCs w:val="28"/>
        </w:rPr>
        <w:t>БОГАЧ Юлія Григорівна</w:t>
      </w:r>
    </w:p>
    <w:p w:rsidR="00BF0AEB" w:rsidRPr="007604F0" w:rsidRDefault="00BF0AEB" w:rsidP="00BF0AEB">
      <w:pPr>
        <w:spacing w:after="0" w:line="360" w:lineRule="auto"/>
        <w:jc w:val="center"/>
        <w:rPr>
          <w:rFonts w:ascii="Arial" w:hAnsi="Arial" w:cs="Arial"/>
          <w:b/>
          <w:sz w:val="28"/>
          <w:szCs w:val="28"/>
        </w:rPr>
      </w:pPr>
    </w:p>
    <w:p w:rsidR="00BF0AEB" w:rsidRPr="00BF0AEB" w:rsidRDefault="00BF0AEB" w:rsidP="00BF0AEB">
      <w:pPr>
        <w:spacing w:after="0"/>
        <w:jc w:val="center"/>
        <w:rPr>
          <w:rFonts w:ascii="Arial" w:hAnsi="Arial" w:cs="Arial"/>
          <w:b/>
          <w:caps/>
          <w:spacing w:val="-1"/>
          <w:w w:val="105"/>
          <w:sz w:val="32"/>
          <w:szCs w:val="32"/>
        </w:rPr>
      </w:pPr>
      <w:r w:rsidRPr="00BF0AEB">
        <w:rPr>
          <w:rFonts w:ascii="Times New Roman" w:hAnsi="Times New Roman"/>
          <w:b/>
          <w:caps/>
          <w:sz w:val="32"/>
          <w:szCs w:val="32"/>
        </w:rPr>
        <w:t xml:space="preserve">Проблеми </w:t>
      </w:r>
      <w:r>
        <w:rPr>
          <w:rFonts w:ascii="Times New Roman" w:hAnsi="Times New Roman"/>
          <w:b/>
          <w:caps/>
          <w:sz w:val="32"/>
          <w:szCs w:val="32"/>
        </w:rPr>
        <w:t>і</w:t>
      </w:r>
      <w:r w:rsidRPr="00BF0AEB">
        <w:rPr>
          <w:rFonts w:ascii="Times New Roman" w:hAnsi="Times New Roman"/>
          <w:b/>
          <w:caps/>
          <w:sz w:val="32"/>
          <w:szCs w:val="32"/>
        </w:rPr>
        <w:t xml:space="preserve"> перспективи розвитку бюджетної політики місцевих органів влади</w:t>
      </w:r>
      <w:r w:rsidRPr="00BF0AEB">
        <w:rPr>
          <w:rFonts w:ascii="Arial" w:hAnsi="Arial" w:cs="Arial"/>
          <w:b/>
          <w:caps/>
          <w:spacing w:val="-1"/>
          <w:w w:val="105"/>
          <w:sz w:val="32"/>
          <w:szCs w:val="32"/>
        </w:rPr>
        <w:t xml:space="preserve"> </w:t>
      </w:r>
    </w:p>
    <w:p w:rsidR="00BF0AEB" w:rsidRDefault="00BF0AEB" w:rsidP="00BF0AEB">
      <w:pPr>
        <w:spacing w:after="0"/>
        <w:jc w:val="center"/>
        <w:rPr>
          <w:rFonts w:ascii="Arial" w:hAnsi="Arial" w:cs="Arial"/>
          <w:spacing w:val="-1"/>
          <w:w w:val="105"/>
        </w:rPr>
      </w:pPr>
    </w:p>
    <w:p w:rsidR="00BF0AEB" w:rsidRPr="00065958" w:rsidRDefault="00BF0AEB" w:rsidP="00BF0AEB">
      <w:pPr>
        <w:spacing w:after="0"/>
        <w:jc w:val="center"/>
        <w:rPr>
          <w:rFonts w:ascii="Arial" w:hAnsi="Arial" w:cs="Arial"/>
          <w:spacing w:val="-1"/>
          <w:w w:val="105"/>
        </w:rPr>
      </w:pPr>
      <w:r w:rsidRPr="00065958">
        <w:rPr>
          <w:rFonts w:ascii="Arial" w:hAnsi="Arial" w:cs="Arial"/>
          <w:spacing w:val="-1"/>
          <w:w w:val="105"/>
        </w:rPr>
        <w:t xml:space="preserve">спеціальність </w:t>
      </w:r>
      <w:r>
        <w:rPr>
          <w:rFonts w:ascii="Arial" w:hAnsi="Arial" w:cs="Arial"/>
          <w:spacing w:val="-1"/>
          <w:w w:val="105"/>
        </w:rPr>
        <w:t>072</w:t>
      </w:r>
      <w:r w:rsidRPr="00065958">
        <w:rPr>
          <w:rFonts w:ascii="Arial" w:hAnsi="Arial" w:cs="Arial"/>
          <w:spacing w:val="-1"/>
          <w:w w:val="105"/>
        </w:rPr>
        <w:t xml:space="preserve"> – </w:t>
      </w:r>
      <w:r>
        <w:rPr>
          <w:rFonts w:ascii="Arial" w:hAnsi="Arial" w:cs="Arial"/>
          <w:spacing w:val="-1"/>
          <w:w w:val="105"/>
        </w:rPr>
        <w:t>Фінанси, банківська справа та страхування</w:t>
      </w:r>
    </w:p>
    <w:p w:rsidR="00BF0AEB" w:rsidRPr="00065958" w:rsidRDefault="00BF0AEB" w:rsidP="00BF0AEB">
      <w:pPr>
        <w:spacing w:after="0"/>
        <w:jc w:val="center"/>
        <w:rPr>
          <w:rFonts w:ascii="Arial" w:hAnsi="Arial" w:cs="Arial"/>
          <w:spacing w:val="-1"/>
          <w:w w:val="105"/>
        </w:rPr>
      </w:pPr>
      <w:r w:rsidRPr="00065958">
        <w:rPr>
          <w:rFonts w:ascii="Arial" w:hAnsi="Arial" w:cs="Arial"/>
          <w:spacing w:val="-1"/>
          <w:w w:val="105"/>
        </w:rPr>
        <w:t xml:space="preserve">освітньо-професійна програма – </w:t>
      </w:r>
      <w:r>
        <w:rPr>
          <w:rFonts w:ascii="Arial" w:hAnsi="Arial" w:cs="Arial"/>
          <w:spacing w:val="-1"/>
          <w:w w:val="105"/>
        </w:rPr>
        <w:t>Фінанси</w:t>
      </w:r>
    </w:p>
    <w:p w:rsidR="00BF0AEB" w:rsidRDefault="00BF0AEB" w:rsidP="00BF0AEB">
      <w:pPr>
        <w:spacing w:after="0" w:line="360" w:lineRule="auto"/>
        <w:jc w:val="center"/>
        <w:rPr>
          <w:rFonts w:ascii="Arial" w:hAnsi="Arial" w:cs="Arial"/>
          <w:spacing w:val="-1"/>
          <w:w w:val="105"/>
          <w:sz w:val="28"/>
          <w:szCs w:val="28"/>
        </w:rPr>
      </w:pPr>
    </w:p>
    <w:p w:rsidR="00BF0AEB" w:rsidRDefault="00BF0AEB" w:rsidP="00BF0AEB">
      <w:pPr>
        <w:spacing w:after="0" w:line="360" w:lineRule="auto"/>
        <w:jc w:val="center"/>
        <w:rPr>
          <w:rFonts w:ascii="Arial" w:hAnsi="Arial" w:cs="Arial"/>
          <w:spacing w:val="-1"/>
          <w:w w:val="105"/>
          <w:sz w:val="28"/>
          <w:szCs w:val="28"/>
        </w:rPr>
      </w:pPr>
      <w:r>
        <w:rPr>
          <w:rFonts w:ascii="Arial" w:hAnsi="Arial" w:cs="Arial"/>
          <w:spacing w:val="-1"/>
          <w:w w:val="105"/>
          <w:sz w:val="28"/>
          <w:szCs w:val="28"/>
        </w:rPr>
        <w:t>Кваліфікаційна робота</w:t>
      </w:r>
    </w:p>
    <w:p w:rsidR="00BF0AEB" w:rsidRDefault="00BF0AEB" w:rsidP="00BF0AEB">
      <w:pPr>
        <w:spacing w:after="0" w:line="360" w:lineRule="auto"/>
        <w:jc w:val="center"/>
        <w:rPr>
          <w:rFonts w:ascii="Arial" w:hAnsi="Arial" w:cs="Arial"/>
          <w:spacing w:val="-1"/>
          <w:w w:val="105"/>
          <w:sz w:val="28"/>
          <w:szCs w:val="28"/>
        </w:rPr>
      </w:pPr>
    </w:p>
    <w:p w:rsidR="00BF0AEB" w:rsidRPr="00326A61" w:rsidRDefault="00BF0AEB" w:rsidP="00BF0AEB">
      <w:pPr>
        <w:spacing w:after="0" w:line="360" w:lineRule="auto"/>
        <w:jc w:val="center"/>
        <w:rPr>
          <w:rFonts w:ascii="Arial" w:hAnsi="Arial" w:cs="Arial"/>
          <w:spacing w:val="-1"/>
          <w:w w:val="105"/>
          <w:sz w:val="24"/>
          <w:szCs w:val="24"/>
        </w:rPr>
      </w:pPr>
    </w:p>
    <w:p w:rsidR="00BF0AEB" w:rsidRPr="00326A61" w:rsidRDefault="00BF0AEB" w:rsidP="00BF0AEB">
      <w:pPr>
        <w:spacing w:after="0"/>
        <w:ind w:firstLine="4820"/>
        <w:rPr>
          <w:rFonts w:ascii="Arial" w:hAnsi="Arial" w:cs="Arial"/>
          <w:spacing w:val="-1"/>
          <w:w w:val="105"/>
          <w:sz w:val="24"/>
          <w:szCs w:val="24"/>
        </w:rPr>
      </w:pPr>
      <w:r w:rsidRPr="00326A61">
        <w:rPr>
          <w:rFonts w:ascii="Arial" w:hAnsi="Arial" w:cs="Arial"/>
          <w:spacing w:val="-1"/>
          <w:w w:val="105"/>
          <w:sz w:val="24"/>
          <w:szCs w:val="24"/>
        </w:rPr>
        <w:t>Виконала студентка групи ФФм-21</w:t>
      </w:r>
    </w:p>
    <w:p w:rsidR="00BF0AEB" w:rsidRPr="00326A61" w:rsidRDefault="00BF0AEB" w:rsidP="00BF0AEB">
      <w:pPr>
        <w:spacing w:after="0"/>
        <w:ind w:firstLine="4820"/>
        <w:rPr>
          <w:rFonts w:ascii="Arial" w:hAnsi="Arial" w:cs="Arial"/>
          <w:spacing w:val="-1"/>
          <w:w w:val="105"/>
          <w:sz w:val="24"/>
          <w:szCs w:val="24"/>
        </w:rPr>
      </w:pPr>
      <w:r>
        <w:rPr>
          <w:rFonts w:ascii="Arial" w:hAnsi="Arial" w:cs="Arial"/>
          <w:spacing w:val="-1"/>
          <w:w w:val="105"/>
          <w:sz w:val="24"/>
          <w:szCs w:val="24"/>
        </w:rPr>
        <w:t>Ю. Г. Богач</w:t>
      </w:r>
    </w:p>
    <w:p w:rsidR="00BF0AEB" w:rsidRPr="00326A61" w:rsidRDefault="00BF0AEB" w:rsidP="00BF0AEB">
      <w:pPr>
        <w:spacing w:after="0"/>
        <w:ind w:firstLine="4820"/>
        <w:rPr>
          <w:rFonts w:ascii="Arial" w:hAnsi="Arial" w:cs="Arial"/>
          <w:spacing w:val="-1"/>
          <w:w w:val="105"/>
          <w:sz w:val="24"/>
          <w:szCs w:val="24"/>
        </w:rPr>
      </w:pPr>
      <w:r w:rsidRPr="00326A61">
        <w:rPr>
          <w:rFonts w:ascii="Arial" w:hAnsi="Arial" w:cs="Arial"/>
          <w:spacing w:val="-1"/>
          <w:w w:val="105"/>
          <w:sz w:val="24"/>
          <w:szCs w:val="24"/>
        </w:rPr>
        <w:t>___________________</w:t>
      </w:r>
    </w:p>
    <w:p w:rsidR="00BF0AEB" w:rsidRPr="00326A61" w:rsidRDefault="00BF0AEB" w:rsidP="00BF0AEB">
      <w:pPr>
        <w:spacing w:after="0"/>
        <w:ind w:firstLine="4820"/>
        <w:rPr>
          <w:rFonts w:ascii="Arial" w:hAnsi="Arial" w:cs="Arial"/>
          <w:spacing w:val="-1"/>
          <w:w w:val="105"/>
          <w:sz w:val="24"/>
          <w:szCs w:val="24"/>
        </w:rPr>
      </w:pPr>
    </w:p>
    <w:p w:rsidR="00BF0AEB" w:rsidRPr="00326A61" w:rsidRDefault="00BF0AEB" w:rsidP="00BF0AEB">
      <w:pPr>
        <w:spacing w:after="0"/>
        <w:ind w:firstLine="4820"/>
        <w:rPr>
          <w:rFonts w:ascii="Arial" w:hAnsi="Arial" w:cs="Arial"/>
          <w:spacing w:val="-1"/>
          <w:w w:val="105"/>
          <w:sz w:val="24"/>
          <w:szCs w:val="24"/>
        </w:rPr>
      </w:pPr>
      <w:r w:rsidRPr="00326A61">
        <w:rPr>
          <w:rFonts w:ascii="Arial" w:hAnsi="Arial" w:cs="Arial"/>
          <w:spacing w:val="-1"/>
          <w:w w:val="105"/>
          <w:sz w:val="24"/>
          <w:szCs w:val="24"/>
        </w:rPr>
        <w:t>Науковий керівник:</w:t>
      </w:r>
    </w:p>
    <w:p w:rsidR="00BF0AEB" w:rsidRPr="00326A61" w:rsidRDefault="00BF0AEB" w:rsidP="00BF0AEB">
      <w:pPr>
        <w:spacing w:after="0"/>
        <w:ind w:firstLine="4820"/>
        <w:rPr>
          <w:rFonts w:ascii="Arial" w:hAnsi="Arial" w:cs="Arial"/>
          <w:spacing w:val="-1"/>
          <w:w w:val="105"/>
          <w:sz w:val="24"/>
          <w:szCs w:val="24"/>
        </w:rPr>
      </w:pPr>
      <w:r>
        <w:rPr>
          <w:rFonts w:ascii="Arial" w:hAnsi="Arial" w:cs="Arial"/>
          <w:spacing w:val="-1"/>
          <w:w w:val="105"/>
          <w:sz w:val="24"/>
          <w:szCs w:val="24"/>
        </w:rPr>
        <w:t>к</w:t>
      </w:r>
      <w:r w:rsidRPr="00326A61">
        <w:rPr>
          <w:rFonts w:ascii="Arial" w:hAnsi="Arial" w:cs="Arial"/>
          <w:spacing w:val="-1"/>
          <w:w w:val="105"/>
          <w:sz w:val="24"/>
          <w:szCs w:val="24"/>
        </w:rPr>
        <w:t xml:space="preserve">.е.н., </w:t>
      </w:r>
      <w:r>
        <w:rPr>
          <w:rFonts w:ascii="Arial" w:hAnsi="Arial" w:cs="Arial"/>
          <w:spacing w:val="-1"/>
          <w:w w:val="105"/>
          <w:sz w:val="24"/>
          <w:szCs w:val="24"/>
        </w:rPr>
        <w:t>доц</w:t>
      </w:r>
      <w:r w:rsidRPr="00326A61">
        <w:rPr>
          <w:rFonts w:ascii="Arial" w:hAnsi="Arial" w:cs="Arial"/>
          <w:spacing w:val="-1"/>
          <w:w w:val="105"/>
          <w:sz w:val="24"/>
          <w:szCs w:val="24"/>
        </w:rPr>
        <w:t xml:space="preserve">. </w:t>
      </w:r>
      <w:r>
        <w:rPr>
          <w:rFonts w:ascii="Arial" w:hAnsi="Arial" w:cs="Arial"/>
          <w:spacing w:val="-1"/>
          <w:w w:val="105"/>
          <w:sz w:val="24"/>
          <w:szCs w:val="24"/>
        </w:rPr>
        <w:t>Н. М. Коломийчук</w:t>
      </w:r>
    </w:p>
    <w:p w:rsidR="00BF0AEB" w:rsidRPr="00326A61" w:rsidRDefault="00BF0AEB" w:rsidP="00BF0AEB">
      <w:pPr>
        <w:spacing w:after="0"/>
        <w:ind w:firstLine="4820"/>
        <w:rPr>
          <w:rFonts w:ascii="Arial" w:hAnsi="Arial" w:cs="Arial"/>
          <w:spacing w:val="-1"/>
          <w:w w:val="105"/>
          <w:sz w:val="24"/>
          <w:szCs w:val="24"/>
        </w:rPr>
      </w:pPr>
      <w:r w:rsidRPr="00326A61">
        <w:rPr>
          <w:rFonts w:ascii="Arial" w:hAnsi="Arial" w:cs="Arial"/>
          <w:spacing w:val="-1"/>
          <w:w w:val="105"/>
          <w:sz w:val="24"/>
          <w:szCs w:val="24"/>
        </w:rPr>
        <w:t xml:space="preserve"> _____________________</w:t>
      </w:r>
    </w:p>
    <w:p w:rsidR="00BF0AEB" w:rsidRDefault="00BF0AEB" w:rsidP="00BF0AEB">
      <w:pPr>
        <w:spacing w:after="0"/>
        <w:jc w:val="center"/>
        <w:rPr>
          <w:rFonts w:ascii="Arial" w:hAnsi="Arial" w:cs="Arial"/>
          <w:spacing w:val="-1"/>
          <w:w w:val="105"/>
        </w:rPr>
      </w:pPr>
    </w:p>
    <w:p w:rsidR="00BF0AEB" w:rsidRPr="00065958" w:rsidRDefault="00BF0AEB" w:rsidP="00BF0AEB">
      <w:pPr>
        <w:spacing w:after="0"/>
        <w:jc w:val="center"/>
        <w:rPr>
          <w:rFonts w:ascii="Arial" w:hAnsi="Arial" w:cs="Arial"/>
          <w:spacing w:val="-1"/>
          <w:w w:val="105"/>
        </w:rPr>
      </w:pPr>
    </w:p>
    <w:p w:rsidR="00BF0AEB" w:rsidRDefault="00BF0AEB" w:rsidP="00BF0AEB">
      <w:pPr>
        <w:spacing w:after="0"/>
        <w:rPr>
          <w:rFonts w:ascii="Arial" w:hAnsi="Arial" w:cs="Arial"/>
          <w:spacing w:val="-1"/>
          <w:w w:val="105"/>
        </w:rPr>
      </w:pPr>
    </w:p>
    <w:p w:rsidR="00BF0AEB" w:rsidRPr="00065958" w:rsidRDefault="00BF0AEB" w:rsidP="00BF0AEB">
      <w:pPr>
        <w:spacing w:after="0"/>
        <w:rPr>
          <w:rFonts w:ascii="Arial" w:hAnsi="Arial" w:cs="Arial"/>
          <w:spacing w:val="-1"/>
          <w:w w:val="105"/>
        </w:rPr>
      </w:pPr>
      <w:r w:rsidRPr="00065958">
        <w:rPr>
          <w:rFonts w:ascii="Arial" w:hAnsi="Arial" w:cs="Arial"/>
          <w:spacing w:val="-1"/>
          <w:w w:val="105"/>
        </w:rPr>
        <w:t>Кваліфікаційну роботу</w:t>
      </w:r>
    </w:p>
    <w:p w:rsidR="00BF0AEB" w:rsidRPr="00065958" w:rsidRDefault="00BF0AEB" w:rsidP="00BF0AEB">
      <w:pPr>
        <w:spacing w:after="0"/>
        <w:rPr>
          <w:rFonts w:ascii="Arial" w:hAnsi="Arial" w:cs="Arial"/>
          <w:spacing w:val="-1"/>
          <w:w w:val="105"/>
        </w:rPr>
      </w:pPr>
      <w:r w:rsidRPr="00065958">
        <w:rPr>
          <w:rFonts w:ascii="Arial" w:hAnsi="Arial" w:cs="Arial"/>
          <w:spacing w:val="-1"/>
          <w:w w:val="105"/>
        </w:rPr>
        <w:t>допущено до захисту</w:t>
      </w:r>
    </w:p>
    <w:p w:rsidR="00BF0AEB" w:rsidRPr="00065958" w:rsidRDefault="00BF0AEB" w:rsidP="00BF0AEB">
      <w:pPr>
        <w:spacing w:after="0"/>
        <w:rPr>
          <w:rFonts w:ascii="Arial" w:hAnsi="Arial" w:cs="Arial"/>
          <w:spacing w:val="-1"/>
          <w:w w:val="105"/>
        </w:rPr>
      </w:pPr>
    </w:p>
    <w:p w:rsidR="00BF0AEB" w:rsidRPr="00065958" w:rsidRDefault="00BF0AEB" w:rsidP="00BF0AEB">
      <w:pPr>
        <w:spacing w:after="0"/>
        <w:rPr>
          <w:rFonts w:ascii="Arial" w:hAnsi="Arial" w:cs="Arial"/>
          <w:spacing w:val="-1"/>
          <w:w w:val="105"/>
        </w:rPr>
      </w:pPr>
      <w:r w:rsidRPr="00065958">
        <w:rPr>
          <w:rFonts w:ascii="Arial" w:hAnsi="Arial" w:cs="Arial"/>
          <w:spacing w:val="-1"/>
          <w:w w:val="105"/>
        </w:rPr>
        <w:t>«____»_____________2021р.</w:t>
      </w:r>
    </w:p>
    <w:p w:rsidR="00BF0AEB" w:rsidRPr="00065958" w:rsidRDefault="00BF0AEB" w:rsidP="00BF0AEB">
      <w:pPr>
        <w:spacing w:after="0"/>
        <w:rPr>
          <w:rFonts w:ascii="Arial" w:hAnsi="Arial" w:cs="Arial"/>
          <w:spacing w:val="-1"/>
          <w:w w:val="105"/>
        </w:rPr>
      </w:pPr>
      <w:r w:rsidRPr="00065958">
        <w:rPr>
          <w:rFonts w:ascii="Arial" w:hAnsi="Arial" w:cs="Arial"/>
          <w:spacing w:val="-1"/>
          <w:w w:val="105"/>
        </w:rPr>
        <w:t>Завідувач кафедри</w:t>
      </w:r>
    </w:p>
    <w:p w:rsidR="00BF0AEB" w:rsidRPr="00065958" w:rsidRDefault="00BF0AEB" w:rsidP="00BF0AEB">
      <w:pPr>
        <w:spacing w:after="0"/>
        <w:rPr>
          <w:rFonts w:ascii="Arial" w:hAnsi="Arial" w:cs="Arial"/>
          <w:spacing w:val="-1"/>
          <w:w w:val="105"/>
        </w:rPr>
      </w:pPr>
      <w:r w:rsidRPr="00065958">
        <w:rPr>
          <w:rFonts w:ascii="Arial" w:hAnsi="Arial" w:cs="Arial"/>
          <w:spacing w:val="-1"/>
          <w:w w:val="105"/>
        </w:rPr>
        <w:t>______________О. П. Кириленко</w:t>
      </w:r>
    </w:p>
    <w:p w:rsidR="00BF0AEB" w:rsidRDefault="00BF0AEB" w:rsidP="00BF0AEB">
      <w:pPr>
        <w:spacing w:after="0"/>
        <w:rPr>
          <w:rFonts w:ascii="Arial" w:hAnsi="Arial" w:cs="Arial"/>
          <w:spacing w:val="-1"/>
          <w:w w:val="105"/>
          <w:sz w:val="28"/>
          <w:szCs w:val="28"/>
        </w:rPr>
      </w:pPr>
    </w:p>
    <w:p w:rsidR="00BF0AEB" w:rsidRDefault="00BF0AEB" w:rsidP="00BF0AEB">
      <w:pPr>
        <w:spacing w:after="0"/>
        <w:rPr>
          <w:rFonts w:ascii="Arial" w:hAnsi="Arial" w:cs="Arial"/>
          <w:spacing w:val="-1"/>
          <w:w w:val="105"/>
          <w:sz w:val="28"/>
          <w:szCs w:val="28"/>
        </w:rPr>
      </w:pPr>
    </w:p>
    <w:p w:rsidR="00BF0AEB" w:rsidRDefault="00BF0AEB" w:rsidP="00BF0AEB">
      <w:pPr>
        <w:spacing w:after="0"/>
        <w:jc w:val="center"/>
        <w:rPr>
          <w:rFonts w:ascii="Arial" w:hAnsi="Arial" w:cs="Arial"/>
          <w:spacing w:val="-1"/>
          <w:w w:val="105"/>
          <w:sz w:val="28"/>
          <w:szCs w:val="28"/>
        </w:rPr>
      </w:pPr>
    </w:p>
    <w:p w:rsidR="00BF0AEB" w:rsidRDefault="00BF0AEB" w:rsidP="00BF0AEB">
      <w:pPr>
        <w:spacing w:after="0"/>
        <w:jc w:val="center"/>
        <w:rPr>
          <w:rFonts w:ascii="Arial" w:hAnsi="Arial" w:cs="Arial"/>
          <w:spacing w:val="-1"/>
          <w:w w:val="105"/>
          <w:sz w:val="28"/>
          <w:szCs w:val="28"/>
        </w:rPr>
      </w:pPr>
      <w:r>
        <w:rPr>
          <w:rFonts w:ascii="Arial" w:hAnsi="Arial" w:cs="Arial"/>
          <w:spacing w:val="-1"/>
          <w:w w:val="105"/>
          <w:sz w:val="28"/>
          <w:szCs w:val="28"/>
        </w:rPr>
        <w:t>Тернопіль - 2021</w:t>
      </w:r>
    </w:p>
    <w:p w:rsidR="00BF0AEB" w:rsidRDefault="00BF0AEB" w:rsidP="00E17F2F">
      <w:pPr>
        <w:spacing w:after="0" w:line="360" w:lineRule="auto"/>
        <w:jc w:val="center"/>
        <w:rPr>
          <w:rFonts w:ascii="Times New Roman" w:hAnsi="Times New Roman"/>
          <w:b/>
          <w:sz w:val="28"/>
          <w:szCs w:val="28"/>
        </w:rPr>
      </w:pPr>
    </w:p>
    <w:p w:rsidR="00E17F2F" w:rsidRPr="00C831B2" w:rsidRDefault="00BF0AEB" w:rsidP="00E17F2F">
      <w:pPr>
        <w:spacing w:after="0" w:line="360" w:lineRule="auto"/>
        <w:jc w:val="center"/>
        <w:rPr>
          <w:rFonts w:ascii="Times New Roman" w:hAnsi="Times New Roman"/>
          <w:b/>
          <w:sz w:val="28"/>
          <w:szCs w:val="28"/>
        </w:rPr>
      </w:pPr>
      <w:r>
        <w:rPr>
          <w:rFonts w:ascii="Times New Roman" w:hAnsi="Times New Roman"/>
          <w:b/>
          <w:sz w:val="28"/>
          <w:szCs w:val="28"/>
        </w:rPr>
        <w:br w:type="column"/>
      </w:r>
      <w:r w:rsidR="00E17F2F" w:rsidRPr="00C831B2">
        <w:rPr>
          <w:rFonts w:ascii="Times New Roman" w:hAnsi="Times New Roman"/>
          <w:b/>
          <w:sz w:val="28"/>
          <w:szCs w:val="28"/>
        </w:rPr>
        <w:lastRenderedPageBreak/>
        <w:t>Анотація</w:t>
      </w:r>
    </w:p>
    <w:p w:rsidR="00E17F2F" w:rsidRPr="00FC285A" w:rsidRDefault="00E17F2F" w:rsidP="00E17F2F">
      <w:pPr>
        <w:spacing w:after="0" w:line="360" w:lineRule="auto"/>
        <w:ind w:firstLine="720"/>
        <w:jc w:val="both"/>
        <w:rPr>
          <w:rFonts w:ascii="Times New Roman" w:hAnsi="Times New Roman"/>
          <w:sz w:val="28"/>
          <w:szCs w:val="28"/>
        </w:rPr>
      </w:pPr>
      <w:r>
        <w:rPr>
          <w:rFonts w:ascii="Times New Roman" w:hAnsi="Times New Roman"/>
          <w:sz w:val="28"/>
          <w:szCs w:val="28"/>
          <w:lang w:val="ru-RU"/>
        </w:rPr>
        <w:t>Богач Ю. Г.</w:t>
      </w:r>
      <w:r w:rsidRPr="00C831B2">
        <w:rPr>
          <w:rFonts w:ascii="Times New Roman" w:hAnsi="Times New Roman"/>
          <w:sz w:val="28"/>
          <w:szCs w:val="28"/>
        </w:rPr>
        <w:t xml:space="preserve"> </w:t>
      </w:r>
      <w:r>
        <w:rPr>
          <w:rFonts w:ascii="Times New Roman" w:hAnsi="Times New Roman"/>
          <w:sz w:val="28"/>
          <w:szCs w:val="28"/>
        </w:rPr>
        <w:t xml:space="preserve">Проблеми та перспективи розвитку бюджетної політики </w:t>
      </w:r>
      <w:r w:rsidRPr="00FC285A">
        <w:rPr>
          <w:rFonts w:ascii="Times New Roman" w:hAnsi="Times New Roman"/>
          <w:sz w:val="28"/>
          <w:szCs w:val="28"/>
        </w:rPr>
        <w:t>місцевих органів влади. Рукопис.</w:t>
      </w:r>
    </w:p>
    <w:p w:rsidR="00E17F2F" w:rsidRPr="00FC285A" w:rsidRDefault="00E17F2F" w:rsidP="00E17F2F">
      <w:pPr>
        <w:spacing w:after="0" w:line="360" w:lineRule="auto"/>
        <w:ind w:firstLine="720"/>
        <w:jc w:val="both"/>
        <w:rPr>
          <w:rFonts w:ascii="Times New Roman" w:hAnsi="Times New Roman"/>
          <w:sz w:val="28"/>
          <w:szCs w:val="28"/>
        </w:rPr>
      </w:pPr>
      <w:r w:rsidRPr="00FC285A">
        <w:rPr>
          <w:rFonts w:ascii="Times New Roman" w:hAnsi="Times New Roman"/>
          <w:sz w:val="28"/>
          <w:szCs w:val="28"/>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«Фінанси» – Західноукраїнський національний університет, Тернопіль, 2021.</w:t>
      </w:r>
    </w:p>
    <w:p w:rsidR="00E17F2F" w:rsidRPr="00FC285A" w:rsidRDefault="00E17F2F" w:rsidP="00E17F2F">
      <w:pPr>
        <w:spacing w:after="0" w:line="360" w:lineRule="auto"/>
        <w:ind w:firstLine="720"/>
        <w:jc w:val="both"/>
        <w:rPr>
          <w:rFonts w:ascii="Times New Roman" w:hAnsi="Times New Roman"/>
          <w:spacing w:val="-2"/>
          <w:sz w:val="28"/>
          <w:szCs w:val="28"/>
        </w:rPr>
      </w:pPr>
      <w:r w:rsidRPr="00FC285A">
        <w:rPr>
          <w:rFonts w:ascii="Times New Roman" w:hAnsi="Times New Roman"/>
          <w:spacing w:val="-2"/>
          <w:sz w:val="28"/>
          <w:szCs w:val="28"/>
        </w:rPr>
        <w:t xml:space="preserve">У роботі розглянуті теоретичні засади бюджетної політики органів місцевої влади; проведено аналіз практики реалізації бюджетної політики органів місцевої влади у розрізі формування доходів та здійснення видатків місцевого бюджету, а також міжбюджетних трансфертів; розроблені напрями підвищення ефективності бюджетної політики органів місцевої влади в сучасних умовах. </w:t>
      </w:r>
    </w:p>
    <w:p w:rsidR="00E17F2F" w:rsidRPr="00FC285A" w:rsidRDefault="00E17F2F" w:rsidP="00E17F2F"/>
    <w:p w:rsidR="00E17F2F" w:rsidRPr="00FC285A" w:rsidRDefault="00E17F2F" w:rsidP="00E17F2F"/>
    <w:p w:rsidR="00E17F2F" w:rsidRPr="00FC285A" w:rsidRDefault="00E17F2F" w:rsidP="00E17F2F">
      <w:pPr>
        <w:spacing w:after="0" w:line="360" w:lineRule="auto"/>
        <w:jc w:val="center"/>
        <w:rPr>
          <w:rFonts w:ascii="Times New Roman" w:hAnsi="Times New Roman"/>
          <w:b/>
          <w:sz w:val="28"/>
          <w:szCs w:val="28"/>
          <w:lang w:val="en-US"/>
        </w:rPr>
      </w:pPr>
      <w:r w:rsidRPr="00FC285A">
        <w:rPr>
          <w:rFonts w:ascii="Times New Roman" w:hAnsi="Times New Roman"/>
          <w:b/>
          <w:sz w:val="28"/>
          <w:szCs w:val="28"/>
          <w:lang w:val="en-US"/>
        </w:rPr>
        <w:t>Annotation</w:t>
      </w:r>
    </w:p>
    <w:p w:rsidR="00E17F2F" w:rsidRPr="00FC285A" w:rsidRDefault="00E17F2F" w:rsidP="00E17F2F">
      <w:pPr>
        <w:autoSpaceDE w:val="0"/>
        <w:autoSpaceDN w:val="0"/>
        <w:adjustRightInd w:val="0"/>
        <w:spacing w:after="0" w:line="360" w:lineRule="auto"/>
        <w:ind w:firstLine="709"/>
        <w:jc w:val="both"/>
        <w:rPr>
          <w:rFonts w:ascii="Times New Roman" w:hAnsi="Times New Roman" w:cs="Times New Roman"/>
          <w:sz w:val="28"/>
          <w:szCs w:val="28"/>
          <w:lang w:val="en-GB"/>
        </w:rPr>
      </w:pPr>
      <w:r w:rsidRPr="00FC285A">
        <w:rPr>
          <w:rFonts w:ascii="Times New Roman" w:hAnsi="Times New Roman" w:cs="Times New Roman"/>
          <w:sz w:val="28"/>
          <w:szCs w:val="28"/>
          <w:lang w:val="en-GB"/>
        </w:rPr>
        <w:t xml:space="preserve">Bohach Yu. H. </w:t>
      </w:r>
      <w:r w:rsidRPr="00FC285A">
        <w:rPr>
          <w:rStyle w:val="tlid-translation"/>
          <w:rFonts w:ascii="Times New Roman" w:hAnsi="Times New Roman" w:cs="Times New Roman"/>
          <w:sz w:val="28"/>
          <w:szCs w:val="28"/>
          <w:lang w:val="en-GB"/>
        </w:rPr>
        <w:t>__________________________________________</w:t>
      </w:r>
      <w:r w:rsidRPr="00FC285A">
        <w:rPr>
          <w:rFonts w:ascii="Times New Roman" w:hAnsi="Times New Roman" w:cs="Times New Roman"/>
          <w:sz w:val="28"/>
          <w:szCs w:val="28"/>
          <w:lang w:val="en-GB"/>
        </w:rPr>
        <w:t>. Manuscript.</w:t>
      </w:r>
    </w:p>
    <w:p w:rsidR="00E17F2F" w:rsidRPr="008E5369" w:rsidRDefault="00E17F2F" w:rsidP="00E17F2F">
      <w:pPr>
        <w:autoSpaceDE w:val="0"/>
        <w:autoSpaceDN w:val="0"/>
        <w:adjustRightInd w:val="0"/>
        <w:spacing w:after="0" w:line="360" w:lineRule="auto"/>
        <w:ind w:firstLine="709"/>
        <w:jc w:val="both"/>
        <w:rPr>
          <w:rFonts w:ascii="Times New Roman" w:hAnsi="Times New Roman" w:cs="Times New Roman"/>
          <w:sz w:val="28"/>
          <w:szCs w:val="28"/>
          <w:lang w:val="en-GB"/>
        </w:rPr>
      </w:pPr>
      <w:r w:rsidRPr="00FC285A">
        <w:rPr>
          <w:rFonts w:ascii="Times New Roman" w:hAnsi="Times New Roman" w:cs="Times New Roman"/>
          <w:sz w:val="28"/>
          <w:szCs w:val="28"/>
          <w:lang w:val="en-GB"/>
        </w:rPr>
        <w:t>Doctoral studies for the education level «Master’s Degree</w:t>
      </w:r>
      <w:r w:rsidRPr="00FC285A">
        <w:rPr>
          <w:rFonts w:ascii="Times New Roman" w:hAnsi="Times New Roman" w:cs="Times New Roman"/>
          <w:sz w:val="28"/>
          <w:szCs w:val="28"/>
          <w:lang w:val="en-GB" w:eastAsia="uk-UA"/>
        </w:rPr>
        <w:t xml:space="preserve">» </w:t>
      </w:r>
      <w:r w:rsidRPr="00FC285A">
        <w:rPr>
          <w:rFonts w:ascii="Times New Roman" w:hAnsi="Times New Roman" w:cs="Times New Roman"/>
          <w:sz w:val="28"/>
          <w:szCs w:val="28"/>
          <w:lang w:val="en-GB"/>
        </w:rPr>
        <w:t>with the title 072 – «Finance, banking and insurance». West-Ukrainian National University, Ternopil, 2021.</w:t>
      </w:r>
    </w:p>
    <w:p w:rsidR="00E17F2F" w:rsidRPr="008E5369" w:rsidRDefault="00E17F2F" w:rsidP="00E17F2F">
      <w:pPr>
        <w:autoSpaceDE w:val="0"/>
        <w:autoSpaceDN w:val="0"/>
        <w:adjustRightInd w:val="0"/>
        <w:spacing w:after="0" w:line="360" w:lineRule="auto"/>
        <w:ind w:firstLine="709"/>
        <w:jc w:val="both"/>
        <w:rPr>
          <w:rFonts w:ascii="Times New Roman" w:hAnsi="Times New Roman" w:cs="Times New Roman"/>
          <w:sz w:val="28"/>
          <w:szCs w:val="28"/>
          <w:lang w:val="en-GB"/>
        </w:rPr>
      </w:pPr>
      <w:r w:rsidRPr="008E5369">
        <w:rPr>
          <w:rFonts w:ascii="Times New Roman" w:hAnsi="Times New Roman" w:cs="Times New Roman"/>
          <w:sz w:val="28"/>
          <w:szCs w:val="28"/>
          <w:lang w:val="en-GB"/>
        </w:rPr>
        <w:t xml:space="preserve">The paper considers the theoretical foundations of budget policy of local authorities; an analysis of the practice of implementing the local authorities budget policy in terms of revenue generation and expenditures of the local budget, as well as intergovernmental transfers; directions of increase of local </w:t>
      </w:r>
      <w:r w:rsidRPr="008E5369">
        <w:rPr>
          <w:rFonts w:ascii="Times New Roman" w:hAnsi="Times New Roman"/>
          <w:sz w:val="28"/>
          <w:szCs w:val="28"/>
          <w:lang w:val="en-GB"/>
        </w:rPr>
        <w:t>authorities’</w:t>
      </w:r>
      <w:r w:rsidRPr="008E5369">
        <w:rPr>
          <w:rFonts w:ascii="Times New Roman" w:hAnsi="Times New Roman" w:cs="Times New Roman"/>
          <w:sz w:val="28"/>
          <w:szCs w:val="28"/>
          <w:lang w:val="en-GB"/>
        </w:rPr>
        <w:t xml:space="preserve"> budgetary policy efficiency in modern conditions are developed.</w:t>
      </w:r>
    </w:p>
    <w:p w:rsidR="003D1BAE" w:rsidRPr="00E17F2F" w:rsidRDefault="003D1BAE" w:rsidP="003D1BAE">
      <w:pPr>
        <w:spacing w:after="0" w:line="240" w:lineRule="auto"/>
        <w:jc w:val="center"/>
        <w:rPr>
          <w:rFonts w:ascii="Times New Roman" w:hAnsi="Times New Roman" w:cs="Times New Roman"/>
          <w:b/>
          <w:caps/>
          <w:sz w:val="28"/>
          <w:szCs w:val="28"/>
          <w:lang w:val="en-GB"/>
        </w:rPr>
      </w:pPr>
    </w:p>
    <w:p w:rsidR="003D1BAE" w:rsidRPr="003D1BAE" w:rsidRDefault="003D1BAE" w:rsidP="003D1BAE">
      <w:pPr>
        <w:spacing w:after="0" w:line="240" w:lineRule="auto"/>
        <w:jc w:val="center"/>
        <w:rPr>
          <w:rFonts w:ascii="Times New Roman" w:hAnsi="Times New Roman" w:cs="Times New Roman"/>
          <w:b/>
          <w:caps/>
          <w:sz w:val="28"/>
          <w:szCs w:val="28"/>
        </w:rPr>
      </w:pPr>
    </w:p>
    <w:p w:rsidR="003D1BAE" w:rsidRPr="003D1BAE" w:rsidRDefault="003D1BAE" w:rsidP="003D1BAE">
      <w:pPr>
        <w:spacing w:after="0" w:line="24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br w:type="column"/>
      </w:r>
      <w:r w:rsidRPr="003D1BAE">
        <w:rPr>
          <w:rFonts w:ascii="Times New Roman" w:hAnsi="Times New Roman" w:cs="Times New Roman"/>
          <w:b/>
          <w:caps/>
          <w:sz w:val="28"/>
          <w:szCs w:val="28"/>
        </w:rPr>
        <w:lastRenderedPageBreak/>
        <w:t>зміст</w:t>
      </w:r>
    </w:p>
    <w:p w:rsidR="003D1BAE" w:rsidRPr="003D1BAE" w:rsidRDefault="003D1BAE" w:rsidP="003D1BAE">
      <w:pPr>
        <w:spacing w:after="0" w:line="240" w:lineRule="auto"/>
        <w:rPr>
          <w:rFonts w:ascii="Times New Roman" w:hAnsi="Times New Roman" w:cs="Times New Roman"/>
          <w:b/>
          <w:caps/>
          <w:sz w:val="28"/>
          <w:szCs w:val="28"/>
        </w:rPr>
      </w:pPr>
    </w:p>
    <w:tbl>
      <w:tblPr>
        <w:tblStyle w:val="a6"/>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1065"/>
      </w:tblGrid>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Вступ………………………………………………………………….…..</w:t>
            </w:r>
          </w:p>
          <w:p w:rsidR="003D1BAE" w:rsidRPr="003D1BAE" w:rsidRDefault="003D1BAE" w:rsidP="003D1BAE">
            <w:pPr>
              <w:rPr>
                <w:rFonts w:ascii="Times New Roman" w:hAnsi="Times New Roman" w:cs="Times New Roman"/>
                <w:b/>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4</w:t>
            </w:r>
          </w:p>
        </w:tc>
      </w:tr>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Розділ 1. Теоретичні засади бюджетної політики органів місцевої влади………………….…………………………..…………..…………..</w:t>
            </w:r>
          </w:p>
          <w:p w:rsidR="003D1BAE" w:rsidRPr="003D1BAE" w:rsidRDefault="003D1BAE" w:rsidP="003D1BAE">
            <w:pPr>
              <w:rPr>
                <w:rFonts w:ascii="Times New Roman" w:hAnsi="Times New Roman" w:cs="Times New Roman"/>
                <w:b/>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p>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8</w:t>
            </w:r>
          </w:p>
        </w:tc>
      </w:tr>
      <w:tr w:rsidR="003D1BAE" w:rsidRPr="003D1BAE" w:rsidTr="00CA15D4">
        <w:tc>
          <w:tcPr>
            <w:tcW w:w="8472" w:type="dxa"/>
          </w:tcPr>
          <w:p w:rsidR="003D1BAE" w:rsidRPr="003D1BAE" w:rsidRDefault="003D1BAE" w:rsidP="003D1BAE">
            <w:pPr>
              <w:ind w:left="567" w:hanging="567"/>
              <w:rPr>
                <w:rFonts w:ascii="Times New Roman" w:hAnsi="Times New Roman" w:cs="Times New Roman"/>
                <w:sz w:val="28"/>
                <w:szCs w:val="28"/>
              </w:rPr>
            </w:pPr>
            <w:r w:rsidRPr="003D1BAE">
              <w:rPr>
                <w:rFonts w:ascii="Times New Roman" w:hAnsi="Times New Roman" w:cs="Times New Roman"/>
                <w:sz w:val="28"/>
                <w:szCs w:val="28"/>
              </w:rPr>
              <w:t>1.1. Економічний зміст, завдання та напрями бюджетної політики органів місцевої влади як складової бюджетної політики держави……………………………………………………………..</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8</w:t>
            </w:r>
          </w:p>
        </w:tc>
      </w:tr>
      <w:tr w:rsidR="003D1BAE" w:rsidRPr="003D1BAE" w:rsidTr="00CA15D4">
        <w:tc>
          <w:tcPr>
            <w:tcW w:w="8472" w:type="dxa"/>
          </w:tcPr>
          <w:p w:rsidR="003D1BAE" w:rsidRPr="003D1BAE" w:rsidRDefault="003D1BAE" w:rsidP="003D1BAE">
            <w:pPr>
              <w:ind w:left="567" w:hanging="567"/>
              <w:rPr>
                <w:rFonts w:ascii="Times New Roman" w:hAnsi="Times New Roman" w:cs="Times New Roman"/>
                <w:spacing w:val="-2"/>
                <w:sz w:val="28"/>
                <w:szCs w:val="28"/>
              </w:rPr>
            </w:pPr>
            <w:r w:rsidRPr="003D1BAE">
              <w:rPr>
                <w:rFonts w:ascii="Times New Roman" w:hAnsi="Times New Roman" w:cs="Times New Roman"/>
                <w:spacing w:val="-2"/>
                <w:sz w:val="28"/>
                <w:szCs w:val="28"/>
              </w:rPr>
              <w:t>1.2. </w:t>
            </w:r>
            <w:r w:rsidRPr="003D1BAE">
              <w:rPr>
                <w:rFonts w:ascii="Times New Roman" w:hAnsi="Times New Roman" w:cs="Times New Roman"/>
                <w:sz w:val="28"/>
                <w:szCs w:val="28"/>
              </w:rPr>
              <w:t>Методологічні підходи до оцінювання ефективності бюджетної політики органів місцевої влади.……………………………….</w:t>
            </w:r>
            <w:r w:rsidRPr="003D1BAE">
              <w:rPr>
                <w:rFonts w:ascii="Times New Roman" w:hAnsi="Times New Roman" w:cs="Times New Roman"/>
                <w:spacing w:val="-2"/>
                <w:sz w:val="28"/>
                <w:szCs w:val="28"/>
              </w:rPr>
              <w:t>…</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18</w:t>
            </w:r>
          </w:p>
        </w:tc>
      </w:tr>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1………………………………………………….</w:t>
            </w:r>
          </w:p>
          <w:p w:rsidR="003D1BAE" w:rsidRPr="003D1BAE" w:rsidRDefault="003D1BAE" w:rsidP="003D1BAE">
            <w:pPr>
              <w:rPr>
                <w:rFonts w:ascii="Times New Roman" w:hAnsi="Times New Roman" w:cs="Times New Roman"/>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27</w:t>
            </w:r>
          </w:p>
        </w:tc>
      </w:tr>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Розділ 2. Практика реалізації бюджетної політики органу місцевої влади (на прикладі Чемеровецької селищної ради)……</w:t>
            </w:r>
          </w:p>
          <w:p w:rsidR="003D1BAE" w:rsidRPr="003D1BAE" w:rsidRDefault="003D1BAE" w:rsidP="003D1BAE">
            <w:pPr>
              <w:rPr>
                <w:rFonts w:ascii="Times New Roman" w:hAnsi="Times New Roman" w:cs="Times New Roman"/>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p>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29</w:t>
            </w:r>
          </w:p>
        </w:tc>
      </w:tr>
      <w:tr w:rsidR="003D1BAE" w:rsidRPr="003D1BAE" w:rsidTr="00CA15D4">
        <w:tc>
          <w:tcPr>
            <w:tcW w:w="8472" w:type="dxa"/>
          </w:tcPr>
          <w:p w:rsidR="003D1BAE" w:rsidRPr="003D1BAE" w:rsidRDefault="003D1BAE" w:rsidP="003D1BAE">
            <w:pPr>
              <w:ind w:left="567" w:hanging="567"/>
              <w:rPr>
                <w:rFonts w:ascii="Times New Roman" w:hAnsi="Times New Roman" w:cs="Times New Roman"/>
                <w:sz w:val="28"/>
                <w:szCs w:val="28"/>
              </w:rPr>
            </w:pPr>
            <w:r w:rsidRPr="003D1BAE">
              <w:rPr>
                <w:rFonts w:ascii="Times New Roman" w:hAnsi="Times New Roman" w:cs="Times New Roman"/>
                <w:sz w:val="28"/>
                <w:szCs w:val="28"/>
              </w:rPr>
              <w:t>2.1. Оцінювання практики реалізації та ефективності бюджетної політики формування доходів місцевого бюджету………..…….</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29</w:t>
            </w:r>
          </w:p>
        </w:tc>
      </w:tr>
      <w:tr w:rsidR="003D1BAE" w:rsidRPr="003D1BAE" w:rsidTr="00CA15D4">
        <w:tc>
          <w:tcPr>
            <w:tcW w:w="8472" w:type="dxa"/>
          </w:tcPr>
          <w:p w:rsidR="003D1BAE" w:rsidRPr="003D1BAE" w:rsidRDefault="003D1BAE" w:rsidP="003D1BAE">
            <w:pPr>
              <w:tabs>
                <w:tab w:val="left" w:pos="708"/>
              </w:tabs>
              <w:ind w:left="567" w:hanging="567"/>
              <w:contextualSpacing/>
              <w:rPr>
                <w:rFonts w:ascii="Times New Roman" w:hAnsi="Times New Roman" w:cs="Times New Roman"/>
                <w:sz w:val="28"/>
                <w:szCs w:val="28"/>
              </w:rPr>
            </w:pPr>
            <w:r w:rsidRPr="003D1BAE">
              <w:rPr>
                <w:rFonts w:ascii="Times New Roman" w:hAnsi="Times New Roman" w:cs="Times New Roman"/>
                <w:sz w:val="28"/>
                <w:szCs w:val="28"/>
              </w:rPr>
              <w:t>2.2. Практика реалізації бюджетної політики органу місцевої влади у сфері видатків бюджету</w:t>
            </w:r>
            <w:r w:rsidRPr="003D1BAE">
              <w:rPr>
                <w:rFonts w:ascii="Times New Roman" w:hAnsi="Times New Roman" w:cs="Times New Roman"/>
                <w:spacing w:val="-2"/>
                <w:sz w:val="28"/>
                <w:szCs w:val="28"/>
              </w:rPr>
              <w:t xml:space="preserve"> ………….</w:t>
            </w:r>
            <w:r w:rsidRPr="003D1BAE">
              <w:rPr>
                <w:rFonts w:ascii="Times New Roman" w:eastAsia="Times New Roman" w:hAnsi="Times New Roman" w:cs="Times New Roman"/>
                <w:sz w:val="28"/>
                <w:szCs w:val="28"/>
                <w:lang w:eastAsia="uk-UA"/>
              </w:rPr>
              <w:t>.</w:t>
            </w:r>
            <w:r w:rsidRPr="003D1BAE">
              <w:rPr>
                <w:rFonts w:ascii="Times New Roman" w:hAnsi="Times New Roman" w:cs="Times New Roman"/>
                <w:sz w:val="28"/>
                <w:szCs w:val="28"/>
              </w:rPr>
              <w:t>…………………………….</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37</w:t>
            </w:r>
          </w:p>
        </w:tc>
      </w:tr>
      <w:tr w:rsidR="003D1BAE" w:rsidRPr="003D1BAE" w:rsidTr="00CA15D4">
        <w:tc>
          <w:tcPr>
            <w:tcW w:w="8472" w:type="dxa"/>
          </w:tcPr>
          <w:p w:rsidR="003D1BAE" w:rsidRPr="003D1BAE" w:rsidRDefault="003D1BAE" w:rsidP="003D1BAE">
            <w:pPr>
              <w:tabs>
                <w:tab w:val="left" w:pos="567"/>
              </w:tabs>
              <w:ind w:left="567" w:hanging="567"/>
              <w:contextualSpacing/>
              <w:rPr>
                <w:rFonts w:ascii="Times New Roman" w:hAnsi="Times New Roman" w:cs="Times New Roman"/>
                <w:sz w:val="28"/>
                <w:szCs w:val="28"/>
              </w:rPr>
            </w:pPr>
            <w:r w:rsidRPr="003D1BAE">
              <w:rPr>
                <w:rFonts w:ascii="Times New Roman" w:hAnsi="Times New Roman" w:cs="Times New Roman"/>
                <w:sz w:val="28"/>
                <w:szCs w:val="28"/>
              </w:rPr>
              <w:t>2.3. </w:t>
            </w:r>
            <w:r w:rsidRPr="003D1BAE">
              <w:rPr>
                <w:rFonts w:ascii="Times New Roman" w:hAnsi="Times New Roman" w:cs="Times New Roman"/>
                <w:color w:val="000000"/>
                <w:sz w:val="28"/>
                <w:szCs w:val="28"/>
                <w:lang w:eastAsia="uk-UA"/>
              </w:rPr>
              <w:t>Практичні аспекти реалізації бюджетної політики органу місцевої влади щодо міжбюджетних трансфертів</w:t>
            </w:r>
            <w:r w:rsidRPr="003D1BAE">
              <w:rPr>
                <w:rFonts w:ascii="Times New Roman" w:hAnsi="Times New Roman" w:cs="Times New Roman"/>
                <w:sz w:val="28"/>
                <w:szCs w:val="28"/>
              </w:rPr>
              <w:t>…………..…..</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47</w:t>
            </w:r>
          </w:p>
        </w:tc>
      </w:tr>
      <w:tr w:rsidR="003D1BAE" w:rsidRPr="003D1BAE" w:rsidTr="00CA15D4">
        <w:tc>
          <w:tcPr>
            <w:tcW w:w="8472" w:type="dxa"/>
          </w:tcPr>
          <w:p w:rsidR="003D1BAE" w:rsidRPr="003D1BAE" w:rsidRDefault="003D1BAE" w:rsidP="003D1BAE">
            <w:pPr>
              <w:tabs>
                <w:tab w:val="left" w:pos="708"/>
              </w:tabs>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2………………………………………………….</w:t>
            </w:r>
          </w:p>
          <w:p w:rsidR="003D1BAE" w:rsidRPr="003D1BAE" w:rsidRDefault="003D1BAE" w:rsidP="003D1BAE">
            <w:pPr>
              <w:tabs>
                <w:tab w:val="left" w:pos="708"/>
              </w:tabs>
              <w:rPr>
                <w:rFonts w:ascii="Times New Roman" w:hAnsi="Times New Roman" w:cs="Times New Roman"/>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56</w:t>
            </w:r>
          </w:p>
        </w:tc>
      </w:tr>
      <w:tr w:rsidR="003D1BAE" w:rsidRPr="003D1BAE" w:rsidTr="00CA15D4">
        <w:tc>
          <w:tcPr>
            <w:tcW w:w="8472" w:type="dxa"/>
          </w:tcPr>
          <w:p w:rsidR="003D1BAE" w:rsidRPr="003D1BAE" w:rsidRDefault="003D1BAE" w:rsidP="003D1BAE">
            <w:pPr>
              <w:pStyle w:val="a7"/>
              <w:tabs>
                <w:tab w:val="left" w:pos="1134"/>
              </w:tabs>
              <w:rPr>
                <w:rFonts w:ascii="Times New Roman" w:hAnsi="Times New Roman"/>
                <w:b/>
                <w:sz w:val="28"/>
                <w:szCs w:val="28"/>
              </w:rPr>
            </w:pPr>
            <w:r w:rsidRPr="003D1BAE">
              <w:rPr>
                <w:rFonts w:ascii="Times New Roman" w:hAnsi="Times New Roman"/>
                <w:b/>
                <w:sz w:val="28"/>
                <w:szCs w:val="28"/>
              </w:rPr>
              <w:t>Розділ 3. Перспективи підвищення ефективності бюджетної політики місцевих органів влади в сучасних умовах..………..….</w:t>
            </w:r>
          </w:p>
          <w:p w:rsidR="003D1BAE" w:rsidRPr="003D1BAE" w:rsidRDefault="003D1BAE" w:rsidP="003D1BAE">
            <w:pPr>
              <w:rPr>
                <w:rFonts w:ascii="Times New Roman" w:hAnsi="Times New Roman" w:cs="Times New Roman"/>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p>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58</w:t>
            </w:r>
          </w:p>
        </w:tc>
      </w:tr>
      <w:tr w:rsidR="003D1BAE" w:rsidRPr="003D1BAE" w:rsidTr="00CA15D4">
        <w:tc>
          <w:tcPr>
            <w:tcW w:w="8472" w:type="dxa"/>
          </w:tcPr>
          <w:p w:rsidR="003D1BAE" w:rsidRPr="003D1BAE" w:rsidRDefault="003D1BAE" w:rsidP="003D1BAE">
            <w:pPr>
              <w:tabs>
                <w:tab w:val="left" w:pos="1770"/>
              </w:tabs>
              <w:ind w:left="567" w:hanging="567"/>
              <w:rPr>
                <w:rFonts w:ascii="Times New Roman" w:hAnsi="Times New Roman" w:cs="Times New Roman"/>
                <w:sz w:val="28"/>
                <w:szCs w:val="28"/>
              </w:rPr>
            </w:pPr>
            <w:r w:rsidRPr="003D1BAE">
              <w:rPr>
                <w:rFonts w:ascii="Times New Roman" w:hAnsi="Times New Roman" w:cs="Times New Roman"/>
                <w:sz w:val="28"/>
                <w:szCs w:val="28"/>
              </w:rPr>
              <w:t>3.1. Пріоритети вдосконалення бюджетної політики формування доходів місцевих бюджетів</w:t>
            </w:r>
            <w:r w:rsidRPr="003D1BAE">
              <w:rPr>
                <w:rFonts w:ascii="Times New Roman" w:eastAsia="Times New Roman" w:hAnsi="Times New Roman" w:cs="Times New Roman"/>
                <w:sz w:val="28"/>
                <w:szCs w:val="28"/>
                <w:lang w:eastAsia="uk-UA"/>
              </w:rPr>
              <w:t>……..……………..……</w:t>
            </w:r>
            <w:r w:rsidRPr="003D1BAE">
              <w:rPr>
                <w:rFonts w:ascii="Times New Roman" w:hAnsi="Times New Roman" w:cs="Times New Roman"/>
                <w:sz w:val="28"/>
                <w:szCs w:val="28"/>
              </w:rPr>
              <w:t>…………….</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58</w:t>
            </w:r>
          </w:p>
        </w:tc>
      </w:tr>
      <w:tr w:rsidR="003D1BAE" w:rsidRPr="003D1BAE" w:rsidTr="00CA15D4">
        <w:tc>
          <w:tcPr>
            <w:tcW w:w="8472" w:type="dxa"/>
          </w:tcPr>
          <w:p w:rsidR="003D1BAE" w:rsidRPr="003D1BAE" w:rsidRDefault="003D1BAE" w:rsidP="003D1BAE">
            <w:pPr>
              <w:pStyle w:val="a7"/>
              <w:tabs>
                <w:tab w:val="left" w:pos="1134"/>
              </w:tabs>
              <w:ind w:left="567" w:hanging="567"/>
              <w:rPr>
                <w:rFonts w:ascii="Times New Roman" w:hAnsi="Times New Roman"/>
                <w:sz w:val="28"/>
                <w:szCs w:val="28"/>
              </w:rPr>
            </w:pPr>
            <w:r w:rsidRPr="003D1BAE">
              <w:rPr>
                <w:rFonts w:ascii="Times New Roman" w:hAnsi="Times New Roman"/>
                <w:sz w:val="28"/>
                <w:szCs w:val="28"/>
              </w:rPr>
              <w:t>3.2. </w:t>
            </w:r>
            <w:r w:rsidRPr="003D1BAE">
              <w:rPr>
                <w:rFonts w:ascii="Times New Roman" w:hAnsi="Times New Roman"/>
                <w:spacing w:val="-2"/>
                <w:sz w:val="28"/>
                <w:szCs w:val="28"/>
              </w:rPr>
              <w:t>Напрями підвищення ефективності бюджетної політики органів місцевої влади у сфері видатків…………………..</w:t>
            </w:r>
            <w:r w:rsidRPr="003D1BAE">
              <w:rPr>
                <w:rFonts w:ascii="Times New Roman" w:hAnsi="Times New Roman"/>
                <w:sz w:val="28"/>
                <w:szCs w:val="28"/>
              </w:rPr>
              <w:t>…………….....</w:t>
            </w:r>
          </w:p>
        </w:tc>
        <w:tc>
          <w:tcPr>
            <w:tcW w:w="1065" w:type="dxa"/>
          </w:tcPr>
          <w:p w:rsidR="003D1BAE" w:rsidRPr="003D1BAE" w:rsidRDefault="003D1BAE" w:rsidP="003D1BAE">
            <w:pPr>
              <w:jc w:val="center"/>
              <w:rPr>
                <w:rFonts w:ascii="Times New Roman" w:hAnsi="Times New Roman" w:cs="Times New Roman"/>
                <w:caps/>
                <w:sz w:val="28"/>
                <w:szCs w:val="28"/>
              </w:rPr>
            </w:pPr>
          </w:p>
          <w:p w:rsidR="003D1BAE" w:rsidRPr="003D1BAE" w:rsidRDefault="003D1BAE" w:rsidP="003D1BAE">
            <w:pPr>
              <w:jc w:val="center"/>
              <w:rPr>
                <w:rFonts w:ascii="Times New Roman" w:hAnsi="Times New Roman" w:cs="Times New Roman"/>
                <w:caps/>
                <w:sz w:val="28"/>
                <w:szCs w:val="28"/>
              </w:rPr>
            </w:pPr>
            <w:r w:rsidRPr="003D1BAE">
              <w:rPr>
                <w:rFonts w:ascii="Times New Roman" w:hAnsi="Times New Roman" w:cs="Times New Roman"/>
                <w:caps/>
                <w:sz w:val="28"/>
                <w:szCs w:val="28"/>
              </w:rPr>
              <w:t>69</w:t>
            </w:r>
          </w:p>
        </w:tc>
      </w:tr>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3………………………………………………….</w:t>
            </w:r>
          </w:p>
          <w:p w:rsidR="003D1BAE" w:rsidRPr="003D1BAE" w:rsidRDefault="003D1BAE" w:rsidP="003D1BAE">
            <w:pPr>
              <w:rPr>
                <w:rFonts w:ascii="Times New Roman" w:hAnsi="Times New Roman" w:cs="Times New Roman"/>
                <w:b/>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77</w:t>
            </w:r>
          </w:p>
        </w:tc>
      </w:tr>
      <w:tr w:rsidR="003D1BAE" w:rsidRPr="003D1BAE" w:rsidTr="00CA15D4">
        <w:trPr>
          <w:trHeight w:val="630"/>
        </w:trPr>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Висновки…………………………………………………………………</w:t>
            </w:r>
          </w:p>
          <w:p w:rsidR="003D1BAE" w:rsidRPr="003D1BAE" w:rsidRDefault="003D1BAE" w:rsidP="003D1BAE">
            <w:pPr>
              <w:rPr>
                <w:rFonts w:ascii="Times New Roman" w:hAnsi="Times New Roman" w:cs="Times New Roman"/>
                <w:b/>
                <w:sz w:val="28"/>
                <w:szCs w:val="28"/>
              </w:rPr>
            </w:pP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79</w:t>
            </w:r>
          </w:p>
        </w:tc>
      </w:tr>
      <w:tr w:rsidR="003D1BAE" w:rsidRPr="003D1BAE" w:rsidTr="00CA15D4">
        <w:tc>
          <w:tcPr>
            <w:tcW w:w="8472" w:type="dxa"/>
          </w:tcPr>
          <w:p w:rsidR="003D1BAE" w:rsidRPr="003D1BAE" w:rsidRDefault="003D1BAE" w:rsidP="003D1BAE">
            <w:pPr>
              <w:rPr>
                <w:rFonts w:ascii="Times New Roman" w:hAnsi="Times New Roman" w:cs="Times New Roman"/>
                <w:b/>
                <w:sz w:val="28"/>
                <w:szCs w:val="28"/>
              </w:rPr>
            </w:pPr>
            <w:r w:rsidRPr="003D1BAE">
              <w:rPr>
                <w:rFonts w:ascii="Times New Roman" w:hAnsi="Times New Roman" w:cs="Times New Roman"/>
                <w:b/>
                <w:sz w:val="28"/>
                <w:szCs w:val="28"/>
              </w:rPr>
              <w:t>Список використаних джерел………………………………………...</w:t>
            </w:r>
          </w:p>
        </w:tc>
        <w:tc>
          <w:tcPr>
            <w:tcW w:w="1065" w:type="dxa"/>
          </w:tcPr>
          <w:p w:rsidR="003D1BAE" w:rsidRPr="003D1BAE" w:rsidRDefault="003D1BAE" w:rsidP="003D1BAE">
            <w:pPr>
              <w:jc w:val="center"/>
              <w:rPr>
                <w:rFonts w:ascii="Times New Roman" w:hAnsi="Times New Roman" w:cs="Times New Roman"/>
                <w:b/>
                <w:caps/>
                <w:sz w:val="28"/>
                <w:szCs w:val="28"/>
              </w:rPr>
            </w:pPr>
            <w:r w:rsidRPr="003D1BAE">
              <w:rPr>
                <w:rFonts w:ascii="Times New Roman" w:hAnsi="Times New Roman" w:cs="Times New Roman"/>
                <w:b/>
                <w:caps/>
                <w:sz w:val="28"/>
                <w:szCs w:val="28"/>
              </w:rPr>
              <w:t>83</w:t>
            </w:r>
          </w:p>
        </w:tc>
      </w:tr>
    </w:tbl>
    <w:p w:rsidR="003D1BAE" w:rsidRPr="003D1BAE" w:rsidRDefault="003D1BAE" w:rsidP="003D1BAE">
      <w:pPr>
        <w:spacing w:after="0" w:line="240" w:lineRule="auto"/>
        <w:jc w:val="center"/>
        <w:rPr>
          <w:rFonts w:ascii="Times New Roman" w:hAnsi="Times New Roman" w:cs="Times New Roman"/>
          <w:b/>
          <w:caps/>
          <w:sz w:val="28"/>
          <w:szCs w:val="28"/>
        </w:rPr>
      </w:pPr>
    </w:p>
    <w:p w:rsidR="003D1BAE" w:rsidRPr="003D1BAE" w:rsidRDefault="003D1BAE" w:rsidP="003D1BAE">
      <w:pPr>
        <w:spacing w:after="0"/>
        <w:jc w:val="center"/>
        <w:rPr>
          <w:rFonts w:ascii="Times New Roman" w:hAnsi="Times New Roman" w:cs="Times New Roman"/>
          <w:b/>
          <w:sz w:val="28"/>
          <w:szCs w:val="28"/>
        </w:rPr>
      </w:pPr>
    </w:p>
    <w:p w:rsidR="003D1BAE" w:rsidRPr="003D1BAE" w:rsidRDefault="003D1BAE" w:rsidP="003D1BAE">
      <w:pPr>
        <w:spacing w:after="0"/>
        <w:jc w:val="center"/>
        <w:rPr>
          <w:rFonts w:ascii="Times New Roman" w:hAnsi="Times New Roman" w:cs="Times New Roman"/>
          <w:b/>
          <w:sz w:val="28"/>
          <w:szCs w:val="28"/>
        </w:rPr>
      </w:pP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br w:type="column"/>
      </w:r>
      <w:r w:rsidRPr="003D1BAE">
        <w:rPr>
          <w:rFonts w:ascii="Times New Roman" w:hAnsi="Times New Roman" w:cs="Times New Roman"/>
          <w:b/>
          <w:sz w:val="28"/>
          <w:szCs w:val="28"/>
        </w:rPr>
        <w:lastRenderedPageBreak/>
        <w:t>ВСТУП</w:t>
      </w:r>
    </w:p>
    <w:p w:rsidR="003D1BAE" w:rsidRPr="003D1BAE" w:rsidRDefault="003D1BAE" w:rsidP="003D1BAE">
      <w:pPr>
        <w:spacing w:after="0" w:line="360" w:lineRule="auto"/>
        <w:ind w:firstLine="709"/>
        <w:jc w:val="both"/>
        <w:rPr>
          <w:rFonts w:ascii="Times New Roman" w:hAnsi="Times New Roman" w:cs="Times New Roman"/>
          <w:b/>
          <w:sz w:val="28"/>
          <w:szCs w:val="28"/>
        </w:rPr>
      </w:pP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 xml:space="preserve">Актуальність теми. </w:t>
      </w:r>
      <w:r w:rsidRPr="003D1BAE">
        <w:rPr>
          <w:rFonts w:ascii="Times New Roman" w:hAnsi="Times New Roman" w:cs="Times New Roman"/>
          <w:sz w:val="28"/>
          <w:szCs w:val="28"/>
        </w:rPr>
        <w:t xml:space="preserve">Тенденції демократизації вітчизняного суспільства і стратегічний курс на інтеграцію до європейського співтовариства зумовлюють посилену увагу до проблематики забезпечення наукової обґрунтованості та ефективності бюджетної політики на усіх рівнях публічного управління. Така політика має відповідати стратегічним пріоритетам соціально-економічного розвитку як держави в цілому, так і територіальних громад. Перегляд цілей та завдань бюджетної політики нашої держави в сучасних умовах обумовлений проблемами внутрішнього характеру, так і посиленням впливу глобальних ризиків розвитку на соціально-економічні процеси в країні. Це актуалізує питання розвитку теоретичних засад та ґрунтовного аналізу практики реалізації бюджетної політики на усіх рівнях управління для забезпечення ефективної протидії новітнім викликам суспільного розвитку та забезпечення позитивної динаміки економічного зростання та підвищення добробуту населення.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В умовах проведення в Україні реформи децентралізації актуальним завданням є пошук та задіяння інноваційних інструментів бюджетної політики, спрямованих на нарощування власних доходів бюджетів територіальних громад, що сприятиме зміцненню їх фінансової самостійності та розширенню можливостей органів місцевої влади у проведенні самостійної бюджетної політики. Поряд з цим, не втрачає своєї злободенності проблема оптимізації видаткової частини місцевих бюджетів у контексті посилення її інвестиційної складової й підвищення ефективності використання бюджетних коштів. Значну увагу необхідно приділяти також проблематиці міжбюджетних відносин як важливої складової бюджетної політики місцевих органів влади.</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Теоретичні засади бюджетної політики, специфіку її розробки й реалізації на рівні місцевих органів влади досліджують у своєму науковому доробку такі вчені, як С. Булгакова, О. Василик, Г. Возняк, В. Дем’янишин, Н. Дехтяр, А. Дишлева, О. Кириленко, Л. Лисяк, З. Лободіна, І. Лютий, Б. Малиняк, Ц. Огонь, Л. Сергієнко, О. Тулай, І. Усков, С. Фролов, І. Чугунов, С. Юрій, </w:t>
      </w:r>
      <w:r w:rsidRPr="003D1BAE">
        <w:rPr>
          <w:rFonts w:ascii="Times New Roman" w:hAnsi="Times New Roman" w:cs="Times New Roman"/>
          <w:sz w:val="28"/>
          <w:szCs w:val="28"/>
        </w:rPr>
        <w:lastRenderedPageBreak/>
        <w:t>Ф. Ярошенк та інші. Проте, невирішеним питанням бюджетної політики на теперішній час є оцінювання впливу новітніх загроз суспільному розвитку на процеси її розробки та реалізації, а також адаптації інструментарію бюджетної політики до його ефективного використання в нових реаліях сьогодення. Це вказує на актуальність теми кваліфікаційної роботи та вплинуло на визначення її мети, формулювання завдань, об’єкта і предмета дослідження.</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Метою дослідження</w:t>
      </w:r>
      <w:r w:rsidRPr="003D1BAE">
        <w:rPr>
          <w:rFonts w:ascii="Times New Roman" w:hAnsi="Times New Roman" w:cs="Times New Roman"/>
          <w:sz w:val="28"/>
          <w:szCs w:val="28"/>
        </w:rPr>
        <w:t xml:space="preserve"> є розкриття теоретичних засад бюджетної політики місцевих органів влади, оцінювання практики її розробки та реалізації, а також обґрунтування напрямів її удосконалення в сучасних умовах.</w:t>
      </w:r>
    </w:p>
    <w:p w:rsidR="003D1BAE" w:rsidRPr="003D1BAE" w:rsidRDefault="003D1BAE" w:rsidP="003D1BAE">
      <w:pPr>
        <w:spacing w:after="0" w:line="360" w:lineRule="auto"/>
        <w:ind w:firstLine="709"/>
        <w:jc w:val="both"/>
        <w:rPr>
          <w:rFonts w:ascii="Times New Roman" w:hAnsi="Times New Roman" w:cs="Times New Roman"/>
          <w:b/>
          <w:sz w:val="28"/>
          <w:szCs w:val="28"/>
        </w:rPr>
      </w:pPr>
      <w:r w:rsidRPr="003D1BAE">
        <w:rPr>
          <w:rFonts w:ascii="Times New Roman" w:hAnsi="Times New Roman" w:cs="Times New Roman"/>
          <w:sz w:val="28"/>
          <w:szCs w:val="28"/>
        </w:rPr>
        <w:t xml:space="preserve">Для досягнення поставленої мети у кваліфікаційній роботі були вирішені такі </w:t>
      </w:r>
      <w:r w:rsidRPr="003D1BAE">
        <w:rPr>
          <w:rFonts w:ascii="Times New Roman" w:hAnsi="Times New Roman" w:cs="Times New Roman"/>
          <w:b/>
          <w:sz w:val="28"/>
          <w:szCs w:val="28"/>
        </w:rPr>
        <w:t xml:space="preserve">завдання: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розкрито економічний зміст, завдання та напрями бюджетної політики органів місцевої влади як складової бюджетної політики держави;</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охарактеризовано методологічні підходи до оцінювання ефективності бюджетної політики органів місцевої влади;</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проаналізовано практику реалізації та оцінено ефективність бюджетної політики формування доходів місцевого бюджету;</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w:t>
      </w:r>
      <w:r w:rsidRPr="003D1BAE">
        <w:rPr>
          <w:rFonts w:ascii="Times New Roman" w:hAnsi="Times New Roman" w:cs="Times New Roman"/>
          <w:color w:val="000000"/>
          <w:sz w:val="28"/>
          <w:szCs w:val="28"/>
          <w:lang w:eastAsia="uk-UA"/>
        </w:rPr>
        <w:t xml:space="preserve">проведено моніторинг </w:t>
      </w:r>
      <w:r w:rsidRPr="003D1BAE">
        <w:rPr>
          <w:rFonts w:ascii="Times New Roman" w:hAnsi="Times New Roman" w:cs="Times New Roman"/>
          <w:sz w:val="28"/>
          <w:szCs w:val="28"/>
        </w:rPr>
        <w:t>практики реалізації бюджетної політики органу місцевої влади у сфері видатків бюджету;</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 оцінено практичні аспекти реалізації бюджетної політики органу місцевої влади щодо міжбюджетних трансфертів;</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sz w:val="28"/>
          <w:szCs w:val="28"/>
        </w:rPr>
        <w:t>– сформульовано пріоритети вдосконалення бюджетної політики формування доходів місцевих бюджетів;</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обґрунтовано н</w:t>
      </w:r>
      <w:r w:rsidRPr="003D1BAE">
        <w:rPr>
          <w:rFonts w:ascii="Times New Roman" w:hAnsi="Times New Roman" w:cs="Times New Roman"/>
          <w:spacing w:val="-2"/>
          <w:sz w:val="28"/>
          <w:szCs w:val="28"/>
        </w:rPr>
        <w:t>апрями підвищення ефективності бюджетної політики органів місцевої влади у сфері видатків.</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Об’єктом дослідження</w:t>
      </w:r>
      <w:r w:rsidRPr="003D1BAE">
        <w:rPr>
          <w:rFonts w:ascii="Times New Roman" w:hAnsi="Times New Roman" w:cs="Times New Roman"/>
          <w:sz w:val="28"/>
          <w:szCs w:val="28"/>
        </w:rPr>
        <w:t xml:space="preserve"> є процес реалізації бюджетної політики місцевих органів влади.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Предметом дослідження</w:t>
      </w:r>
      <w:r w:rsidRPr="003D1BAE">
        <w:rPr>
          <w:rFonts w:ascii="Times New Roman" w:hAnsi="Times New Roman" w:cs="Times New Roman"/>
          <w:sz w:val="28"/>
          <w:szCs w:val="28"/>
        </w:rPr>
        <w:t xml:space="preserve"> є теоретичні та практичні аспекти розробки та реалізації бюджетної політики місцевих органів влади в умовах проведення реформи децентралізації.</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lastRenderedPageBreak/>
        <w:t>Методологічна база дослідження.</w:t>
      </w:r>
      <w:r w:rsidRPr="003D1BAE">
        <w:rPr>
          <w:rFonts w:ascii="Times New Roman" w:hAnsi="Times New Roman" w:cs="Times New Roman"/>
          <w:sz w:val="28"/>
          <w:szCs w:val="28"/>
        </w:rPr>
        <w:t xml:space="preserve"> У роботі було застосовано цілий спектр загально- та конкретно-наукових методів дослідження, що ґрунтуються на сучасних теоретико-методичних підходах до наукового пізнання. Це дало змогу забезпечити концептуальну єдність дослідження. Зокрема, системний та структурний методи, діалектичний підхід використані при розкритті сутності, завдань та особливостей бюджетної політики місцевих органів влади, вивченні підходів до оцінювання її ефективності. При обґрунтуванні сутності бюджетної політики застосовано метод наукової абстракції; аналіз вітчизняного досвіду розробки та реалізації бюджетної політики органу місцевого влади здійснено за допомогою компаративного аналізу, методів економічного аналізу, графічного і табличного відображення, статистичного методу. Методи абстрагування, синтезу, порівнянь та експертних оцінок застосовані при дослідженні напрямів удосконалення бюджетної політики у розрізі її ключових напрямів.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Теоретичну та інформаційну основу дослідження</w:t>
      </w:r>
      <w:r w:rsidRPr="003D1BAE">
        <w:rPr>
          <w:rFonts w:ascii="Times New Roman" w:hAnsi="Times New Roman" w:cs="Times New Roman"/>
          <w:sz w:val="28"/>
          <w:szCs w:val="28"/>
        </w:rPr>
        <w:t xml:space="preserve"> становлять законодавчі та нормативно-правові акти з питань формування і реалізації бюджетної політики місцевих органів влади, статистичні та аналітичні матеріали Міністерства фінансів України, Державної казначейської служби України, Державної служби статистики України, Чемеровецької селищної ради Хмельницької області, наукові публікації вітчизняних та зарубіжних вчених, що стосуються обраної теми кваліфікаційної роботи.</w:t>
      </w:r>
    </w:p>
    <w:p w:rsidR="003D1BAE" w:rsidRPr="003D1BAE" w:rsidRDefault="003D1BAE" w:rsidP="003D1BAE">
      <w:pPr>
        <w:pStyle w:val="a5"/>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3D1BAE">
        <w:rPr>
          <w:b/>
          <w:spacing w:val="-2"/>
          <w:sz w:val="28"/>
          <w:szCs w:val="28"/>
        </w:rPr>
        <w:t xml:space="preserve">Наукова новизна результатів дослідження. </w:t>
      </w:r>
      <w:r w:rsidRPr="003D1BAE">
        <w:rPr>
          <w:spacing w:val="-2"/>
          <w:sz w:val="28"/>
          <w:szCs w:val="28"/>
        </w:rPr>
        <w:t>Виконання кваліфікаційної роботи узагальнює та розвиває відомі теоретичних напрацювання щодо розробки та реалізації бюджетної політики місцевих органів влади в Україні. Проведення ґрунтовного аналізу відповідної бюджетної політики дало можливість виявити ключові чинники, які визначають її ефективність, а також вказати на проблемні моменти її розробки та реалізації. За результатами дослідження вироблені рекомендації, які концептуально окреслюють наше бачення щодо векторів вдосконалення бюджетної політики місцевих органів влади в сучасних умовах.</w:t>
      </w:r>
    </w:p>
    <w:p w:rsidR="003D1BAE" w:rsidRPr="003D1BAE" w:rsidRDefault="003D1BAE" w:rsidP="003D1BAE">
      <w:pPr>
        <w:pStyle w:val="a5"/>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3D1BAE">
        <w:rPr>
          <w:b/>
          <w:spacing w:val="-2"/>
          <w:sz w:val="28"/>
          <w:szCs w:val="28"/>
        </w:rPr>
        <w:t xml:space="preserve">Практичне значення отриманих результатів. </w:t>
      </w:r>
      <w:r w:rsidRPr="003D1BAE">
        <w:rPr>
          <w:spacing w:val="-2"/>
          <w:sz w:val="28"/>
          <w:szCs w:val="28"/>
        </w:rPr>
        <w:t xml:space="preserve">Розроблені у роботі висновки, узагальнення та практичні рекомендації можуть бути використані </w:t>
      </w:r>
      <w:r w:rsidRPr="003D1BAE">
        <w:rPr>
          <w:spacing w:val="-2"/>
          <w:sz w:val="28"/>
          <w:szCs w:val="28"/>
        </w:rPr>
        <w:lastRenderedPageBreak/>
        <w:t xml:space="preserve">Чемеровецькою селищною радою й іншими органами місцевого самоврядування при виробленні пріоритетів вдосконалення бюджетної політики у розрізі її ключових напрямів. Теоретичні напрацювання, аналітичні розробки та висновки роботи можуть також бути використаними у навчальному процесі у вищій школі при викладанні фінансових дисциплін. </w:t>
      </w:r>
    </w:p>
    <w:p w:rsidR="003D1BAE" w:rsidRPr="003D1BAE" w:rsidRDefault="003D1BAE" w:rsidP="003D1BAE">
      <w:pPr>
        <w:pStyle w:val="a5"/>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3D1BAE">
        <w:rPr>
          <w:b/>
          <w:spacing w:val="-2"/>
          <w:sz w:val="28"/>
          <w:szCs w:val="28"/>
        </w:rPr>
        <w:t xml:space="preserve">Структура роботи. </w:t>
      </w:r>
      <w:r w:rsidRPr="003D1BAE">
        <w:rPr>
          <w:spacing w:val="-2"/>
          <w:sz w:val="28"/>
          <w:szCs w:val="28"/>
        </w:rPr>
        <w:t>Кваліфікаційна робота має класичну структуру, що об’єднує вступ, три розділи, висновки та список використаних джерел. Перший розділ присвячений розкриттю теоретичних засад бюджетної політики органів місцевої влади, а також методичних підходів до оцінювання її ефективності. У другому розділі кваліфікаційної роботи проведено ґрунтовний аналіз практики реалізації бюджетної політики органу місцевої влади на прикладі діяльності Чемеровецької селищної ради Хмельницької області. Аналіз проведений у розрізі ключових напрямів бюджетної політики. Третій розділ присвячений розкриттю перспектив підвищення ефективності бюджетної політики у сфері доходів та видатків бюджету.</w:t>
      </w:r>
    </w:p>
    <w:p w:rsidR="003D1BAE" w:rsidRPr="003D1BAE" w:rsidRDefault="003D1BAE" w:rsidP="003D1BAE">
      <w:pPr>
        <w:tabs>
          <w:tab w:val="left" w:pos="709"/>
        </w:tabs>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b/>
          <w:i/>
          <w:sz w:val="28"/>
          <w:szCs w:val="28"/>
        </w:rPr>
        <w:t>Апрoбація результатів дoслідження.</w:t>
      </w:r>
      <w:r w:rsidRPr="003D1BAE">
        <w:rPr>
          <w:rFonts w:ascii="Times New Roman" w:hAnsi="Times New Roman" w:cs="Times New Roman"/>
          <w:b/>
          <w:sz w:val="28"/>
          <w:szCs w:val="28"/>
        </w:rPr>
        <w:t xml:space="preserve"> </w:t>
      </w:r>
      <w:r w:rsidRPr="003D1BAE">
        <w:rPr>
          <w:rFonts w:ascii="Times New Roman" w:hAnsi="Times New Roman" w:cs="Times New Roman"/>
          <w:sz w:val="28"/>
          <w:szCs w:val="28"/>
        </w:rPr>
        <w:t xml:space="preserve">Окремі результати кваліфікаційної роботи </w:t>
      </w:r>
      <w:r w:rsidRPr="003D1BAE">
        <w:rPr>
          <w:rFonts w:ascii="Times New Roman" w:hAnsi="Times New Roman" w:cs="Times New Roman"/>
          <w:spacing w:val="-2"/>
          <w:sz w:val="28"/>
          <w:szCs w:val="28"/>
        </w:rPr>
        <w:t xml:space="preserve">відображені у наукових публікаціях автора: </w:t>
      </w:r>
    </w:p>
    <w:p w:rsidR="003D1BAE" w:rsidRPr="003D1BAE" w:rsidRDefault="003D1BAE" w:rsidP="003D1BAE">
      <w:pPr>
        <w:pStyle w:val="a3"/>
        <w:numPr>
          <w:ilvl w:val="0"/>
          <w:numId w:val="1"/>
        </w:numPr>
        <w:tabs>
          <w:tab w:val="left" w:pos="993"/>
        </w:tabs>
        <w:spacing w:after="0" w:line="360" w:lineRule="auto"/>
        <w:ind w:left="0"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rPr>
        <w:t xml:space="preserve">Богач Ю. Г. До питання про економічну доцільність та ефективність оподаткування нерухомого майна. </w:t>
      </w:r>
      <w:r w:rsidRPr="003D1BAE">
        <w:rPr>
          <w:rFonts w:ascii="Times New Roman" w:hAnsi="Times New Roman" w:cs="Times New Roman"/>
          <w:i/>
          <w:spacing w:val="-2"/>
          <w:sz w:val="28"/>
          <w:szCs w:val="28"/>
        </w:rPr>
        <w:t>Актуальні питання фінансової теорії та практики</w:t>
      </w:r>
      <w:r w:rsidRPr="003D1BAE">
        <w:rPr>
          <w:rFonts w:ascii="Times New Roman" w:hAnsi="Times New Roman" w:cs="Times New Roman"/>
          <w:spacing w:val="-2"/>
          <w:sz w:val="28"/>
          <w:szCs w:val="28"/>
        </w:rPr>
        <w:t>: збірн. матер. Восьмої заоч.-дистанц. конф. студ. і мол. вч., м. Тернопіль, 20 травня 2021 р. Тернопіль: ЗУНУ, 2021. С. 10-13.</w:t>
      </w:r>
    </w:p>
    <w:p w:rsidR="003D1BAE" w:rsidRPr="003D1BAE" w:rsidRDefault="003D1BAE" w:rsidP="003D1BAE">
      <w:pPr>
        <w:pStyle w:val="a3"/>
        <w:numPr>
          <w:ilvl w:val="0"/>
          <w:numId w:val="1"/>
        </w:numPr>
        <w:tabs>
          <w:tab w:val="left" w:pos="993"/>
        </w:tabs>
        <w:spacing w:after="0" w:line="360" w:lineRule="auto"/>
        <w:ind w:left="0"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Богач Ю. Г. Пріоритети вдосконалення бюджетної політики формування доходів місцевих бюджетів.</w:t>
      </w:r>
      <w:r w:rsidRPr="003D1BAE">
        <w:rPr>
          <w:rFonts w:ascii="Times New Roman" w:hAnsi="Times New Roman" w:cs="Times New Roman"/>
          <w:i/>
          <w:iCs/>
          <w:color w:val="222222"/>
          <w:spacing w:val="-2"/>
          <w:sz w:val="28"/>
          <w:szCs w:val="28"/>
        </w:rPr>
        <w:t xml:space="preserve"> Фінансове забезпечення сталого розвитку</w:t>
      </w:r>
      <w:r w:rsidRPr="003D1BAE">
        <w:rPr>
          <w:rFonts w:ascii="Times New Roman" w:hAnsi="Times New Roman" w:cs="Times New Roman"/>
          <w:color w:val="000000"/>
          <w:spacing w:val="-2"/>
          <w:sz w:val="28"/>
          <w:szCs w:val="28"/>
        </w:rPr>
        <w:t xml:space="preserve">: збірн. </w:t>
      </w:r>
      <w:r w:rsidRPr="003D1BAE">
        <w:rPr>
          <w:rFonts w:ascii="Times New Roman" w:hAnsi="Times New Roman" w:cs="Times New Roman"/>
          <w:color w:val="222222"/>
          <w:spacing w:val="-2"/>
          <w:sz w:val="28"/>
          <w:szCs w:val="28"/>
        </w:rPr>
        <w:t xml:space="preserve">наук. праць кафедри фінансів ім. С. І. Юрія Західноукраїнського національного університету. Вип. 1. </w:t>
      </w:r>
      <w:r w:rsidRPr="003D1BAE">
        <w:rPr>
          <w:rFonts w:ascii="Times New Roman" w:hAnsi="Times New Roman" w:cs="Times New Roman"/>
          <w:color w:val="000000"/>
          <w:spacing w:val="-2"/>
          <w:sz w:val="28"/>
          <w:szCs w:val="28"/>
        </w:rPr>
        <w:t>Тернопіль: ЗУНУ, 2021.</w:t>
      </w:r>
    </w:p>
    <w:p w:rsidR="003D1BAE" w:rsidRPr="003D1BAE" w:rsidRDefault="003D1BAE" w:rsidP="003D1BAE">
      <w:pPr>
        <w:tabs>
          <w:tab w:val="left" w:pos="709"/>
        </w:tabs>
        <w:spacing w:after="0" w:line="360" w:lineRule="auto"/>
        <w:ind w:firstLine="709"/>
        <w:jc w:val="both"/>
        <w:rPr>
          <w:rFonts w:ascii="Times New Roman" w:hAnsi="Times New Roman" w:cs="Times New Roman"/>
        </w:rPr>
      </w:pPr>
      <w:r w:rsidRPr="003D1BAE">
        <w:rPr>
          <w:rFonts w:ascii="Times New Roman" w:hAnsi="Times New Roman" w:cs="Times New Roman"/>
          <w:spacing w:val="-2"/>
          <w:sz w:val="28"/>
          <w:szCs w:val="28"/>
        </w:rPr>
        <w:t>Повний обсяг роботи становить 91 сторінку комп’ютерного тексту. Основний зміст роботи викладени</w:t>
      </w:r>
      <w:r w:rsidRPr="003D1BAE">
        <w:rPr>
          <w:rFonts w:ascii="Times New Roman" w:hAnsi="Times New Roman" w:cs="Times New Roman"/>
          <w:sz w:val="28"/>
          <w:szCs w:val="28"/>
        </w:rPr>
        <w:t>й на 82 сторінці. У роботі 12 таблиць та 1 рисунок. Список використаних джерел налічує 86 позицій.</w:t>
      </w: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br w:type="column"/>
      </w:r>
      <w:r w:rsidRPr="003D1BAE">
        <w:rPr>
          <w:rFonts w:ascii="Times New Roman" w:hAnsi="Times New Roman" w:cs="Times New Roman"/>
          <w:b/>
          <w:sz w:val="28"/>
          <w:szCs w:val="28"/>
        </w:rPr>
        <w:lastRenderedPageBreak/>
        <w:t>Розділ 1</w:t>
      </w: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t>Теоретичні засади бюджетної політики</w:t>
      </w: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t>органів місцевої влади</w:t>
      </w:r>
    </w:p>
    <w:p w:rsidR="003D1BAE" w:rsidRPr="003D1BAE" w:rsidRDefault="003D1BAE" w:rsidP="003D1BAE">
      <w:pPr>
        <w:spacing w:after="0" w:line="360" w:lineRule="auto"/>
        <w:rPr>
          <w:rFonts w:ascii="Times New Roman" w:hAnsi="Times New Roman" w:cs="Times New Roman"/>
          <w:sz w:val="28"/>
          <w:szCs w:val="28"/>
        </w:rPr>
      </w:pPr>
    </w:p>
    <w:p w:rsidR="003D1BAE" w:rsidRPr="003D1BAE" w:rsidRDefault="003D1BAE" w:rsidP="003D1BAE">
      <w:pPr>
        <w:spacing w:after="0" w:line="360" w:lineRule="auto"/>
        <w:rPr>
          <w:rFonts w:ascii="Times New Roman" w:hAnsi="Times New Roman" w:cs="Times New Roman"/>
          <w:sz w:val="28"/>
          <w:szCs w:val="28"/>
        </w:rPr>
      </w:pP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b/>
          <w:sz w:val="28"/>
          <w:szCs w:val="28"/>
        </w:rPr>
        <w:t>1.1. Економічний зміст, завдання та напрями бюджетної політики</w:t>
      </w:r>
      <w:r w:rsidRPr="003D1BAE">
        <w:rPr>
          <w:rFonts w:ascii="Times New Roman" w:hAnsi="Times New Roman" w:cs="Times New Roman"/>
          <w:sz w:val="28"/>
          <w:szCs w:val="28"/>
        </w:rPr>
        <w:t xml:space="preserve"> </w:t>
      </w:r>
      <w:r w:rsidRPr="003D1BAE">
        <w:rPr>
          <w:rFonts w:ascii="Times New Roman" w:hAnsi="Times New Roman" w:cs="Times New Roman"/>
          <w:b/>
          <w:sz w:val="28"/>
          <w:szCs w:val="28"/>
        </w:rPr>
        <w:t>органів місцевої влади як складової бюджетної політики держави</w:t>
      </w:r>
    </w:p>
    <w:p w:rsidR="003D1BAE" w:rsidRPr="003D1BAE" w:rsidRDefault="003D1BAE" w:rsidP="003D1BAE">
      <w:pPr>
        <w:spacing w:after="0" w:line="360" w:lineRule="auto"/>
        <w:ind w:firstLine="709"/>
        <w:rPr>
          <w:rFonts w:ascii="Times New Roman" w:hAnsi="Times New Roman" w:cs="Times New Roman"/>
          <w:sz w:val="28"/>
          <w:szCs w:val="28"/>
        </w:rPr>
      </w:pP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Бюджетна політика є найважливішою формою матеріального прояву об’єктивних бюджетних відносин. Від чіткості та стратегічної виваженості її розробки, ефективності реалізації значною мірою залежить те, якими будуть остаточні результати впливу бюджетних відносин на економічні та соціальні </w:t>
      </w:r>
      <w:r w:rsidRPr="003D1BAE">
        <w:rPr>
          <w:rFonts w:ascii="Times New Roman" w:hAnsi="Times New Roman" w:cs="Times New Roman"/>
          <w:spacing w:val="-2"/>
          <w:sz w:val="28"/>
          <w:szCs w:val="28"/>
        </w:rPr>
        <w:t xml:space="preserve">процеси, які відбуваються у країні. Важливість бюджетної політики пояснює значну розробленість теоретичних і практичних аспектів її втілення у фінансовій науці. Разом з тим, теоретична база бюджетної політики характеризується значною різноманітністю підходів та поглядів на тлумачення її сутності, завдань та принципів здійснення.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У словнику сучасної економічної теорії за редакцією Макміллана під бюджетною політикою розуміють використання оподаткування та державних видатків для регулювання сукупного рівня економічної діяльності [72, с. 41]. Подібне за змістом визначення бюджетної політики подає А. Борисов. На його думку, вона являє собою діяльність у галузі оподаткування й державних витрат, спрямована на підтримання високого рівня зайнятості, стійкості економіки, збільшення ВНП [4, с. 86]. Незважаючи на те, що ці дефініції наголошують на важливих складових бюджетної політики, а саме оподаткуванні та бюджетних видатках, вони надто звужено розглядають призначення бюджетної політики, обмежуючи його виключно економічними цілями.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Нестандартний підхід до трактування бюджетної політики представлений в Енциклопедичному економічному словнику. На думку авторів цього видання, бюджетна політика – це «цілеспрямована і планомірна діяльність держави щодо </w:t>
      </w:r>
      <w:r w:rsidRPr="003D1BAE">
        <w:rPr>
          <w:rFonts w:ascii="Times New Roman" w:hAnsi="Times New Roman" w:cs="Times New Roman"/>
          <w:sz w:val="28"/>
          <w:szCs w:val="28"/>
        </w:rPr>
        <w:lastRenderedPageBreak/>
        <w:t xml:space="preserve">раціонального використання важелів бюджетного регулювання темпів питомої ваги одержавлення національного доходу, джерел його формування та вибору оптимальної структури витрат для підтримання стабільного економічного росту й досягнення стратегічних цілей суспільства» [51, с. 67-68]. Отже, автори цієї дефініції виправляють недолік попередніх підходів до тлумачення бюджетної політики, коли інструментарій формування доходів бюджету звужується виключно до оподаткування, тоді як на практиці вирізняють також інші методи мобілізації бюджетних ресурсів.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Серед вітчизняних науковців фінансового спрямування поширеним є також підхід до трактування бюджетної політики, запропоноване О. Василиком як «сукупності заходів держави щодо організації та використання фінансів для забезпечення економічного й соціального розвитку» [8, с. 53]. </w:t>
      </w:r>
      <w:r w:rsidRPr="003D1BAE">
        <w:rPr>
          <w:rFonts w:ascii="Times New Roman" w:hAnsi="Times New Roman" w:cs="Times New Roman"/>
          <w:spacing w:val="-2"/>
          <w:sz w:val="28"/>
          <w:szCs w:val="28"/>
        </w:rPr>
        <w:t xml:space="preserve">Схоже бачення бюджетної політики представлене в Економічній енциклопедії за редакцією С. Мочерного, де під нею розуміють «інструмент регулювання економіки для підтримання певного рівня ВНП, зайнятості та соціального забезпечення» </w:t>
      </w:r>
      <w:r w:rsidRPr="003D1BAE">
        <w:rPr>
          <w:rFonts w:ascii="Times New Roman" w:hAnsi="Times New Roman" w:cs="Times New Roman"/>
          <w:sz w:val="28"/>
          <w:szCs w:val="28"/>
        </w:rPr>
        <w:t xml:space="preserve">[22, с. 123]. Усуваючи проблему попередніх дефініцій щодо обмеження сфери застосування, подібний підхід до тлумачення бюджетної політики «розмиває» її основний об’єкт, яким є бюджет, а не фінанси загалом.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Окремі науковці при розкритті сутності бюджетної політики, підходять до її трактування досить лаконічно. Для прикладу, В. Опарін визначає це явище як політику щодо формування та збалансування бюджету держави, а також розподіл бюджетних коштів [78, с. 36]. Такий підхід до формулювання дефініції бюджетної політики відповідає традиції західної фінансової науки, де сутність явищ і процесів характеризують із дотриманням принципу Оккама. Разом з тим, у наведеній дефініції наголошено на важливих аспектах бюджетної політики, які полягають у збалансуванні бюджету, а також оптимізації його видатків.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Однак, у багатьох наукових працях знаходимо достатньо деталізовані визначення бюджетної політики, які розкривають важливі аспекти її сутності. За підходом І. Плужнікова, вона являє собою «системну сукупність пріоритетів (національних інтересів), наукових підходів, а також конкретних заходів щодо </w:t>
      </w:r>
      <w:r w:rsidRPr="003D1BAE">
        <w:rPr>
          <w:rFonts w:ascii="Times New Roman" w:hAnsi="Times New Roman" w:cs="Times New Roman"/>
          <w:sz w:val="28"/>
          <w:szCs w:val="28"/>
        </w:rPr>
        <w:lastRenderedPageBreak/>
        <w:t xml:space="preserve">цілеспрямованої діяльності держави щодо регулювання бюджетного процесу і використання бюджетної системи для вирішення економічних та соціальних завдань країни» [26, с. 177]. Таким чином, науковець наголошує, що в основі </w:t>
      </w:r>
      <w:r w:rsidRPr="003D1BAE">
        <w:rPr>
          <w:rFonts w:ascii="Times New Roman" w:hAnsi="Times New Roman" w:cs="Times New Roman"/>
          <w:spacing w:val="-2"/>
          <w:sz w:val="28"/>
          <w:szCs w:val="28"/>
        </w:rPr>
        <w:t>діяльності з управління бюджетом мають бути покладені наукового обґр</w:t>
      </w:r>
      <w:r w:rsidRPr="003D1BAE">
        <w:rPr>
          <w:rFonts w:ascii="Times New Roman" w:hAnsi="Times New Roman" w:cs="Times New Roman"/>
          <w:sz w:val="28"/>
          <w:szCs w:val="28"/>
        </w:rPr>
        <w:t xml:space="preserve">унтовані цілі та застосування наукових підходів до вирішення соціально-економічних проблем. У подібному ракурсі розглядає бюджетну політику С. Булгакова. На її думку, бюджетна політика є «цілеспрямованою діяльністю держави (органів державної влади і місцевого самоврядування) щодо регулювання бюджетного процесу, управління бюджетним дефіцитом, а також використання бюджетної системи для реалізації завдань економічної політики в країні» [81, с. 93]. Отож, позитивними рисами такого підходу є те, що деталізовано суб’єктів бюджетної політики, якими є органи державної влади та місцевого самоврядування, а також розкрито важливі аспекти, які визначають зміст цієї політики, а саме регулювання бюджетного процесу та управління бюджетним дефіцитом. Проте, науковець також обмежує сферу застосування бюджетної політики виключно реалізацією економічної політики, що недоречно.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Оригінальний підхід до тлумачення бюджетної політики запропонований Т. Куценко. Вона розглядає це поняття у вузькому та широкому значенні. За першим підходом, вчена визначає бюджетну політику як «політику формування та регулювання державного бюджету країни» [36, с. 8]. Застосовуючи принцип Оккама, Т. Куценко надто спрощено та дискусійно подає зміст цього поняття. Натомість, у широкому тлумаченні під бюджетною політикою вона розуміє: по-перше, урядові заходи щодо забезпечення повної зайнятості та виробництва не інфляційного ВВП через зміну державних видатків, системи оподаткування та підходів до формування державного бюджету; по-друге, маніпуляції з доходами і видатками держави для впливу на економічний розвиток [36, с. 8]. Зважаючи на попередні аргументи, не можемо погодитись із раціональністю такого бачення бюджетної політики. По-перше, надмірно звужено визначена сфера реалізації бюджетної політики, яка обмежується лише економічним розвитком. По-друге, визначення бюджетної політики як маніпуляцій з державними </w:t>
      </w:r>
      <w:r w:rsidRPr="003D1BAE">
        <w:rPr>
          <w:rFonts w:ascii="Times New Roman" w:hAnsi="Times New Roman" w:cs="Times New Roman"/>
          <w:sz w:val="28"/>
          <w:szCs w:val="28"/>
        </w:rPr>
        <w:lastRenderedPageBreak/>
        <w:t xml:space="preserve">доходами і видатками, з одного боку, має певне негативне сприяння її змісту, а з іншого боку, надто розширює об’єкт управління, оскільки бюджетна політика стосується лише доходів і видатків бюджету, а не інших складових державних фінансових ресурсів.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Узагальнюючи наведені підходи до тлумачення бюджетної політики, ми можемо пересвідчитись у їхній неоднорідності, що пояснюється складністю та багатоаспектністю цього поняття, яке можна розглядати в економічному, організаційному, правовому ракурсах. На наш погляд, в основу вироблення власного підходу до тлумачення бюджетної політики необхідно покласти чітке розуміння сутності вихідних понять «політика» та «бюджет». Під політикою в енциклопедичній літературі розуміють «науку про завдання та цілі держави, про засоби, які є у розпорядженні чи бувають необхідними для виконання цих цілей» [79, с. 352]; «діяльність щодо управління суспільними відносинами і зв’язками, які виникають між людьми при створенні матеріальних і духовних цінностей» [71, с. 422]. Автори Економічної енциклопедії С. Мочерного деталізують поняття політики, визначаючи її як діяльність, що об’єднує такі логічно послідовні стадії: наукове обґрунтування цілей та завдань, який суб’єкт управління прогне досягти; обґрунтування засобів та методів, за допомогою яких передбачається досягти поставлених цілей та завдань; підбір кадрів та організація їх роботи з метою досягнення поставлених цілей та завдань [23, с. 796-797].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Звужуючи таке бачення політики до об’єкта нашого наукового інтересу, можемо констатувати, що бюджетна політика органів місцевої влади полягає у розробці основних напрямів використання бюджету на рівні територіальних громад відповідно до визначених цілей та завдань її соціально-економічного розвитку. Бюджетна політика об’єднує заходи довго- та короткострокового характеру, які органи управління бюджетом провадять через бюджету систему. Зважаючи на те, що суб’єктами реалізації бюджетної політики є конкретні люди, то у ній можна ідентифікувати суб’єктивну та об’єктивну сторону. Об’єктивність бюджетної політики полягає у тому, що в її основі лежать </w:t>
      </w:r>
      <w:r w:rsidRPr="003D1BAE">
        <w:rPr>
          <w:rFonts w:ascii="Times New Roman" w:hAnsi="Times New Roman" w:cs="Times New Roman"/>
          <w:sz w:val="28"/>
          <w:szCs w:val="28"/>
        </w:rPr>
        <w:lastRenderedPageBreak/>
        <w:t xml:space="preserve">бюджеті відносини, що мають об’єктивний характер та не залежать від волі певного індивіда. Суб’єктивність бюджетної політики полягає у тому, що її цілі та завдання виступають продуктом мислення певних людей, які формулюють їх на підставі власних уявлень про використання бюджету для вирішення нагальних завдань економічного та соціального розвитку.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Важливими умовами успішності розробки та реалізації бюджетної політики є забезпечення її послідовності, комплексного характеру, формування належного правового і організаційного забезпечення. Послідовність бюджетної політики полягає у тому, що вироблення заходів з управління бюджетом має враховувати позитивний та негативний досвід попередніх років, що дає змогу уникнути прорахунків у формуванні доходів чи здійсненні видатків бюджету. Комплексність бюджетної політики як важлива умова її ефективності має полягати в оцінюванні можливих наслідків її реалізації на усіх аспекти життя суспільства, як поточних та і довгострокових. Наприклад, надмірне вилучення фінансових ресурсів з економіки через підвищення податкового навантаження може забезпечити одномоментний приріст бюджетних ресурсів держави, але підірвати мотивацію до господарської діяльності та призвести до падіння доходів держави у довгостроковій перспективі. Таким чином, комплексність бюджетної політики, серед іншого, передбачає урахування інтересів усіх верв населення та усіх суб’єктів економіки при її виробленні й реалізації. Зважаючи на імперативний характер бюджетних відносин, бюджетна політика повинна мати належне правове оформлення. Жодне рішення, яке стосується формування доходів бюджету чи використання бюджетних ресурсів не може бути здійснене навмання, а тільки через прийняття відповідних правових актів. Практичну реалізацію відображених у цих нормативних документах цілей та рішень здійснює фінансовий апарат держави, тобто органи, відповідальні за виконання бюджету за доходами та видатками.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Торкаючись питання щодо визначення завдань бюджетної політики, на наш погляд, в їх основу має бути покладене розуміння політики, запропоноване авторами Економічної енциклопедії за редакцією С. Мочерного. Відповідно до </w:t>
      </w:r>
      <w:r w:rsidRPr="003D1BAE">
        <w:rPr>
          <w:rFonts w:ascii="Times New Roman" w:hAnsi="Times New Roman" w:cs="Times New Roman"/>
          <w:sz w:val="28"/>
          <w:szCs w:val="28"/>
        </w:rPr>
        <w:lastRenderedPageBreak/>
        <w:t>такого підходу, провідними завданнями бюджетної політики, які розкривають її зміст є такі:</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вироблення науково обґрунтованих цілей використання бюджету для реалізації стратегічних і тактичних завдань соціально-економічного розвитку держави (регіону, територіальної громади). Реалізація цього завдання вимагає попереднього ґрунтовного дослідження стану та проблем розвитку економічної системи, потреб соціальної сфери, оцінювання інтересів усіх верств суспільства для забезпечення об’єктивності поставлених цілей;</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формулювання інструментарію використання бюджету для реалізації поставлених цілей та завдань розвитку. В рамках цього завдання визначають основні напрями мобілізації бюджетних ресурсів з використанням різних методів, а також напрями їхнього використання, що мають кореспондувати із </w:t>
      </w:r>
      <w:r w:rsidRPr="003D1BAE">
        <w:rPr>
          <w:rFonts w:ascii="Times New Roman" w:hAnsi="Times New Roman" w:cs="Times New Roman"/>
          <w:spacing w:val="-2"/>
          <w:sz w:val="28"/>
          <w:szCs w:val="28"/>
        </w:rPr>
        <w:t xml:space="preserve">цілями соціально-економічного розвитку держави чи </w:t>
      </w:r>
      <w:r w:rsidRPr="003D1BAE">
        <w:rPr>
          <w:rFonts w:ascii="Times New Roman" w:hAnsi="Times New Roman" w:cs="Times New Roman"/>
          <w:sz w:val="28"/>
          <w:szCs w:val="28"/>
        </w:rPr>
        <w:t>територіальної одиниці;</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власне реалізація бюджетної політики, тобто вжиття конкретних заходів щодо застосування бюджетного інструментарію для досягнення поставлених цілей розвитку (рис. 1.1).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Важливим моментом розкриття теоретичних засад бюджетної політики є виокремлення її видів із застосуванням різних ознак класифікації. У фінансовій науці бюджету політику розмежовують за багатьма критеріями: періоду та характеру завдань, відповідно до рівнів реалізації, функціональним підходом та іншими ознаками. Зокрема, залежно від характеру завдань, які вирішуються у рамках бюджетної політики її розмежовують на стратегію і тактику. Бюджетну стратегію в науковій літературі визначають як довготривалий курс бюджетної політики, який реалізується з метою досягнення глобальних завдань розвитку, визначених стратегічними документами [8, с. 53]. Відтак, бюджетна стратегія передбачає постановку крупномасштабних завдань, пов’язаних з кардинальним реформуванням бюджетної практики – перебудову бюджетного механізму, системи мобілізації доходів бюджету, принципів функціонування бюджетних відносин та ін. На думку Я. Жаліла, при розробці бюджетної стратегії важливо враховувати вплив усіх чинників, які можуть вплинути на перебіг відносин у </w:t>
      </w:r>
      <w:r w:rsidRPr="003D1BAE">
        <w:rPr>
          <w:rFonts w:ascii="Times New Roman" w:hAnsi="Times New Roman" w:cs="Times New Roman"/>
          <w:sz w:val="28"/>
          <w:szCs w:val="28"/>
        </w:rPr>
        <w:lastRenderedPageBreak/>
        <w:t xml:space="preserve">сфері бюджету [24, с. 22], вона має перегукуватись із пріоритетами розвитку, визначеними в інших документах стратегічного планування – соціальною, економічною, політичною, військовою стратегіями. </w:t>
      </w:r>
    </w:p>
    <w:p w:rsidR="003D1BAE" w:rsidRPr="003D1BAE" w:rsidRDefault="000765BB" w:rsidP="003D1BAE">
      <w:pPr>
        <w:spacing w:after="0" w:line="24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026" editas="canvas" style="width:481.85pt;height:312.05pt;mso-position-horizontal-relative:char;mso-position-vertical-relative:line" coordorigin="2362,3575" coordsize="7200,466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362;top:3575;width:7200;height:4663" o:preferrelative="f">
              <v:fill o:detectmouseclick="t"/>
              <v:path o:extrusionok="t" o:connecttype="none"/>
              <o:lock v:ext="edit" text="t"/>
            </v:shape>
            <v:rect id="_x0000_s1028" style="position:absolute;left:4572;top:3651;width:2722;height:541">
              <v:textbox>
                <w:txbxContent>
                  <w:p w:rsidR="003D1BAE" w:rsidRDefault="003D1BAE" w:rsidP="003D1BAE">
                    <w:pPr>
                      <w:spacing w:after="0"/>
                      <w:jc w:val="center"/>
                      <w:rPr>
                        <w:rFonts w:ascii="Times New Roman" w:hAnsi="Times New Roman" w:cs="Times New Roman"/>
                        <w:b/>
                        <w:caps/>
                      </w:rPr>
                    </w:pPr>
                    <w:r w:rsidRPr="0000131D">
                      <w:rPr>
                        <w:rFonts w:ascii="Times New Roman" w:hAnsi="Times New Roman" w:cs="Times New Roman"/>
                        <w:b/>
                        <w:caps/>
                      </w:rPr>
                      <w:t>Бюджетна політика</w:t>
                    </w:r>
                  </w:p>
                  <w:p w:rsidR="003D1BAE" w:rsidRPr="0000131D" w:rsidRDefault="003D1BAE" w:rsidP="003D1BAE">
                    <w:pPr>
                      <w:spacing w:after="0"/>
                      <w:jc w:val="center"/>
                      <w:rPr>
                        <w:rFonts w:ascii="Times New Roman" w:hAnsi="Times New Roman" w:cs="Times New Roman"/>
                        <w:b/>
                        <w:caps/>
                      </w:rPr>
                    </w:pPr>
                    <w:r w:rsidRPr="0000131D">
                      <w:rPr>
                        <w:rFonts w:ascii="Times New Roman" w:hAnsi="Times New Roman" w:cs="Times New Roman"/>
                        <w:b/>
                        <w:caps/>
                      </w:rPr>
                      <w:t>місцевих органів влади</w:t>
                    </w:r>
                  </w:p>
                </w:txbxContent>
              </v:textbox>
            </v:rect>
            <v:rect id="_x0000_s1029" style="position:absolute;left:2641;top:5357;width:990;height:345">
              <v:textbox>
                <w:txbxContent>
                  <w:p w:rsidR="003D1BAE" w:rsidRPr="004F50A2" w:rsidRDefault="003D1BAE" w:rsidP="003D1BAE">
                    <w:pPr>
                      <w:rPr>
                        <w:rFonts w:ascii="Times New Roman" w:hAnsi="Times New Roman" w:cs="Times New Roman"/>
                        <w:b/>
                      </w:rPr>
                    </w:pPr>
                    <w:r w:rsidRPr="004F50A2">
                      <w:rPr>
                        <w:rFonts w:ascii="Times New Roman" w:hAnsi="Times New Roman" w:cs="Times New Roman"/>
                        <w:b/>
                      </w:rPr>
                      <w:t>Завдання</w:t>
                    </w:r>
                  </w:p>
                </w:txbxContent>
              </v:textbox>
            </v:rect>
            <v:rect id="_x0000_s1030" style="position:absolute;left:3838;top:5357;width:5658;height:1373">
              <v:textbox>
                <w:txbxContent>
                  <w:p w:rsidR="003D1BAE" w:rsidRPr="00B26072" w:rsidRDefault="003D1BAE" w:rsidP="003D1BAE">
                    <w:pPr>
                      <w:spacing w:after="0" w:line="240" w:lineRule="auto"/>
                      <w:ind w:left="142" w:hanging="142"/>
                      <w:rPr>
                        <w:rFonts w:ascii="Times New Roman" w:hAnsi="Times New Roman" w:cs="Times New Roman"/>
                        <w:sz w:val="20"/>
                        <w:szCs w:val="20"/>
                      </w:rPr>
                    </w:pPr>
                    <w:r w:rsidRPr="004F50A2">
                      <w:rPr>
                        <w:rFonts w:ascii="Times New Roman" w:hAnsi="Times New Roman" w:cs="Times New Roman"/>
                        <w:sz w:val="20"/>
                        <w:szCs w:val="20"/>
                      </w:rPr>
                      <w:t xml:space="preserve">– вироблення науково обґрунтованих цілей використання бюджету для реалізації стратегічних і тактичних </w:t>
                    </w:r>
                    <w:r w:rsidRPr="00B26072">
                      <w:rPr>
                        <w:rFonts w:ascii="Times New Roman" w:hAnsi="Times New Roman" w:cs="Times New Roman"/>
                        <w:sz w:val="20"/>
                        <w:szCs w:val="20"/>
                      </w:rPr>
                      <w:t>завдань соціально-економічного розвитку держави (регіону, територіальної громади);</w:t>
                    </w:r>
                  </w:p>
                  <w:p w:rsidR="003D1BAE" w:rsidRPr="00B26072" w:rsidRDefault="003D1BAE" w:rsidP="003D1BAE">
                    <w:pPr>
                      <w:spacing w:after="0" w:line="240" w:lineRule="auto"/>
                      <w:ind w:left="142" w:hanging="142"/>
                      <w:rPr>
                        <w:rFonts w:ascii="Times New Roman" w:hAnsi="Times New Roman" w:cs="Times New Roman"/>
                        <w:sz w:val="20"/>
                        <w:szCs w:val="20"/>
                      </w:rPr>
                    </w:pPr>
                    <w:r w:rsidRPr="00B26072">
                      <w:rPr>
                        <w:rFonts w:ascii="Times New Roman" w:hAnsi="Times New Roman" w:cs="Times New Roman"/>
                        <w:sz w:val="20"/>
                        <w:szCs w:val="20"/>
                      </w:rPr>
                      <w:t>– формулювання інструментарію використання бюджету для реалізації поставлених цілей та завдань розвитку;</w:t>
                    </w:r>
                  </w:p>
                  <w:p w:rsidR="003D1BAE" w:rsidRPr="00B26072" w:rsidRDefault="003D1BAE" w:rsidP="003D1BAE">
                    <w:pPr>
                      <w:spacing w:after="0" w:line="240" w:lineRule="auto"/>
                      <w:ind w:left="142" w:hanging="142"/>
                      <w:rPr>
                        <w:rFonts w:ascii="Times New Roman" w:hAnsi="Times New Roman" w:cs="Times New Roman"/>
                        <w:sz w:val="20"/>
                        <w:szCs w:val="20"/>
                      </w:rPr>
                    </w:pPr>
                    <w:r w:rsidRPr="00B26072">
                      <w:rPr>
                        <w:rFonts w:ascii="Times New Roman" w:hAnsi="Times New Roman" w:cs="Times New Roman"/>
                        <w:sz w:val="20"/>
                        <w:szCs w:val="20"/>
                      </w:rPr>
                      <w:t xml:space="preserve">– реалізація бюджетної політики як вжиття конкретних заходів щодо застосування бюджетного інструментарію для досягнення поставлених цілей розвитку. </w:t>
                    </w:r>
                  </w:p>
                  <w:p w:rsidR="003D1BAE" w:rsidRPr="00B26072" w:rsidRDefault="003D1BAE" w:rsidP="003D1BAE">
                    <w:pPr>
                      <w:rPr>
                        <w:rFonts w:ascii="Times New Roman" w:hAnsi="Times New Roman" w:cs="Times New Roman"/>
                        <w:sz w:val="20"/>
                        <w:szCs w:val="20"/>
                      </w:rPr>
                    </w:pPr>
                  </w:p>
                </w:txbxContent>
              </v:textbox>
            </v:rect>
            <v:rect id="_x0000_s1031" style="position:absolute;left:2658;top:4411;width:967;height:322">
              <v:textbox>
                <w:txbxContent>
                  <w:p w:rsidR="003D1BAE" w:rsidRPr="0000131D" w:rsidRDefault="003D1BAE" w:rsidP="003D1BAE">
                    <w:pPr>
                      <w:rPr>
                        <w:rFonts w:ascii="Times New Roman" w:hAnsi="Times New Roman" w:cs="Times New Roman"/>
                        <w:b/>
                      </w:rPr>
                    </w:pPr>
                    <w:r w:rsidRPr="0000131D">
                      <w:rPr>
                        <w:rFonts w:ascii="Times New Roman" w:hAnsi="Times New Roman" w:cs="Times New Roman"/>
                        <w:b/>
                      </w:rPr>
                      <w:t>Суб’єкти</w:t>
                    </w:r>
                  </w:p>
                </w:txbxContent>
              </v:textbox>
            </v:rect>
            <v:rect id="_x0000_s1032" style="position:absolute;left:3797;top:4411;width:2823;height:854">
              <v:textbox>
                <w:txbxContent>
                  <w:p w:rsidR="003D1BAE" w:rsidRPr="004F50A2" w:rsidRDefault="003D1BAE" w:rsidP="003D1BAE">
                    <w:pPr>
                      <w:spacing w:after="0" w:line="240" w:lineRule="auto"/>
                      <w:rPr>
                        <w:rFonts w:ascii="Times New Roman" w:hAnsi="Times New Roman" w:cs="Times New Roman"/>
                        <w:b/>
                      </w:rPr>
                    </w:pPr>
                    <w:r>
                      <w:rPr>
                        <w:rFonts w:ascii="Times New Roman" w:hAnsi="Times New Roman" w:cs="Times New Roman"/>
                        <w:b/>
                      </w:rPr>
                      <w:t>Прямі</w:t>
                    </w:r>
                    <w:r w:rsidRPr="004F50A2">
                      <w:rPr>
                        <w:rFonts w:ascii="Times New Roman" w:hAnsi="Times New Roman" w:cs="Times New Roman"/>
                        <w:b/>
                      </w:rPr>
                      <w:t>:</w:t>
                    </w:r>
                  </w:p>
                  <w:p w:rsidR="003D1BAE" w:rsidRPr="004F50A2" w:rsidRDefault="003D1BAE" w:rsidP="003D1BAE">
                    <w:pPr>
                      <w:spacing w:after="0" w:line="240" w:lineRule="auto"/>
                      <w:rPr>
                        <w:rFonts w:ascii="Times New Roman" w:hAnsi="Times New Roman" w:cs="Times New Roman"/>
                        <w:sz w:val="20"/>
                        <w:szCs w:val="20"/>
                      </w:rPr>
                    </w:pPr>
                    <w:r>
                      <w:rPr>
                        <w:rFonts w:ascii="Times New Roman" w:hAnsi="Times New Roman" w:cs="Times New Roman"/>
                        <w:sz w:val="20"/>
                        <w:szCs w:val="20"/>
                      </w:rPr>
                      <w:t>О</w:t>
                    </w:r>
                    <w:r w:rsidRPr="004F50A2">
                      <w:rPr>
                        <w:rFonts w:ascii="Times New Roman" w:hAnsi="Times New Roman" w:cs="Times New Roman"/>
                        <w:sz w:val="20"/>
                        <w:szCs w:val="20"/>
                      </w:rPr>
                      <w:t>рган</w:t>
                    </w:r>
                    <w:r>
                      <w:rPr>
                        <w:rFonts w:ascii="Times New Roman" w:hAnsi="Times New Roman" w:cs="Times New Roman"/>
                        <w:sz w:val="20"/>
                        <w:szCs w:val="20"/>
                      </w:rPr>
                      <w:t>и</w:t>
                    </w:r>
                    <w:r w:rsidRPr="004F50A2">
                      <w:rPr>
                        <w:rFonts w:ascii="Times New Roman" w:hAnsi="Times New Roman" w:cs="Times New Roman"/>
                        <w:sz w:val="20"/>
                        <w:szCs w:val="20"/>
                      </w:rPr>
                      <w:t xml:space="preserve"> місцевого самов</w:t>
                    </w:r>
                    <w:r>
                      <w:rPr>
                        <w:rFonts w:ascii="Times New Roman" w:hAnsi="Times New Roman" w:cs="Times New Roman"/>
                        <w:sz w:val="20"/>
                        <w:szCs w:val="20"/>
                      </w:rPr>
                      <w:t>рядування, т</w:t>
                    </w:r>
                    <w:r w:rsidRPr="004F50A2">
                      <w:rPr>
                        <w:rFonts w:ascii="Times New Roman" w:hAnsi="Times New Roman" w:cs="Times New Roman"/>
                        <w:sz w:val="20"/>
                        <w:szCs w:val="20"/>
                      </w:rPr>
                      <w:t>ериторіальні органи виконавчої влади (місцеві державні адміністрації)</w:t>
                    </w:r>
                  </w:p>
                </w:txbxContent>
              </v:textbox>
            </v:rect>
            <v:rect id="_x0000_s1033" style="position:absolute;left:3625;top:7646;width:1792;height:494">
              <v:textbox>
                <w:txbxContent>
                  <w:p w:rsidR="003D1BAE" w:rsidRPr="0000131D" w:rsidRDefault="003D1BAE" w:rsidP="003D1BAE">
                    <w:pPr>
                      <w:spacing w:line="240" w:lineRule="auto"/>
                      <w:jc w:val="center"/>
                      <w:rPr>
                        <w:rFonts w:ascii="Times New Roman" w:hAnsi="Times New Roman" w:cs="Times New Roman"/>
                      </w:rPr>
                    </w:pPr>
                    <w:r>
                      <w:rPr>
                        <w:rFonts w:ascii="Times New Roman" w:hAnsi="Times New Roman" w:cs="Times New Roman"/>
                      </w:rPr>
                      <w:t>Політика формування доходів бюджету</w:t>
                    </w:r>
                  </w:p>
                </w:txbxContent>
              </v:textbox>
            </v:rect>
            <v:rect id="_x0000_s1034" style="position:absolute;left:7294;top:7646;width:2202;height:494">
              <v:textbox>
                <w:txbxContent>
                  <w:p w:rsidR="003D1BAE" w:rsidRPr="0000131D" w:rsidRDefault="003D1BAE" w:rsidP="003D1BAE">
                    <w:pPr>
                      <w:spacing w:line="240" w:lineRule="auto"/>
                      <w:jc w:val="center"/>
                      <w:rPr>
                        <w:rFonts w:ascii="Times New Roman" w:hAnsi="Times New Roman" w:cs="Times New Roman"/>
                      </w:rPr>
                    </w:pPr>
                    <w:r>
                      <w:rPr>
                        <w:rFonts w:ascii="Times New Roman" w:hAnsi="Times New Roman" w:cs="Times New Roman"/>
                      </w:rPr>
                      <w:t>Політика щодо міжбюджетних трансфертів</w:t>
                    </w:r>
                  </w:p>
                </w:txbxContent>
              </v:textbox>
            </v:rect>
            <v:rect id="_x0000_s1035" style="position:absolute;left:5506;top:7646;width:1672;height:494">
              <v:textbox>
                <w:txbxContent>
                  <w:p w:rsidR="003D1BAE" w:rsidRPr="0000131D" w:rsidRDefault="003D1BAE" w:rsidP="003D1BAE">
                    <w:pPr>
                      <w:spacing w:line="240" w:lineRule="auto"/>
                      <w:jc w:val="center"/>
                      <w:rPr>
                        <w:rFonts w:ascii="Times New Roman" w:hAnsi="Times New Roman" w:cs="Times New Roman"/>
                      </w:rPr>
                    </w:pPr>
                    <w:r>
                      <w:rPr>
                        <w:rFonts w:ascii="Times New Roman" w:hAnsi="Times New Roman" w:cs="Times New Roman"/>
                      </w:rPr>
                      <w:t>Політика у сфері видатків бюджету</w:t>
                    </w:r>
                  </w:p>
                </w:txbxContent>
              </v:textbox>
            </v:rect>
            <v:rect id="_x0000_s1036" style="position:absolute;left:2463;top:7646;width:1034;height:328">
              <v:textbox>
                <w:txbxContent>
                  <w:p w:rsidR="003D1BAE" w:rsidRPr="004F50A2" w:rsidRDefault="003D1BAE" w:rsidP="003D1BAE">
                    <w:pPr>
                      <w:spacing w:line="240" w:lineRule="auto"/>
                      <w:jc w:val="center"/>
                      <w:rPr>
                        <w:rFonts w:ascii="Times New Roman" w:hAnsi="Times New Roman" w:cs="Times New Roman"/>
                        <w:b/>
                      </w:rPr>
                    </w:pPr>
                    <w:r w:rsidRPr="004F50A2">
                      <w:rPr>
                        <w:rFonts w:ascii="Times New Roman" w:hAnsi="Times New Roman" w:cs="Times New Roman"/>
                        <w:b/>
                      </w:rPr>
                      <w:t>За змістом</w:t>
                    </w:r>
                  </w:p>
                </w:txbxContent>
              </v:textbox>
            </v:rect>
            <v:shapetype id="_x0000_t32" coordsize="21600,21600" o:spt="32" o:oned="t" path="m,l21600,21600e" filled="f">
              <v:path arrowok="t" fillok="f" o:connecttype="none"/>
              <o:lock v:ext="edit" shapetype="t"/>
            </v:shapetype>
            <v:shape id="_x0000_s1037" type="#_x0000_t32" style="position:absolute;left:3221;top:7516;width:5119;height:0" o:connectortype="straight"/>
            <v:shape id="_x0000_s1038" type="#_x0000_t32" style="position:absolute;left:3221;top:7516;width:1;height:130" o:connectortype="straight"/>
            <v:shape id="_x0000_s1039" type="#_x0000_t32" style="position:absolute;left:4572;top:7516;width:1;height:130" o:connectortype="straight">
              <v:stroke endarrow="block"/>
            </v:shape>
            <v:shape id="_x0000_s1040" type="#_x0000_t32" style="position:absolute;left:6291;top:7516;width:1;height:130" o:connectortype="straight">
              <v:stroke endarrow="block"/>
            </v:shape>
            <v:shape id="_x0000_s1041" type="#_x0000_t32" style="position:absolute;left:8340;top:7516;width:1;height:130" o:connectortype="straight">
              <v:stroke endarrow="block"/>
            </v:shape>
            <v:rect id="_x0000_s1042" style="position:absolute;left:4394;top:7070;width:1971;height:346">
              <v:textbox>
                <w:txbxContent>
                  <w:p w:rsidR="003D1BAE" w:rsidRPr="0000131D" w:rsidRDefault="003D1BAE" w:rsidP="003D1BAE">
                    <w:pPr>
                      <w:jc w:val="center"/>
                      <w:rPr>
                        <w:rFonts w:ascii="Times New Roman" w:hAnsi="Times New Roman" w:cs="Times New Roman"/>
                      </w:rPr>
                    </w:pPr>
                    <w:r>
                      <w:rPr>
                        <w:rFonts w:ascii="Times New Roman" w:hAnsi="Times New Roman" w:cs="Times New Roman"/>
                      </w:rPr>
                      <w:t>Бюджетна стратегія</w:t>
                    </w:r>
                  </w:p>
                </w:txbxContent>
              </v:textbox>
            </v:rect>
            <v:rect id="_x0000_s1043" style="position:absolute;left:6877;top:7070;width:1853;height:344">
              <v:textbox>
                <w:txbxContent>
                  <w:p w:rsidR="003D1BAE" w:rsidRPr="0000131D" w:rsidRDefault="003D1BAE" w:rsidP="003D1BAE">
                    <w:pPr>
                      <w:jc w:val="center"/>
                      <w:rPr>
                        <w:rFonts w:ascii="Times New Roman" w:hAnsi="Times New Roman" w:cs="Times New Roman"/>
                      </w:rPr>
                    </w:pPr>
                    <w:r>
                      <w:rPr>
                        <w:rFonts w:ascii="Times New Roman" w:hAnsi="Times New Roman" w:cs="Times New Roman"/>
                      </w:rPr>
                      <w:t>Бюджетна тактика</w:t>
                    </w:r>
                  </w:p>
                </w:txbxContent>
              </v:textbox>
            </v:rect>
            <v:rect id="_x0000_s1044" style="position:absolute;left:2640;top:6868;width:1342;height:492">
              <v:textbox>
                <w:txbxContent>
                  <w:p w:rsidR="003D1BAE" w:rsidRPr="004F50A2" w:rsidRDefault="003D1BAE" w:rsidP="003D1BAE">
                    <w:pPr>
                      <w:spacing w:line="240" w:lineRule="auto"/>
                      <w:rPr>
                        <w:rFonts w:ascii="Times New Roman" w:hAnsi="Times New Roman" w:cs="Times New Roman"/>
                        <w:b/>
                      </w:rPr>
                    </w:pPr>
                    <w:r w:rsidRPr="004F50A2">
                      <w:rPr>
                        <w:rFonts w:ascii="Times New Roman" w:hAnsi="Times New Roman" w:cs="Times New Roman"/>
                        <w:b/>
                      </w:rPr>
                      <w:t>За характером завдань</w:t>
                    </w:r>
                  </w:p>
                </w:txbxContent>
              </v:textbox>
            </v:rect>
            <v:shape id="_x0000_s1045" type="#_x0000_t32" style="position:absolute;left:3982;top:6920;width:3817;height:1" o:connectortype="straight"/>
            <v:shape id="_x0000_s1046" type="#_x0000_t32" style="position:absolute;left:5360;top:6921;width:1;height:149" o:connectortype="straight">
              <v:stroke endarrow="block"/>
            </v:shape>
            <v:shape id="_x0000_s1047" type="#_x0000_t32" style="position:absolute;left:7798;top:6921;width:1;height:149" o:connectortype="straight">
              <v:stroke endarrow="block"/>
            </v:shape>
            <v:rect id="_x0000_s1048" style="position:absolute;left:2463;top:6384;width:800;height:346">
              <v:textbox>
                <w:txbxContent>
                  <w:p w:rsidR="003D1BAE" w:rsidRPr="004F50A2" w:rsidRDefault="003D1BAE" w:rsidP="003D1BAE">
                    <w:pPr>
                      <w:jc w:val="center"/>
                      <w:rPr>
                        <w:rFonts w:ascii="Times New Roman" w:hAnsi="Times New Roman" w:cs="Times New Roman"/>
                        <w:b/>
                      </w:rPr>
                    </w:pPr>
                    <w:r w:rsidRPr="004F50A2">
                      <w:rPr>
                        <w:rFonts w:ascii="Times New Roman" w:hAnsi="Times New Roman" w:cs="Times New Roman"/>
                        <w:b/>
                      </w:rPr>
                      <w:t>Види</w:t>
                    </w:r>
                  </w:p>
                </w:txbxContent>
              </v:textbox>
            </v:rect>
            <v:shape id="_x0000_s1049" type="#_x0000_t32" style="position:absolute;left:3263;top:6583;width:294;height:1" o:connectortype="straight"/>
            <v:shape id="_x0000_s1050" type="#_x0000_t32" style="position:absolute;left:3558;top:6584;width:1;height:284" o:connectortype="straight">
              <v:stroke endarrow="block"/>
            </v:shape>
            <v:shape id="_x0000_s1051" type="#_x0000_t32" style="position:absolute;left:2529;top:6730;width:1;height:916" o:connectortype="straight">
              <v:stroke endarrow="block"/>
            </v:shape>
            <v:rect id="_x0000_s1052" style="position:absolute;left:6723;top:4411;width:2773;height:854">
              <v:textbox>
                <w:txbxContent>
                  <w:p w:rsidR="003D1BAE" w:rsidRPr="004F50A2" w:rsidRDefault="003D1BAE" w:rsidP="003D1BAE">
                    <w:pPr>
                      <w:spacing w:after="0" w:line="240" w:lineRule="auto"/>
                      <w:rPr>
                        <w:rFonts w:ascii="Times New Roman" w:hAnsi="Times New Roman" w:cs="Times New Roman"/>
                        <w:b/>
                      </w:rPr>
                    </w:pPr>
                    <w:r>
                      <w:rPr>
                        <w:rFonts w:ascii="Times New Roman" w:hAnsi="Times New Roman" w:cs="Times New Roman"/>
                        <w:b/>
                      </w:rPr>
                      <w:t>Непрямі</w:t>
                    </w:r>
                    <w:r w:rsidRPr="004F50A2">
                      <w:rPr>
                        <w:rFonts w:ascii="Times New Roman" w:hAnsi="Times New Roman" w:cs="Times New Roman"/>
                        <w:b/>
                      </w:rPr>
                      <w:t>:</w:t>
                    </w:r>
                  </w:p>
                  <w:p w:rsidR="003D1BAE" w:rsidRPr="004F50A2" w:rsidRDefault="003D1BAE" w:rsidP="003D1BAE">
                    <w:pPr>
                      <w:spacing w:after="0" w:line="240" w:lineRule="auto"/>
                      <w:rPr>
                        <w:rFonts w:ascii="Times New Roman" w:hAnsi="Times New Roman" w:cs="Times New Roman"/>
                        <w:sz w:val="20"/>
                        <w:szCs w:val="20"/>
                      </w:rPr>
                    </w:pPr>
                    <w:r w:rsidRPr="004F50A2">
                      <w:rPr>
                        <w:rFonts w:ascii="Times New Roman" w:hAnsi="Times New Roman" w:cs="Times New Roman"/>
                        <w:sz w:val="20"/>
                        <w:szCs w:val="20"/>
                      </w:rPr>
                      <w:t>Суб’єкти господарювання різних форм власності, інститути громадянського суспільства, мешканці</w:t>
                    </w:r>
                  </w:p>
                </w:txbxContent>
              </v:textbox>
            </v:rect>
            <v:shape id="_x0000_s1053" type="#_x0000_t32" style="position:absolute;left:3392;top:4274;width:4455;height:1" o:connectortype="straight"/>
            <v:shape id="_x0000_s1054" type="#_x0000_t32" style="position:absolute;left:5209;top:4275;width:7;height:136" o:connectortype="straight">
              <v:stroke endarrow="block"/>
            </v:shape>
            <v:shape id="_x0000_s1055" type="#_x0000_t32" style="position:absolute;left:7847;top:4274;width:1;height:137" o:connectortype="straight">
              <v:stroke endarrow="block"/>
            </v:shape>
            <v:shape id="_x0000_s1056" type="#_x0000_t32" style="position:absolute;left:2531;top:3929;width:1;height:2455" o:connectortype="straight"/>
            <v:shape id="_x0000_s1057" type="#_x0000_t32" style="position:absolute;left:2531;top:4541;width:127;height:1" o:connectortype="straight"/>
            <v:shape id="_x0000_s1058" type="#_x0000_t32" style="position:absolute;left:2531;top:5521;width:110;height:1" o:connectortype="straight"/>
            <v:shape id="_x0000_s1059" type="#_x0000_t32" style="position:absolute;left:3392;top:4274;width:1;height:137" o:connectortype="straight"/>
            <v:shape id="_x0000_s1060" type="#_x0000_t32" style="position:absolute;left:2531;top:3928;width:2041;height:1" o:connectortype="straight"/>
            <v:shape id="_x0000_s1061" type="#_x0000_t32" style="position:absolute;left:3173;top:5702;width:1;height:308" o:connectortype="straight"/>
            <v:shape id="_x0000_s1062" type="#_x0000_t32" style="position:absolute;left:3174;top:6015;width:664;height:1" o:connectortype="straight">
              <v:stroke endarrow="block"/>
            </v:shape>
            <w10:wrap type="none"/>
            <w10:anchorlock/>
          </v:group>
        </w:pict>
      </w: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t>Рис. 1.1. Концептуальна модель бюджетної політики органів місцевої влади</w:t>
      </w:r>
    </w:p>
    <w:p w:rsidR="003D1BAE" w:rsidRPr="003D1BAE" w:rsidRDefault="003D1BAE" w:rsidP="003D1BAE">
      <w:pPr>
        <w:spacing w:after="0" w:line="360" w:lineRule="auto"/>
        <w:ind w:firstLine="709"/>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розроблено автором самостійно</w:t>
      </w:r>
    </w:p>
    <w:p w:rsidR="003D1BAE" w:rsidRPr="003D1BAE" w:rsidRDefault="003D1BAE" w:rsidP="003D1BAE">
      <w:pPr>
        <w:spacing w:after="0" w:line="360" w:lineRule="auto"/>
        <w:ind w:firstLine="709"/>
        <w:jc w:val="both"/>
        <w:rPr>
          <w:rFonts w:ascii="Times New Roman" w:hAnsi="Times New Roman" w:cs="Times New Roman"/>
          <w:sz w:val="28"/>
          <w:szCs w:val="28"/>
        </w:rPr>
      </w:pP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На думку В. Дем</w:t>
      </w:r>
      <w:r w:rsidRPr="003D1BAE">
        <w:rPr>
          <w:rFonts w:ascii="Times New Roman" w:hAnsi="Times New Roman" w:cs="Times New Roman"/>
          <w:sz w:val="28"/>
          <w:szCs w:val="28"/>
          <w:lang w:val="ru-RU"/>
        </w:rPr>
        <w:t>’</w:t>
      </w:r>
      <w:r w:rsidRPr="003D1BAE">
        <w:rPr>
          <w:rFonts w:ascii="Times New Roman" w:hAnsi="Times New Roman" w:cs="Times New Roman"/>
          <w:sz w:val="28"/>
          <w:szCs w:val="28"/>
        </w:rPr>
        <w:t xml:space="preserve">янишина, свою реалізацію бюджетна стратегія отримує через бюджетне прогнозування й бюджетне програмування. Перше означає вироблення науково обґрунтованих гіпотез про траєкторії розвитку бюджетних відносин на довготривалий період, передбачення стану бюджетної системи та показників, які його характеризують. Предметом бюджетного прогнозування є пошук та оцінювання альтернативних шляхів досягнення стратегічних цілей соціально-економічного розвитку за допомогою бюджету. Програмування як сфера реалізації бюджетної стратегії полягає у виробленні конкретного плану дій, які в сукупності дають можливість досягти стратегічний цілей. Основним інструментом бюджетного програмування є довгострокові бюджетні програми, які визначають стратегічні орієнтири розвитку певних сфер економіки чи </w:t>
      </w:r>
      <w:r w:rsidRPr="003D1BAE">
        <w:rPr>
          <w:rFonts w:ascii="Times New Roman" w:hAnsi="Times New Roman" w:cs="Times New Roman"/>
          <w:sz w:val="28"/>
          <w:szCs w:val="28"/>
        </w:rPr>
        <w:lastRenderedPageBreak/>
        <w:t xml:space="preserve">соціальної сфери та обсяги бюджетних ресурсів, які необхідні для їх втілення [20, с. 27]. За допомогою бюджетних програм реалізується програмно-цільових підхід до функціонування бюджету, коли цілі та завдання бюджетної політики тісно кореспондують із пріоритетами розвитку, визначеними стратегічними документами вищого рівня.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Перспективні завдання, визначені бюджетною стратегією отримують свою деталізацію у бюджетній тактиці. Вона передбачає вирішення поточних завдань розвитку суспільства через перебудову окремих складових бюджетного механізму, перерозподіл бюджетних ресурсів. В. Дем’янишин визначає бюджетну тактику як комплекс адаптивних заходів, через які держава впливає на перебіг конкретних бюджетних відносин для надання їм параметрів, які визначені завданнями бюджетної стратегії [20, с. 28]. У практичній площині заходи бюджетної тактики отримують відображення у нормативно-правових документах бюджетного законодавства.</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Важливе значення у виокремленні видів бюджетної політики відіграє застосування політичного підходу, коли її розмежовують за рівнями публічного управління. Відповідно до основ державного устрою нашої країни в Україні функціонують органи державної та місцевої влади, відповідно до чого можна розрізняти бюджетну політику уряду та бюджету політику органів місцевої влади. У сучасній науковій літературі регіональне управління характеризують як діяльність щодо впливу на соціально-економічні процеси на території регіонів, яка передбачає тісну координацію дій між місцевими органами влади для забезпечення збалансованого їхнього розвитку. За іншим підходом, місцеве (регіональне) управління розглядають як «складний механізм, який об’єднує діяльність місцевих органів виконавчої влади та місцевого самоврядування на певній території, що є частиною єдиного механізму державного управління» [38]. Функціонування місцевого управління спрямоване на створення та підтримання сприятливого середовища життєдіяльності та розвитку людини, надання мешканцям територіальних громад доступних та якісних суспільних послуг, стимулювання дієвості та активності територіальної громади. </w:t>
      </w:r>
      <w:r w:rsidRPr="003D1BAE">
        <w:rPr>
          <w:rFonts w:ascii="Times New Roman" w:hAnsi="Times New Roman" w:cs="Times New Roman"/>
          <w:sz w:val="28"/>
          <w:szCs w:val="28"/>
        </w:rPr>
        <w:lastRenderedPageBreak/>
        <w:t>Суб’єктами місцевого управління виступають місцеві державні адміністрації, а також органи місцевого самоврядування. У вітчизняній практиці впродовж багатьох років провідну роль у реалізації місцевого управління відігравали місцеві державні адміністрації (обласні та районні), які забезпечували виконання делегованих повноважень (надання більшості суспільних послуг, управління державною власністю на відповідних територіях та ін.). Однак, реформа децентралізації, яка полягає у перерозподілі компетенцій і бюджетних ресурсів на користь місцевого самоврядування, практично позбавила державні адміністрації повноважень щодо управління бюджетом. Після проведення реформи адміністративно-територіального устрою та укрупнення районів районні державні адміністрації зберегли переважно контрольні та організаційні функції, а делеговані повноваження передані на відповідальність органів місцевого самоврядування. Відповідно до нових реалій, у контексті нашого наукового дослідження під бюджетною політикою органів місцевої влади ми розумітимемо бюджетну політику органів місцевого самоврядування.</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Виокремлення видів бюджетної політики відповідно до функціонального критерію класифікації є предметом дискусії. На думку Ю. Пасічника, у складі бюджетної політики можна виділити такі елементи, як податкова, інвестиційна, митна, страхова, грошова, пенсійна, кредитна політика [56, с. 255]. Вважаємо такий підхід до класифікації бюджетної політики контраверсійним, адже він передбачає зарахування до її складу таких видів діяльності, які мають дотичне відношення до функціонування бюджетних відносин, або виходять за його межі. Очевидно, що предметом інвестиційної політики є інвестиційні процеси, пов’язані не тільки із використанням бюджетних ресурсів, але й з інвестиціями у приватному секторі економіки. За такими ж аргументами можна поставити під сумнів обґрунтованість зарахування до бюджетної політики таких видів політики, як грошова, кредитна, пенсійна. Більш прийнятним у цьому плані є підхід О. Василика, який розмежовує бюджетну політику відповідно до змісту завдань, які перед нею постають на ланки: розробка концепції функціонування </w:t>
      </w:r>
      <w:r w:rsidRPr="003D1BAE">
        <w:rPr>
          <w:rFonts w:ascii="Times New Roman" w:hAnsi="Times New Roman" w:cs="Times New Roman"/>
          <w:sz w:val="28"/>
          <w:szCs w:val="28"/>
        </w:rPr>
        <w:lastRenderedPageBreak/>
        <w:t>бюджету; формування інструментарію мобілізації та використання бюджетних ресурсів; практичні дії з реалізації пріоритетів бюджетної політики [8, с. 53].</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Функціональний підхід до виокремлення видів бюджетної політики також застосовує С. Булгакова. Вона виокремлює у складі бюджетної політики такі складові, як: політику у сфері податків, зборів, неподаткових та обов’язкових платежів; політику регулювання бюджетного дефіциту; бюджетну політику у сфері зовнішньоекономічної діяльності; інвестиційно-бюджетну політику; політику операційних видатків; політику фінансування невиробничої сфери; політику регулювання міжбюджетних відносин [81, с. 93]. Вважаємо такий підхід до деталізації видів бюджетної політики невдалим, оскільки він також не дає можливості охопити увесь спектр бюджетних відносин (для прикладу, не зовсім зрозуміло, чому науковець виділяє політику тільки у невиробничій сфері, ігноруючи інші напрями використання бюджетних коштів), а також редакційно передбачає надто громіздкі формування.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Найбільш прийнятною у питанні деталізації видів бюджетної політики вважаємо позицію Ф. Ярошенка, який пропонує виокремлювати у її складі такі елементи, як: політику у сфері доходів бюджету; політику здійснення видатків бюджету, політику щодо державного боргу і останню складову – політику бюджетного регулювання та міжбюджетних відносин [21, с. 105]. Подібний підхід розвиває В. Дем’янишин, який розширює змістовно політику щодо державного боргу, зараховуючи до її предмету також питання управління бюджетним дефіцитом. Також вчений деталізує на окремі види політики у сфері доходів та видатків бюджету, які більш ґрунтовно характеризують методи мобілізації та використання бюджетних ресурсів [20, с. 29].</w:t>
      </w:r>
    </w:p>
    <w:p w:rsidR="003D1BAE" w:rsidRPr="003D1BAE" w:rsidRDefault="003D1BAE" w:rsidP="003D1BAE">
      <w:pPr>
        <w:spacing w:after="0" w:line="360" w:lineRule="auto"/>
        <w:ind w:firstLine="709"/>
        <w:jc w:val="both"/>
        <w:rPr>
          <w:rFonts w:ascii="Times New Roman" w:hAnsi="Times New Roman" w:cs="Times New Roman"/>
          <w:sz w:val="28"/>
          <w:szCs w:val="28"/>
          <w:highlight w:val="yellow"/>
        </w:rPr>
      </w:pPr>
      <w:r w:rsidRPr="003D1BAE">
        <w:rPr>
          <w:rFonts w:ascii="Times New Roman" w:hAnsi="Times New Roman" w:cs="Times New Roman"/>
          <w:spacing w:val="-2"/>
          <w:sz w:val="28"/>
          <w:szCs w:val="28"/>
        </w:rPr>
        <w:t>Інтерпретуючи ці наукові підходи відповідно до об’єкту нашого науково</w:t>
      </w:r>
      <w:r w:rsidRPr="003D1BAE">
        <w:rPr>
          <w:rFonts w:ascii="Times New Roman" w:hAnsi="Times New Roman" w:cs="Times New Roman"/>
          <w:sz w:val="28"/>
          <w:szCs w:val="28"/>
        </w:rPr>
        <w:t xml:space="preserve">го дослідження, вважаємо за доцільне виокремлювати у складі бюджетної політики органів місцевої влади такі складові: бюджетну політику формування доходів місцевого бюджету; політику у сфері видатків бюджету; політику міжбюджетних відносин (міжбюджетних трансфертів). Такий підхід буде </w:t>
      </w:r>
      <w:r w:rsidRPr="003D1BAE">
        <w:rPr>
          <w:rFonts w:ascii="Times New Roman" w:hAnsi="Times New Roman" w:cs="Times New Roman"/>
          <w:sz w:val="28"/>
          <w:szCs w:val="28"/>
        </w:rPr>
        <w:lastRenderedPageBreak/>
        <w:t xml:space="preserve">застосовано при продовженні наукового дослідження у наступних підрозділах роботи. </w:t>
      </w:r>
    </w:p>
    <w:p w:rsidR="003D1BAE" w:rsidRPr="003D1BAE" w:rsidRDefault="003D1BAE" w:rsidP="003D1BAE">
      <w:pPr>
        <w:spacing w:after="0" w:line="360" w:lineRule="auto"/>
        <w:ind w:firstLine="709"/>
        <w:jc w:val="both"/>
        <w:rPr>
          <w:rFonts w:ascii="Times New Roman" w:hAnsi="Times New Roman" w:cs="Times New Roman"/>
          <w:sz w:val="28"/>
          <w:szCs w:val="28"/>
          <w:highlight w:val="yellow"/>
        </w:rPr>
      </w:pPr>
    </w:p>
    <w:p w:rsidR="003D1BAE" w:rsidRPr="003D1BAE" w:rsidRDefault="003D1BAE" w:rsidP="003D1BAE">
      <w:pPr>
        <w:spacing w:after="0" w:line="360" w:lineRule="auto"/>
        <w:ind w:firstLine="709"/>
        <w:jc w:val="both"/>
        <w:rPr>
          <w:rFonts w:ascii="Times New Roman" w:hAnsi="Times New Roman" w:cs="Times New Roman"/>
          <w:sz w:val="28"/>
          <w:szCs w:val="28"/>
          <w:highlight w:val="yellow"/>
        </w:rPr>
      </w:pPr>
    </w:p>
    <w:p w:rsidR="003D1BAE" w:rsidRPr="003D1BAE" w:rsidRDefault="003D1BAE" w:rsidP="003D1BAE">
      <w:pPr>
        <w:spacing w:after="0" w:line="360" w:lineRule="auto"/>
        <w:ind w:firstLine="709"/>
        <w:jc w:val="both"/>
        <w:rPr>
          <w:rFonts w:ascii="Times New Roman" w:hAnsi="Times New Roman" w:cs="Times New Roman"/>
          <w:b/>
          <w:sz w:val="28"/>
          <w:szCs w:val="28"/>
        </w:rPr>
      </w:pPr>
      <w:r w:rsidRPr="003D1BAE">
        <w:rPr>
          <w:rFonts w:ascii="Times New Roman" w:hAnsi="Times New Roman" w:cs="Times New Roman"/>
          <w:b/>
          <w:sz w:val="28"/>
          <w:szCs w:val="28"/>
        </w:rPr>
        <w:t>1.2. Методологічні підходи до оцінювання ефективності бюджетної політики органів місцевої влади</w:t>
      </w:r>
    </w:p>
    <w:p w:rsidR="003D1BAE" w:rsidRPr="003D1BAE" w:rsidRDefault="003D1BAE" w:rsidP="003D1BAE">
      <w:pPr>
        <w:spacing w:after="0" w:line="360" w:lineRule="auto"/>
        <w:ind w:firstLine="709"/>
        <w:jc w:val="both"/>
        <w:rPr>
          <w:rFonts w:ascii="Times New Roman" w:hAnsi="Times New Roman" w:cs="Times New Roman"/>
          <w:sz w:val="28"/>
          <w:szCs w:val="28"/>
        </w:rPr>
      </w:pP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Складний характер і багатоаспектність розробки та реалізації бюджетної політики на місцевому рівні пояснюється широким спектром завдань, які постали перед органами місцевого самоврядування з реформою децентралізації. Вони пов’язані із наявністю прогалин у правовому базисі бюджетної політики на місцевому рівні, необхідністю удосконалення міжбюджетних відносин, пошуку нових методів мобілізації бюджетних ресурсів, узгодження цілей та пріоритетів бюджетної політики зі стратегічними напрямами розвитку громад та ін. Процеси системного реформування у різних сферах суспільного життя вимагають оцінювання відповідності бюджетної політики реаліям розвитку, тобто її ефективності. Завдання підвищення ефективності бюджетної політики є сталим, тобто таким, яке не можливо вирішити остаточно. Процеси суспільного розвитку, виникнення нових реалій, у яких функціонують бюджетні відносини будуть завжди актуалізувати питання щодо відповідності бюджетної політики вимогам часу.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Загалом ефективність бюджетної політики пов’язана із забезпеченням високих темпів економічного зростання, належним функціонування системи надання суспільних послуг, підвищення добробуту населення, зміцненням національної безпеки, забезпеченням ефективного функціонування системи публічного управління, зміцненням позицій нашої держави у міжнародному співтоваристві. Зважаючи на складність викликів, які стоять перед бюджетною політикою, економічною наукою напрацьовано арсенал підходів та методів </w:t>
      </w:r>
      <w:r w:rsidRPr="003D1BAE">
        <w:rPr>
          <w:rFonts w:ascii="Times New Roman" w:hAnsi="Times New Roman" w:cs="Times New Roman"/>
          <w:spacing w:val="-2"/>
          <w:sz w:val="28"/>
          <w:szCs w:val="28"/>
        </w:rPr>
        <w:t xml:space="preserve">оцінювання її ефективності. Найбільшого поширення серед них отримав підхід на основі критеріїв фіскальної та соціально-економічної ефективності. На думку </w:t>
      </w:r>
      <w:r w:rsidRPr="003D1BAE">
        <w:rPr>
          <w:rFonts w:ascii="Times New Roman" w:hAnsi="Times New Roman" w:cs="Times New Roman"/>
          <w:spacing w:val="-2"/>
          <w:sz w:val="28"/>
          <w:szCs w:val="28"/>
        </w:rPr>
        <w:lastRenderedPageBreak/>
        <w:t xml:space="preserve">Ц. Огня, фіскальна ефективність є відображенням фіскальної достатності, тобто «оптимального узгодження і сприяння розвитку соціально-економічних інтересів в межах визначеної економічної стратегії» </w:t>
      </w:r>
      <w:r w:rsidRPr="003D1BAE">
        <w:rPr>
          <w:rFonts w:ascii="Times New Roman" w:hAnsi="Times New Roman" w:cs="Times New Roman"/>
          <w:sz w:val="28"/>
          <w:szCs w:val="28"/>
        </w:rPr>
        <w:t xml:space="preserve">[53, с. 127].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Обмежується п’ятьма макроекономічними індикаторами для оцінювання ефективності бюджетної політики С. Булгакова. На її думку, при проведенні такого оцінювання слід значення цих індикаторів порівнювати з наміченими структурними пріоритетами. До показників, які характеризують ефективність бюджетної політики вчена пропонує зараховувати: динаміку ВВП та обсягів виробництва, рівень інфляції, динаміку валютного курсу, рівень зайнятості та реальних доходів населення </w:t>
      </w:r>
      <w:r w:rsidRPr="003D1BAE">
        <w:rPr>
          <w:rFonts w:ascii="Times New Roman" w:hAnsi="Times New Roman" w:cs="Times New Roman"/>
          <w:color w:val="000000"/>
          <w:sz w:val="28"/>
          <w:szCs w:val="28"/>
          <w:lang w:eastAsia="uk-UA" w:bidi="uk-UA"/>
        </w:rPr>
        <w:t xml:space="preserve">[81, с. 101]. На наш погляд, пропоновані індикатори оцінювання надто вибірково характеризують ефективність бюджетної політики та можуть бути суттєво доповнені. Крім цього, вони характеризують виключно один із аспектів ефективності – її стратегічний (або соціально-економічний) вимір, практично не зачіпаючи ефективність фіскальну, управлінську та ін.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Відповідно до позиції Ф. Ярошенка, передумовою ефективності бюджетної політики є її належне наукове обґрунтування та відповідність стратегічним пріоритетам розвитку. Відтак, ефективність бюджетної політики визначається тим, чи здатна вона вирішувати соціальні завдання та створювати при цьому передумови для сталого економічного зростання </w:t>
      </w:r>
      <w:r w:rsidRPr="003D1BAE">
        <w:rPr>
          <w:rFonts w:ascii="Times New Roman" w:hAnsi="Times New Roman" w:cs="Times New Roman"/>
          <w:spacing w:val="-2"/>
          <w:sz w:val="28"/>
          <w:szCs w:val="28"/>
          <w:lang w:val="ru-RU"/>
        </w:rPr>
        <w:t>[86, с. 6]</w:t>
      </w:r>
      <w:r w:rsidRPr="003D1BAE">
        <w:rPr>
          <w:rFonts w:ascii="Times New Roman" w:hAnsi="Times New Roman" w:cs="Times New Roman"/>
          <w:spacing w:val="-2"/>
          <w:sz w:val="28"/>
          <w:szCs w:val="28"/>
        </w:rPr>
        <w:t>. Функціональний підхід до оцінювання передбачає визначення ефективності бюджетної політики за такими напрямами, як мобілізація бюджетних доходів, виконання бюджетних зобов’язань, управління бюджетним дефіцитом та державним боргом [81, с. 101]. Кожен із напрямів оцінювання має відповідати певним критеріям економічної ефективності та виражатись відповідними показниками: рівнем формування доходів бюджету загалом та податкових надходжень, зокрема; рівнем виконання бюджетних зобов’язань; обсягом та рівнем бюджетного дефіциту; обсягами простроченої заборгованості з грошових виплат через відсутність бюджетного фінансування; обсягами простроченої заборгованості бюджетних установ через відсутність чи нестачу бюджетного фінансування [81, с. 102].</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lastRenderedPageBreak/>
        <w:t xml:space="preserve">На думку авторів фундаментальної праці з проблем бюджетної політики на чолі з В. Геєцем, її ефективність досягається у тому випадку, коли використання бюджетних ресурсів забезпечує збалансований розвиток економіки та стійкість економічної системи [5, с. 17]. Відтак, бюджетна політика має бути тісно пов’язаною із закономірностями економічного розвитку, а роль бюджету у формуванні стратегічної парадигми економічного зростання має бути активною. Зважаючи на такий методологічний базис, В. Геєць та Б. Кваснюк визначили кількісні та якісні критерії оцінювання ефективності бюджетної політики, а саме: приріст доходів та видатків бюджету, приріст видатків на соціальну сферу, дефіцит бюджету (у відсотках до ВВП), рівень перерозподілу ВВП через бюджетну систему (у відсотках до ВВП), питома вага місцевих бюджетів у зведеному бюджеті, рівень державного (прямого та гарантованого) боргу, а також обсяг капітальної складової видатків [5, с. 28-29]. В цілому поділяючи запропонований науковцями підхід, все ж вважаємо, що його деталізація в індикаторах оцінювання може бути предметом дискусії.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Комплексний підхід до оцінювання ефективності бюджетної політики пропонує Ю. Пасічник. На його думку, головним критерієм такої ефективності є рівень добробуту населення. Звертаючись до індикаторів реалізації бюджетної політики, які визначені Бюджетним кодексом України, вчений створ дує, що на основі оцінювання їхнього виконання необхідно вимірювати ефективність самої бюджетної політики. Такими індикаторами, на думку Ю. Пасічника, мають бути визначені: обсяг доходів і видатків бюджету, граничний розмір дефіциту (профіциту) бюджету, питому вагу ВВП, який перерозподіляється через зведений бюджет, граничний розмір державного боргу та його структура, частка міжбюджетних трансфертів видатках державного бюджету, питому вагу капітальної складової у видатках бюджету та ін. [56, с. 254-257]. Негативним моментом наведеного підходу до оцінювання ефективності бюджетної політики є також вибірковий характер пропонованих індикаторів, які не повною мірою охоплюють усі аспекти бюджетних відносин. </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lastRenderedPageBreak/>
        <w:t xml:space="preserve">Таким чином, більшість науковців ефективність бюджетної політики розглядають у розрізі двох аспектів: з одного боку, відповідно до її впливу на соціально-економічний розвиток суспільства; з іншого боку, ефективність як таку, тобто з точки зору відповідності фактичних та запланованих результатів функціонування бюджету. При цьому ефективність бюджетної політики може бути виміряна у таких напрямках, які відображають основні її складові, а саме: ефективність мобілізації доходів бюджету; ефективність виконання бюджетних зобов’язань; ефективність управління бюджетним дефіцитом та державним боргом </w:t>
      </w:r>
      <w:r w:rsidRPr="003D1BAE">
        <w:rPr>
          <w:rFonts w:ascii="Times New Roman" w:hAnsi="Times New Roman" w:cs="Times New Roman"/>
          <w:color w:val="000000"/>
          <w:sz w:val="28"/>
          <w:szCs w:val="28"/>
          <w:lang w:eastAsia="uk-UA" w:bidi="uk-UA"/>
        </w:rPr>
        <w:t>[70, с. 100]. При цьому для практичного застосування пропонованих критеріїв та напрямів оцінювання в науковій літературі вироблено цілий спектр показників, які характеризують різні аспекти функціонування бюджету: рівні виконання бюджету за доходами та видатками; обсяги бюджетного дефіциту, показники і темпи нарощування державного боргу, обсяги бюджетних ресурсів, які відволікаються на його обслуговування й погашення; макроекономічні показники темпів зростання ВВП, безробіття, масштабів емісії грошових сурогатів; показники простроченої бюджетної заборгованості, сформованої з різних причин [22, с. 113].</w:t>
      </w:r>
    </w:p>
    <w:p w:rsidR="003D1BAE" w:rsidRPr="003D1BAE" w:rsidRDefault="003D1BAE" w:rsidP="003D1BAE">
      <w:pPr>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Загалом поділяючи пропонований науковцями методологічний підхід до оцінювання ефективності бюджетної політики, В. Дем’янишин вказує на його обмежене застосування. На його думку, наведені критерії та індикатори можуть бути застосовані на стадії виконання бюджету або після закінчення бюджетного року, однак практично непридатні для оцінювання ефективності планування, програмування чи прогнозування бюджетних показників. Очевидно, що для цього мають бути розроблені інші показники та відповідна методика, яка б відповідала потребам вироблення оптимальних підходів до вибору напрямів бюджетної політики [19, с. 75]. </w:t>
      </w:r>
    </w:p>
    <w:p w:rsidR="003D1BAE" w:rsidRPr="003D1BAE" w:rsidRDefault="003D1BAE" w:rsidP="003D1BAE">
      <w:pPr>
        <w:pStyle w:val="21"/>
        <w:shd w:val="clear" w:color="auto" w:fill="auto"/>
        <w:tabs>
          <w:tab w:val="left" w:pos="9639"/>
        </w:tabs>
        <w:spacing w:after="0" w:line="360" w:lineRule="auto"/>
        <w:ind w:firstLine="709"/>
        <w:rPr>
          <w:color w:val="000000"/>
          <w:spacing w:val="0"/>
          <w:sz w:val="28"/>
          <w:szCs w:val="28"/>
          <w:lang w:eastAsia="uk-UA" w:bidi="uk-UA"/>
        </w:rPr>
      </w:pPr>
      <w:r w:rsidRPr="003D1BAE">
        <w:rPr>
          <w:color w:val="000000"/>
          <w:spacing w:val="0"/>
          <w:sz w:val="28"/>
          <w:szCs w:val="28"/>
          <w:lang w:eastAsia="uk-UA" w:bidi="uk-UA"/>
        </w:rPr>
        <w:t>Проте, оригінальним є підхід В. Дем’янишина щодо виокремлення видів ефективності бюджетної політики у розрізі стадій бюджетного процесу. Згідно позиції вченого, доцільно розрізняти такі види ефективності:</w:t>
      </w:r>
    </w:p>
    <w:p w:rsidR="003D1BAE" w:rsidRPr="003D1BAE" w:rsidRDefault="003D1BAE" w:rsidP="003D1BAE">
      <w:pPr>
        <w:pStyle w:val="21"/>
        <w:shd w:val="clear" w:color="auto" w:fill="auto"/>
        <w:tabs>
          <w:tab w:val="left" w:pos="9639"/>
        </w:tabs>
        <w:spacing w:after="0" w:line="360" w:lineRule="auto"/>
        <w:ind w:firstLine="709"/>
        <w:rPr>
          <w:color w:val="000000"/>
          <w:spacing w:val="0"/>
          <w:sz w:val="28"/>
          <w:szCs w:val="28"/>
          <w:lang w:eastAsia="uk-UA" w:bidi="uk-UA"/>
        </w:rPr>
      </w:pPr>
      <w:r w:rsidRPr="003D1BAE">
        <w:rPr>
          <w:color w:val="000000"/>
          <w:spacing w:val="0"/>
          <w:sz w:val="28"/>
          <w:szCs w:val="28"/>
          <w:lang w:eastAsia="uk-UA" w:bidi="uk-UA"/>
        </w:rPr>
        <w:t xml:space="preserve">– наступна (ретроспективна) ефективність, яка визначається на підставі </w:t>
      </w:r>
      <w:r w:rsidRPr="003D1BAE">
        <w:rPr>
          <w:color w:val="000000"/>
          <w:spacing w:val="0"/>
          <w:sz w:val="28"/>
          <w:szCs w:val="28"/>
          <w:lang w:eastAsia="uk-UA" w:bidi="uk-UA"/>
        </w:rPr>
        <w:lastRenderedPageBreak/>
        <w:t>оцінювання звітних даних про підсумки виконання бюджету та показників соціально-економічного розвитку. Завдяки цьому можливо оцінити фактичні результати реалізації бюджетної політики, які формують інформаційний базис для прийняття у подальшому управлінських рішень, вироблення заходів та розробки програм на наступні бюджетні періоди;</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0"/>
          <w:sz w:val="28"/>
          <w:szCs w:val="28"/>
          <w:lang w:eastAsia="uk-UA" w:bidi="uk-UA"/>
        </w:rPr>
        <w:t xml:space="preserve">– поточна ефективність вимірюється на основі оперативних даних про хід </w:t>
      </w:r>
      <w:r w:rsidRPr="003D1BAE">
        <w:rPr>
          <w:color w:val="000000"/>
          <w:spacing w:val="-2"/>
          <w:sz w:val="28"/>
          <w:szCs w:val="28"/>
          <w:lang w:eastAsia="uk-UA" w:bidi="uk-UA"/>
        </w:rPr>
        <w:t>виконання бюджету за доходами і видатками, про стан міжбюджетних відносин, а також оперативних показників соціально-економічного розвитку відповідної території. Сформований таким чином інформаційний масив має оперативне значення та використовується для ухвалення оперативних управлінських рішень щодо перегрупування бюджетних ресурсів, внесення коректив у заплановані заходи, коригування оперативних планів діяльності;</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очікувана ефективність, яка визначається на підставі очікуваних даних про виконання бюджету за доходами і видатками, а також прогнозованими за підсумками року показниками соціально-економічного розвитку. Одержані таким чином результати оцінювання корисні при складанні проектів бюджетів, річних програм та формулюванні орієнтирів соціально-економічного розвитку на плановий рік;</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запланована ефективність, яка визначається на підставі показників бюджету і соціально-економічного розвитку, передбачених на плановий рік. У цьому контексті важливо від слідкувати відповідність показників бюджету основним напрямам бюджетної політики на наступний бюджетний період, а також їхню спрямованість на досягнення бюджетних пріоритетів;</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val="ru-RU" w:eastAsia="uk-UA" w:bidi="uk-UA"/>
        </w:rPr>
      </w:pPr>
      <w:r w:rsidRPr="003D1BAE">
        <w:rPr>
          <w:color w:val="000000"/>
          <w:spacing w:val="-2"/>
          <w:sz w:val="28"/>
          <w:szCs w:val="28"/>
          <w:lang w:eastAsia="uk-UA" w:bidi="uk-UA"/>
        </w:rPr>
        <w:t xml:space="preserve">– стратегічна ефективність бюджетної політики, в основу якої покладене використання показники стратегічного розвитку. Сфера застосування результатів такого оцінювання передбачає вироблення варіантів бюджетних прогнозів, розробку довгострокових бюджетних програм </w:t>
      </w:r>
      <w:r w:rsidRPr="003D1BAE">
        <w:rPr>
          <w:color w:val="000000"/>
          <w:spacing w:val="-2"/>
          <w:sz w:val="28"/>
          <w:szCs w:val="28"/>
          <w:lang w:val="ru-RU" w:eastAsia="uk-UA" w:bidi="uk-UA"/>
        </w:rPr>
        <w:t>[19, с. 77-78].</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0"/>
          <w:sz w:val="28"/>
          <w:szCs w:val="28"/>
          <w:lang w:eastAsia="uk-UA" w:bidi="uk-UA"/>
        </w:rPr>
        <w:t xml:space="preserve">Формулюючи власне бачення ефективності бюджетної політики у руслі об’єкта нашого наукового інтересу вважаємо, що в основу визначення змісту цього поняття має бути покладене тлумачення вихідного терміну ефективності. </w:t>
      </w:r>
      <w:r w:rsidRPr="003D1BAE">
        <w:rPr>
          <w:color w:val="000000"/>
          <w:spacing w:val="0"/>
          <w:sz w:val="28"/>
          <w:szCs w:val="28"/>
          <w:lang w:eastAsia="uk-UA" w:bidi="uk-UA"/>
        </w:rPr>
        <w:lastRenderedPageBreak/>
        <w:t xml:space="preserve">Звернення до економічної енциклопедичної літератури дає нам тлумачення ефективності як здатності створювати ефект, результативності процесу чи проекту, яка визначається співвідношенням ефекту (результату) до витрат на його досягнення [51, с. 217]. За матеріальним виміром ефективність бюджетної політики досягається тоді, коли забезпечено найвищий ефект (результат) при </w:t>
      </w:r>
      <w:r w:rsidRPr="003D1BAE">
        <w:rPr>
          <w:color w:val="000000"/>
          <w:spacing w:val="-2"/>
          <w:sz w:val="28"/>
          <w:szCs w:val="28"/>
          <w:lang w:eastAsia="uk-UA" w:bidi="uk-UA"/>
        </w:rPr>
        <w:t xml:space="preserve">найменших витратах. У соціальному вимірі така ефективність визначається рівнем узгодженості інтересів усіх суспільних груп при функціонуванні бюджету, безконфліктністю перебігу бюджетних відносин.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Зважаючи на змістовне наповнення вихідного поняття «ефективність», під ефективністю бюджетної політики органів місцевої влади розуміємо здатність цих владних інституцій створювати соціально-економічний ефект в результаті своєї діяльності, який полягає у виробленні пріоритетів бюджетної політики, вибору інструментарію для їхнього досягнення, а також власне результативності формування доходів, проведення видатків, а також управління міжбюджетними відносинами з використанням спеціально відібраних критеріїв та індикаторів. На наш погляд, зважаючи на те, що більшість місцевих бюджетів не передбачає дефіциту бюджетних ресурсів, то виокремлювати відповідний напрямок у бюджетній політиці, а отже в оцінюванні її ефективності недоцільно. Водночас, для оцінювання ефективності бюджетної політики на етапі планування, на наш погляд, об’єктивними показниками можуть бути визначені такі, як ступінь відхилення початкових планових показників від визначених за результатами їхнього уточнення (інформує про якість планування), кількість випадків внесення змін до показників бюджету (свідчить про послідовність бюджетної політики).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У контексті оцінювання рівня конфліктності перебігу бюджетних відносин бюджетна політика має вимірюватись за соціально-економічною оптимальністю – характеристикою, яка свідчить про узгодженість економічних та соціальних інтересів суспільства. Бюджетна політика, з одного боку, має забезпечувати за допомогою бюджетних інструментів (оподаткування, фінансування, соціальні трансферти) гідний рівень життя населення, зокрема його вразливих верств; з </w:t>
      </w:r>
      <w:r w:rsidRPr="003D1BAE">
        <w:rPr>
          <w:color w:val="000000"/>
          <w:spacing w:val="-2"/>
          <w:sz w:val="28"/>
          <w:szCs w:val="28"/>
          <w:lang w:eastAsia="uk-UA" w:bidi="uk-UA"/>
        </w:rPr>
        <w:lastRenderedPageBreak/>
        <w:t xml:space="preserve">іншого боку, застосування бюджетних інструментів не має гальмувати стимулів до продуктивної діяльності, стимулювати розвиток підприємництва, знижувати мотивацію до життя виключно за рахунок соціальних трансфертів. Кінцева мета бюджетної політики полягає у тому, щоб забезпечити гідний рівень життя кожному члену суспільства, гармонізувати інтереси усіх суспільних верств при функціонуванні бюджетних відносин. Результатом розподілу та перерозподілу ВВП, які реалізуються через бюджетну політику, має бути встановлення таких його кінцевих пропорцій, якими були б однаковою мірою задоволені усі учасники розподільчих відносин.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Ефективність бюджетної політики як консолідованого явища може бути досягнута за умови ефективного функціонування усіх її складових. На думку Л. Лисяк, ефективність бюджетної політики реалізується через ефективність виконання бюджетом його функцій, тобто через оптимальність доходів, видатків та ефективність контрольно-регулюючого ефекту. Характеризуючи ефективність бюджетної політики у царині доходів бюджету, Л. Лисяк зазначає, що вона виражається у повному забезпеченні потреб органів влади у бюджетних ресурсах, необхідних для здійснення передбачених видатків без погіршення фінансового становища суб’єктів економіки. Ефективність цієї політики також визначається з точки зору оптимізації податкового навантаження. Разом з тим, під оптимальністю такого навантаження вчена розуміє його достатність для того, щоб мобілізувати у розпорядження органів влади такий обсяг бюджетних ресурсів, який би дав можливість профінансувати видатки на необхідному рівні. З неоптимальністю податкового навантаження вона пов’язує низькі стандарти надання суспільних послуг </w:t>
      </w:r>
      <w:r w:rsidRPr="003D1BAE">
        <w:rPr>
          <w:color w:val="000000"/>
          <w:spacing w:val="-2"/>
          <w:sz w:val="28"/>
          <w:szCs w:val="28"/>
          <w:lang w:val="ru-RU" w:eastAsia="uk-UA" w:bidi="uk-UA"/>
        </w:rPr>
        <w:t>[40, с. 54]</w:t>
      </w:r>
      <w:r w:rsidRPr="003D1BAE">
        <w:rPr>
          <w:color w:val="000000"/>
          <w:spacing w:val="-2"/>
          <w:sz w:val="28"/>
          <w:szCs w:val="28"/>
          <w:lang w:eastAsia="uk-UA" w:bidi="uk-UA"/>
        </w:rPr>
        <w:t xml:space="preserve">.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Визнаючи право науковця на власну позицію, вважаємо такий підхід до тлумачення оптимальності податкового навантаження дискусійним. На наш погляд, внаслідок притаманної бюрократії націленості на постійне розширення обсягів бюджетних ресурсів, які перебувають у її розпорядженні, значні обсяги потреби у бюджетних ресурсах можуть бути спричинені необґрунтованим «роздуванням» державних витрат. Відповідно, зросле податкове навантаження </w:t>
      </w:r>
      <w:r w:rsidRPr="003D1BAE">
        <w:rPr>
          <w:color w:val="000000"/>
          <w:spacing w:val="-2"/>
          <w:sz w:val="28"/>
          <w:szCs w:val="28"/>
          <w:lang w:eastAsia="uk-UA" w:bidi="uk-UA"/>
        </w:rPr>
        <w:lastRenderedPageBreak/>
        <w:t xml:space="preserve">для їхнього фінансування може шкідливо позначатись на економіці, стримувати підприємницьку активність, а тому характеризувати його за цих обставин було б недоречно. З іншого боку, низькі стандарти надання суспільних послуг можуть бути спричинені не тільки нестачею фінансування, але й неефективним його використанням, марнотратством, зумовленим застосуванням застарілих підходів до розподілу і використання коштів.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Окремо Л. Лисяк розглядає ефективність бюджетної політики у частині мобілізації неподаткових надходжень. Під такою ефективністю вчена розуміє здатність до швидкого отримання за необхідності, а також відносну стабільність джерел їхнього поступлення у часовому вимірі. Зважаючи на те, що неподаткові надходження об’єднують різні за своїм характером джерела доходів, то виробити загальний критерій оцінювання їхньої ефективності складно. можна погодитись з Л. Лисяк, що для цього мають бути вироблені індивідуальні підходи до оцінки, виходячи з альтернативних позицій для прийняття рішень стосовно можливості їх залучення до бюджету, з урахуванням принципів стабільності, достатності та довгострокового характеру [40, с.</w:t>
      </w:r>
      <w:r w:rsidRPr="003D1BAE">
        <w:rPr>
          <w:color w:val="000000"/>
          <w:spacing w:val="-2"/>
          <w:sz w:val="28"/>
          <w:szCs w:val="28"/>
          <w:lang w:val="ru-RU" w:eastAsia="uk-UA" w:bidi="uk-UA"/>
        </w:rPr>
        <w:t> </w:t>
      </w:r>
      <w:r w:rsidRPr="003D1BAE">
        <w:rPr>
          <w:color w:val="000000"/>
          <w:spacing w:val="-2"/>
          <w:sz w:val="28"/>
          <w:szCs w:val="28"/>
          <w:lang w:eastAsia="uk-UA" w:bidi="uk-UA"/>
        </w:rPr>
        <w:t xml:space="preserve">55].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Ефективність бюджетної політики у сфері видатків передбачає оцінювання того, наскільки максимально можливим є результат (ефект) від використання бюджетних коштів, який визначений у нарощуванні обсягу надання суспільних благ при наявних доходах і передбачених видатках. Застосування критерію оптимальності у випаду оцінювання ефективності видатків складно реалізувати, що пояснюється відсутністю кількісних та якісних вимірників для значної частини суспільних послуг, особливо соціального та неекономічного характеру. При цьому за динамікою видатків на надання суспільних послуг доволі важко прослідкувати реальну динаміку кількісних та якісних параметрів споживання цих послуг населення. У цьому випадку ефективність видатків кореспондує із реальним рухом суспільних послуг. Відтак, оптимальними, а отже ефективними, будуть об’ємно-структурні показники видатків, які при визначених параметрах забезпечують максимізацію економічного, соціального та споживчого ефекту. </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Додатковим критерієм ефективності бюджетної політики, за поглядами </w:t>
      </w:r>
      <w:r w:rsidRPr="003D1BAE">
        <w:rPr>
          <w:color w:val="000000"/>
          <w:spacing w:val="-2"/>
          <w:sz w:val="28"/>
          <w:szCs w:val="28"/>
          <w:lang w:eastAsia="uk-UA" w:bidi="uk-UA"/>
        </w:rPr>
        <w:lastRenderedPageBreak/>
        <w:t>Л. Лисяк, має бути визначений її контрольно-регулюючий ефект, який складно виміряти з економічного ракурсу. Зведення індикаторів ефективності такого ефекту до кількості та динаміки проведених контрольних заходів, виявлених порушень бюджетного законодавства та сум мобілізованих до бюджету штрафів та інших фінансових санкцій неприйнятне. Ефективний контроль має протидіяти причинам виникнення порушень бюджетного законодавства, а не боротись із його наслідками. Контрольно-регулюючий ефект у його широкому тлумаченні, за словами Л. Лисяк, досягається тоді, коли максимальне нарощування доходів бюджету та надання суспільних благ має у своїй основі більш високі темпи реального економічного зростання [40, с.</w:t>
      </w:r>
      <w:r w:rsidRPr="003D1BAE">
        <w:rPr>
          <w:color w:val="000000"/>
          <w:spacing w:val="-2"/>
          <w:sz w:val="28"/>
          <w:szCs w:val="28"/>
          <w:lang w:val="ru-RU" w:eastAsia="uk-UA" w:bidi="uk-UA"/>
        </w:rPr>
        <w:t> </w:t>
      </w:r>
      <w:r w:rsidRPr="003D1BAE">
        <w:rPr>
          <w:color w:val="000000"/>
          <w:spacing w:val="-2"/>
          <w:sz w:val="28"/>
          <w:szCs w:val="28"/>
          <w:lang w:eastAsia="uk-UA" w:bidi="uk-UA"/>
        </w:rPr>
        <w:t>55].</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Узагальнюючи наведені підходи до оцінювання ефективності бюджетної політики маємо констатувати, що вони не мають універсального виміру і для застосування щодо оцінювання бюджетної діяльності органів місцевої влади потребують певної адаптації. Враховуючи підтримувану нами позицію щодо структуризації бюджетної політики органів місцевої влади, до основних аспектів її ефективності необхідно зарахувати:</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ефективність мобілізації доходів місцевого бюджету, яка передбачає ефективність політики формування його податкових надходжень (як наслідок ефективності політики органу місцевої влади у сфері оподаткування, зокрема щодо встановлення місцевих податків та зборів, діяльності щодо сприяння повному та своєчасному виконанню платниками податків своїх фіскальних зобов’язань, розширення бази оподаткування та залучення резервів), а також неподаткових надходжень, доходів від операцій з капіталом, формування цільових фондів;</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xml:space="preserve">– ефективність політики у сфері видатків місцевого бюджету (об’єднує політику у розрізі основних напрямів використання бюджетних коштів, а також ефективність реалізації бюджетних інвестицій, бюджетного кредитування). Важливим контекстом оцінювання ефективності політики у сфері видатків бюджету є оцінювання відповідності їхніх напрямів та структури пріоритетам, визначеним стратегічними документами розвитку територіальної громади </w:t>
      </w:r>
      <w:r w:rsidRPr="003D1BAE">
        <w:rPr>
          <w:color w:val="000000"/>
          <w:spacing w:val="-2"/>
          <w:sz w:val="28"/>
          <w:szCs w:val="28"/>
          <w:lang w:eastAsia="uk-UA" w:bidi="uk-UA"/>
        </w:rPr>
        <w:lastRenderedPageBreak/>
        <w:t>(стратегії розвитку, програмі соціально-економічного розвитку та ін.);</w:t>
      </w:r>
    </w:p>
    <w:p w:rsidR="003D1BAE" w:rsidRPr="003D1BAE" w:rsidRDefault="003D1BAE" w:rsidP="003D1BAE">
      <w:pPr>
        <w:pStyle w:val="21"/>
        <w:shd w:val="clear" w:color="auto" w:fill="auto"/>
        <w:tabs>
          <w:tab w:val="left" w:pos="9639"/>
        </w:tabs>
        <w:spacing w:after="0" w:line="360" w:lineRule="auto"/>
        <w:ind w:firstLine="709"/>
        <w:rPr>
          <w:color w:val="000000"/>
          <w:spacing w:val="-2"/>
          <w:sz w:val="28"/>
          <w:szCs w:val="28"/>
          <w:lang w:eastAsia="uk-UA" w:bidi="uk-UA"/>
        </w:rPr>
      </w:pPr>
      <w:r w:rsidRPr="003D1BAE">
        <w:rPr>
          <w:color w:val="000000"/>
          <w:spacing w:val="-2"/>
          <w:sz w:val="28"/>
          <w:szCs w:val="28"/>
          <w:lang w:eastAsia="uk-UA" w:bidi="uk-UA"/>
        </w:rPr>
        <w:t>– ефективність міжбюджетних відносин, тобто отримання та надання міжбюджетних трансфертів. Оцінювання ефективності бюджетної політики на рівні територіальних громад у цьому контексті важливе з точки зору формування уявлення про спроможність органу місцевої влади виконувати покладені на нього повноваження. У випадку, якщо більшість отриманих міжбюджетних трансфертів територіальна громада передає до інших бюджетів, це вказує на відсутність можливостей для надання послуг власними силами, а в тривалому вимірі – про небажання органу місцевого самоврядування брати на себе відповідальність за забезпечення належних умов життєдіяльності громади. До цього варто додати оцінювання активності органів місцевої влади у питанні налагодження міжмуніципального співробітництва, що дає змогу залучити додаткові трансфертні ресурси для реалізації важливих для громади проектів соціально-економічного розвитку.</w:t>
      </w:r>
    </w:p>
    <w:p w:rsidR="003D1BAE" w:rsidRPr="003D1BAE" w:rsidRDefault="003D1BAE" w:rsidP="003D1BAE">
      <w:pPr>
        <w:pStyle w:val="21"/>
        <w:shd w:val="clear" w:color="auto" w:fill="auto"/>
        <w:tabs>
          <w:tab w:val="left" w:pos="9639"/>
        </w:tabs>
        <w:spacing w:after="0" w:line="360" w:lineRule="auto"/>
        <w:ind w:firstLine="709"/>
        <w:rPr>
          <w:color w:val="000000"/>
          <w:spacing w:val="0"/>
          <w:sz w:val="28"/>
          <w:szCs w:val="28"/>
          <w:lang w:eastAsia="uk-UA" w:bidi="uk-UA"/>
        </w:rPr>
      </w:pPr>
    </w:p>
    <w:p w:rsidR="003D1BAE" w:rsidRPr="003D1BAE" w:rsidRDefault="003D1BAE" w:rsidP="003D1BAE">
      <w:pPr>
        <w:pStyle w:val="21"/>
        <w:shd w:val="clear" w:color="auto" w:fill="auto"/>
        <w:tabs>
          <w:tab w:val="left" w:pos="9639"/>
        </w:tabs>
        <w:spacing w:after="0" w:line="360" w:lineRule="auto"/>
        <w:ind w:firstLine="709"/>
        <w:rPr>
          <w:color w:val="000000"/>
          <w:spacing w:val="0"/>
          <w:sz w:val="28"/>
          <w:szCs w:val="28"/>
          <w:lang w:eastAsia="uk-UA" w:bidi="uk-UA"/>
        </w:rPr>
      </w:pP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1</w:t>
      </w:r>
    </w:p>
    <w:p w:rsidR="003D1BAE" w:rsidRPr="003D1BAE" w:rsidRDefault="003D1BAE" w:rsidP="003D1BAE">
      <w:pPr>
        <w:spacing w:after="0" w:line="360" w:lineRule="auto"/>
        <w:rPr>
          <w:rFonts w:ascii="Times New Roman" w:hAnsi="Times New Roman" w:cs="Times New Roman"/>
          <w:sz w:val="28"/>
          <w:szCs w:val="28"/>
        </w:rPr>
      </w:pP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Підсумовуючи результати дослідження теоретичних засад бюджетної політики органів місцевої влади, можемо зробити такі висновки:</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бюджетна політика являє собою матеріальне вираження об’єктивних бюджетних відносин. Від рівня організації бюджетної політики залежить те, якими будуть результати впливу бюджетних відносин на соціально-економічні процеси, які відбуваються в суспільстві. Теоретична база бюджетної політики характеризується розробленістю, однак дискусійний характер мають підходи до розкриття її сутності, завдань та принципів здійснення. Узагальнення наукових підходів дало змогу підтвердити складність та багатоаспектність поняття бюджетної політики, а також сформулювати її власне бачення. Обґрунтовано, що у бюджетній політиці можна виокремити об’єктивну і суб’єктивну сторони, </w:t>
      </w:r>
      <w:r w:rsidRPr="003D1BAE">
        <w:rPr>
          <w:rFonts w:ascii="Times New Roman" w:hAnsi="Times New Roman" w:cs="Times New Roman"/>
          <w:sz w:val="28"/>
          <w:szCs w:val="28"/>
        </w:rPr>
        <w:lastRenderedPageBreak/>
        <w:t>а її ефективність значною мірою залежить від її послідовності та комплексного характеру;</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ґрунтовне опрацювання наукових підходів до виокремлення суб’єктів, завдань та класифікаційних ознак розмежування видів бюджетної політики дало можливість обґрунтувати, що її основними завданнями є: вироблення науково обґрунтованих цілей використання бюджету для втілення стратегічних і тактичних завдань соціально-економічного розвитку територіальної громади; формулювання інструментарію використання місцевого бюджету для реалізації цих цілей та завдань; реалізація бюджетної політики. У демократичному суспільстві суб’єктів бюджетної політики можна розмежувати на дві групи: прямих суб’єктів, які об’єднують органи місцевого самоврядування, а також територіальні органи виконавчої влади; непрямих суб’єктів, до яких належать представники підприємницького сектору, громадські організації та мешканці громади, які через інструменти участі залучені до вироблення пріоритетів бюджетної політики та її реалізації. За характером завдань у складі бюджетної політики виокремлено бюджетну стратегію і бюджету тактику, а за змістом управлінської діяльності бюджетна політика об’єднує політику формування доходів бюджету, політику у сфері видатків, а також політику міжбюджетних трансфертів;</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питання тлумачення ефективності бюджетної політики та методики її оцінювання винятково дискусійне. Узагальнення різних наукових підходів дало змогу виявити, що ефективність бюджетної політики розглядають у двох ракурсах: відповідно до її впливу на соціально-економічний розвиток; з точки зору відповідності фактичних та запланованих результатів. У відповідності до запропонованого підходу щодо структуризації бюджетної політики, у роботі визначено поняття ефективності формування доходів бюджету, ефективності бюджетної політики у сфері видатків, а також ефективності міжбюджетних відносин. </w:t>
      </w: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sz w:val="28"/>
          <w:szCs w:val="28"/>
        </w:rPr>
        <w:br w:type="column"/>
      </w:r>
      <w:r w:rsidRPr="003D1BAE">
        <w:rPr>
          <w:rFonts w:ascii="Times New Roman" w:hAnsi="Times New Roman" w:cs="Times New Roman"/>
          <w:b/>
          <w:sz w:val="28"/>
          <w:szCs w:val="28"/>
        </w:rPr>
        <w:lastRenderedPageBreak/>
        <w:t>Розділ 2</w:t>
      </w: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t>Практика реалізації бюджетної політики</w:t>
      </w: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t>органу місцевої влади (на прикладі Чемеровецької селищної ради)</w:t>
      </w:r>
    </w:p>
    <w:p w:rsidR="003D1BAE" w:rsidRPr="003D1BAE" w:rsidRDefault="003D1BAE" w:rsidP="003D1BAE">
      <w:pPr>
        <w:spacing w:after="0" w:line="360" w:lineRule="auto"/>
        <w:jc w:val="both"/>
        <w:rPr>
          <w:rFonts w:ascii="Times New Roman" w:hAnsi="Times New Roman" w:cs="Times New Roman"/>
          <w:b/>
          <w:sz w:val="28"/>
          <w:szCs w:val="28"/>
        </w:rPr>
      </w:pPr>
    </w:p>
    <w:p w:rsidR="003D1BAE" w:rsidRPr="003D1BAE" w:rsidRDefault="003D1BAE" w:rsidP="003D1BAE">
      <w:pPr>
        <w:spacing w:after="0" w:line="360" w:lineRule="auto"/>
        <w:ind w:firstLine="709"/>
        <w:jc w:val="both"/>
        <w:rPr>
          <w:rFonts w:ascii="Times New Roman" w:hAnsi="Times New Roman" w:cs="Times New Roman"/>
          <w:b/>
          <w:sz w:val="28"/>
          <w:szCs w:val="28"/>
        </w:rPr>
      </w:pPr>
    </w:p>
    <w:p w:rsidR="003D1BAE" w:rsidRPr="003D1BAE" w:rsidRDefault="003D1BAE" w:rsidP="003D1BAE">
      <w:pPr>
        <w:spacing w:after="0" w:line="360" w:lineRule="auto"/>
        <w:ind w:firstLine="709"/>
        <w:jc w:val="both"/>
        <w:rPr>
          <w:rFonts w:ascii="Times New Roman" w:hAnsi="Times New Roman" w:cs="Times New Roman"/>
          <w:b/>
          <w:sz w:val="28"/>
          <w:szCs w:val="28"/>
        </w:rPr>
      </w:pPr>
      <w:r w:rsidRPr="003D1BAE">
        <w:rPr>
          <w:rFonts w:ascii="Times New Roman" w:hAnsi="Times New Roman" w:cs="Times New Roman"/>
          <w:b/>
          <w:sz w:val="28"/>
          <w:szCs w:val="28"/>
        </w:rPr>
        <w:t>2.1. Оцінювання практики реалізації та ефективності бюджетної політики формування доходів місцевого бюджету</w:t>
      </w:r>
    </w:p>
    <w:p w:rsidR="003D1BAE" w:rsidRPr="003D1BAE" w:rsidRDefault="003D1BAE" w:rsidP="003D1BAE">
      <w:pPr>
        <w:spacing w:after="0" w:line="360" w:lineRule="auto"/>
        <w:ind w:firstLine="709"/>
        <w:jc w:val="both"/>
        <w:rPr>
          <w:rFonts w:ascii="Times New Roman" w:hAnsi="Times New Roman" w:cs="Times New Roman"/>
          <w:b/>
          <w:sz w:val="28"/>
          <w:szCs w:val="28"/>
        </w:rPr>
      </w:pP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Бюджетна політика формування доходів місцевого бюджету є вихідною складовою частиною бюджетної політики органу місцевої влади. Вона являє собою цілеспрямовану діяльність щодо визначення пріоритетів формування доходів бюджету, розробку відповідного нормативно-правового забезпечення, організацію виконання місцевого бюджету за доходами. Склад доходів місцевих бюджетів визначений у п. 23 Бюджетного кодексу України </w:t>
      </w:r>
      <w:r w:rsidRPr="003D1BAE">
        <w:rPr>
          <w:rFonts w:ascii="Times New Roman" w:hAnsi="Times New Roman" w:cs="Times New Roman"/>
          <w:spacing w:val="-2"/>
          <w:sz w:val="28"/>
          <w:szCs w:val="28"/>
          <w:lang w:eastAsia="uk-UA"/>
        </w:rPr>
        <w:t xml:space="preserve">[6] </w:t>
      </w:r>
      <w:r w:rsidRPr="003D1BAE">
        <w:rPr>
          <w:rFonts w:ascii="Times New Roman" w:hAnsi="Times New Roman" w:cs="Times New Roman"/>
          <w:spacing w:val="-2"/>
          <w:sz w:val="28"/>
          <w:szCs w:val="28"/>
        </w:rPr>
        <w:t xml:space="preserve">та об’єднує такі групи, як податкові та неподаткові надходження, доходи від операцій з капіталом, цільові фонди та офіційні трансферти.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Вихідним аспектом бюджетної політики формування доходів бюджету є планування його показників. Завдяки бюджетному плануванню можливо чітко ідентифікувати усі резерви нарощування доходів місцевого бюджету, що дає передумови для вироблення й реалізації управлінських рішень щодо їхнього задіяння. При плануванні доходів бюджету визначають реальний обсяг коштів, які орган місцевої влади може з використанням різних методів мобілізувати до місцевого бюджету для формування фінансового базису власної діяльності. Важливо, щоб в основу планування доходів бюджету були покладені науково-обґрунтовані підходи та методики розрахунку показників, а також врахована дія усіх чинників зовнішнього середовища і внутрішній потенціал нарощування бюджетних ресурсів. На практиці при плануванні бюджету за доходами отримують застосування різні методи розрахунку показників: аналітичний, нормативний, метод екстраполяції та інші. При цьому кожен метод володіє </w:t>
      </w:r>
      <w:r w:rsidRPr="003D1BAE">
        <w:rPr>
          <w:rFonts w:ascii="Times New Roman" w:hAnsi="Times New Roman" w:cs="Times New Roman"/>
          <w:sz w:val="28"/>
          <w:szCs w:val="28"/>
        </w:rPr>
        <w:lastRenderedPageBreak/>
        <w:t xml:space="preserve">своїми перевагами, що робить його ефективним при розрахунку тих чи інших видів доходів бюджету. У випадку, якщо можливо з високою точністю оцінити вплив чинників зовнішнього середовища на динаміку показника, планування надходжень за окремими видами доходів бюджету здійснюється за допомогою аналітичного методу. Іншим широко вживаним методом планування доходів бюджету є нормативний, який передбачає застосування визначених чинним законодавством норм (ставок податків та зборів, штрафних санкцій та ін.) при розрахунку обсягів доходів на планових бюджетний період.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Свідченням високої якості бюджетного планування, застосування дієвих методів розрахунку показників та врахування дії усіх чинників зовнішнього та внутрішнього походження є індикатори: по-перше, кількість випадків внесення змін до рішення про місцевий бюджет та рівень відхилення показників, які були прийняті в результаті уточнення рішення про місцевий бюджет від початкового варіанту; рівень фактичного виконання планових показників доходів бюджету. Додатковими критеріями ефективності бюджетної політики формування доходів бюджету є такі: поліпшення структури доходів бюджету, що полягає у зниженні питомої ваги міжбюджетних трансфертів та зростанні фіскального значення власних доходів, зокрема від оподаткування; стійкість висхідної динаміки доходів бюджету, що вказує на стабільне нарощування фінансових можливостей місцевої влади.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Зважаючи на визначальну роль податкового методу мобілізації доходів бюджету, оцінимо якість планування податкових находжень у розрізі місцевих і </w:t>
      </w:r>
      <w:r w:rsidRPr="003D1BAE">
        <w:rPr>
          <w:rFonts w:ascii="Times New Roman" w:hAnsi="Times New Roman" w:cs="Times New Roman"/>
          <w:spacing w:val="-2"/>
          <w:sz w:val="28"/>
          <w:szCs w:val="28"/>
        </w:rPr>
        <w:t xml:space="preserve">загальнодержавних податків. Якщо звернути увагу на якість планування доходів бюджету від загальнодержавних податків, то вона у 2020 році покращилась. У 2019 році зміни до показників селищного бюджету вносились близько 10 разів, внаслідок чого план із податкових надходжень було збільшено на 5,3% до 82,2 млн грн, в тому числі з ПДФО та військового збору – на 7,0% до 56,4 млн грн, рентної плати за використання природних ресурсів – на 17,1% до 116,2 тис грн. За іншими статтями податкових надходжень від загальнодержавних податків початкові показники не переглядались. У 2020 році, відповідно до оцінювання </w:t>
      </w:r>
      <w:r w:rsidRPr="003D1BAE">
        <w:rPr>
          <w:rFonts w:ascii="Times New Roman" w:hAnsi="Times New Roman" w:cs="Times New Roman"/>
          <w:spacing w:val="-2"/>
          <w:sz w:val="28"/>
          <w:szCs w:val="28"/>
        </w:rPr>
        <w:lastRenderedPageBreak/>
        <w:t xml:space="preserve">документів, оприлюднених на офіційному веб-ресурсі Чемеровецької селищної ради, ухвалені рішенням про селищний бюджет на 2020 рік у грудні 2019 року показники податкових надходжень не переглядались взагалі.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Якщо ж проаналізувати якість планувальної роботи органу місцевої влади за рівнем виконання індикативних показників з мобілізації податкових доходів за підсумками бюджетного року, то вона також підтверджує висновок про належну постановку процесу планування на рівні апарату селищної ради. Зокрема, у 2019 році рівень фактичного виконання уточненого плану формування податкових надходжень селищного бюджету становив 103,8% (отримано додатково 3,2 млн грн), то у 2020 році – 99,7% (на 0,3 млн грн менше запланованого). При цьому фактичні надходження ПДФО та військового збору перевищили індикативні на 5,2% у 2019 році (додатково надійшло майже 3,0 млн грн) та 4,3% у 2020 році (приріст на 2,7 млн грн). Таким чином, зниження відхилення по найважливішому бюджетоформуючому фіскальному платежі вказує на належну якість планування цих надходжень. Однак, за низкою неважливих у фіскальному значенні джерел доходів з року в рік спостерігаються значні показники відхилень фактичного рівня виконання порівняно з індикативним. Зокрема, потребує підвищення якість планування надходжень від рентної плати, оскільки у 2019 році її поступлення перевищили розрахункові в 1,2 рази, а в 2020 році були на 13,0% меншими за планові. Подібна ситуація характерна щодо надходжень екологічного податку, а також податку на прибуток, який сплачують комунальні підприємства громади (табл. 2.1).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Натомість, для місцевих податків та зборів показники якості планування </w:t>
      </w:r>
      <w:r w:rsidRPr="003D1BAE">
        <w:rPr>
          <w:rFonts w:ascii="Times New Roman" w:hAnsi="Times New Roman" w:cs="Times New Roman"/>
          <w:spacing w:val="-2"/>
          <w:sz w:val="28"/>
          <w:szCs w:val="28"/>
        </w:rPr>
        <w:t xml:space="preserve">неоднозначні. З одного боку, відповідно до рівня відхилення планових значень доходів при </w:t>
      </w:r>
      <w:r w:rsidRPr="003D1BAE">
        <w:rPr>
          <w:rFonts w:ascii="Times New Roman" w:hAnsi="Times New Roman" w:cs="Times New Roman"/>
          <w:sz w:val="28"/>
          <w:szCs w:val="28"/>
        </w:rPr>
        <w:t xml:space="preserve">внесенні змін до рішення про селищний бюджет є підстави казати про підвищення якості планування. Якщо у 2019 році внаслідок уточнення план з надходження місцевих податків та зборів було збільшено на 2,1% до 23,1 млн грн, в тому числі від податку на майно – на 5,2% до 7,2 млн грн, єдиного податку – на 0,8% до 15,9 млн грн, орендної плати за землю – на 3,2% до 4,9 </w:t>
      </w:r>
      <w:r w:rsidRPr="003D1BAE">
        <w:rPr>
          <w:rFonts w:ascii="Times New Roman" w:hAnsi="Times New Roman" w:cs="Times New Roman"/>
          <w:sz w:val="28"/>
          <w:szCs w:val="28"/>
        </w:rPr>
        <w:lastRenderedPageBreak/>
        <w:t xml:space="preserve">млн грн, то у 2020 році затверджені наприкінці 2019 року показники доходів впродовж бюджетного періоду не переглядались. </w:t>
      </w:r>
    </w:p>
    <w:p w:rsidR="003D1BAE" w:rsidRPr="003D1BAE" w:rsidRDefault="003D1BAE" w:rsidP="003D1BAE">
      <w:pPr>
        <w:tabs>
          <w:tab w:val="left" w:pos="1080"/>
        </w:tabs>
        <w:spacing w:after="0" w:line="360" w:lineRule="auto"/>
        <w:ind w:firstLine="720"/>
        <w:contextualSpacing/>
        <w:jc w:val="right"/>
        <w:rPr>
          <w:rFonts w:ascii="Times New Roman" w:hAnsi="Times New Roman" w:cs="Times New Roman"/>
          <w:i/>
          <w:spacing w:val="-2"/>
          <w:sz w:val="28"/>
          <w:szCs w:val="28"/>
        </w:rPr>
      </w:pPr>
      <w:r w:rsidRPr="003D1BAE">
        <w:rPr>
          <w:rFonts w:ascii="Times New Roman" w:hAnsi="Times New Roman" w:cs="Times New Roman"/>
          <w:i/>
          <w:spacing w:val="-2"/>
          <w:sz w:val="28"/>
          <w:szCs w:val="28"/>
        </w:rPr>
        <w:t>Таблиця 2.1</w:t>
      </w:r>
    </w:p>
    <w:p w:rsidR="003D1BAE" w:rsidRPr="003D1BAE" w:rsidRDefault="003D1BAE" w:rsidP="003D1BAE">
      <w:pPr>
        <w:tabs>
          <w:tab w:val="left" w:pos="1080"/>
        </w:tabs>
        <w:spacing w:after="0" w:line="360" w:lineRule="auto"/>
        <w:contextualSpacing/>
        <w:jc w:val="center"/>
        <w:rPr>
          <w:rFonts w:ascii="Times New Roman" w:hAnsi="Times New Roman" w:cs="Times New Roman"/>
          <w:b/>
          <w:spacing w:val="-2"/>
          <w:sz w:val="28"/>
          <w:szCs w:val="28"/>
        </w:rPr>
      </w:pPr>
      <w:r w:rsidRPr="003D1BAE">
        <w:rPr>
          <w:rFonts w:ascii="Times New Roman" w:hAnsi="Times New Roman" w:cs="Times New Roman"/>
          <w:b/>
          <w:spacing w:val="-2"/>
          <w:sz w:val="28"/>
          <w:szCs w:val="28"/>
        </w:rPr>
        <w:t>Показники уточнення плану надходжень від загальнодержавних податків</w:t>
      </w:r>
    </w:p>
    <w:p w:rsidR="003D1BAE" w:rsidRPr="003D1BAE" w:rsidRDefault="003D1BAE" w:rsidP="003D1BAE">
      <w:pPr>
        <w:tabs>
          <w:tab w:val="left" w:pos="1080"/>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pacing w:val="-2"/>
          <w:sz w:val="28"/>
          <w:szCs w:val="28"/>
        </w:rPr>
        <w:t>до Чемеровецького селищного бюджету у 2019-2020 рр., тис грн</w:t>
      </w:r>
    </w:p>
    <w:tbl>
      <w:tblPr>
        <w:tblW w:w="9506" w:type="dxa"/>
        <w:jc w:val="center"/>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83"/>
        <w:gridCol w:w="1334"/>
        <w:gridCol w:w="1183"/>
        <w:gridCol w:w="1047"/>
        <w:gridCol w:w="1183"/>
        <w:gridCol w:w="1339"/>
        <w:gridCol w:w="1183"/>
        <w:gridCol w:w="1054"/>
      </w:tblGrid>
      <w:tr w:rsidR="003D1BAE" w:rsidRPr="003D1BAE" w:rsidTr="00CA15D4">
        <w:trPr>
          <w:trHeight w:val="315"/>
          <w:jc w:val="center"/>
        </w:trPr>
        <w:tc>
          <w:tcPr>
            <w:tcW w:w="4747" w:type="dxa"/>
            <w:gridSpan w:val="4"/>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4759" w:type="dxa"/>
            <w:gridSpan w:val="4"/>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15"/>
          <w:jc w:val="center"/>
        </w:trPr>
        <w:tc>
          <w:tcPr>
            <w:tcW w:w="1183"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План</w:t>
            </w:r>
          </w:p>
        </w:tc>
        <w:tc>
          <w:tcPr>
            <w:tcW w:w="133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Уточнений план</w:t>
            </w:r>
          </w:p>
        </w:tc>
        <w:tc>
          <w:tcPr>
            <w:tcW w:w="118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Уточн. план/ план, %</w:t>
            </w:r>
          </w:p>
        </w:tc>
        <w:tc>
          <w:tcPr>
            <w:tcW w:w="10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Факт</w:t>
            </w:r>
          </w:p>
        </w:tc>
        <w:tc>
          <w:tcPr>
            <w:tcW w:w="118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План</w:t>
            </w:r>
          </w:p>
        </w:tc>
        <w:tc>
          <w:tcPr>
            <w:tcW w:w="13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Уточнений план</w:t>
            </w:r>
          </w:p>
        </w:tc>
        <w:tc>
          <w:tcPr>
            <w:tcW w:w="1183" w:type="dxa"/>
            <w:shd w:val="clear" w:color="auto" w:fill="auto"/>
            <w:vAlign w:val="center"/>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Уточн. план/ план, %</w:t>
            </w:r>
          </w:p>
        </w:tc>
        <w:tc>
          <w:tcPr>
            <w:tcW w:w="1054" w:type="dxa"/>
            <w:shd w:val="clear" w:color="auto" w:fill="auto"/>
            <w:vAlign w:val="center"/>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Факт</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line="240" w:lineRule="auto"/>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Податкові надходження, в т.ч.:</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78107,2</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82271,2</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105,3</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85389,7</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89491,3</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89491,3</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89243,8</w:t>
            </w:r>
          </w:p>
        </w:tc>
      </w:tr>
      <w:tr w:rsidR="003D1BAE" w:rsidRPr="003D1BAE" w:rsidTr="00CA15D4">
        <w:trPr>
          <w:trHeight w:val="100"/>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color w:val="000000"/>
                <w:sz w:val="23"/>
                <w:szCs w:val="23"/>
              </w:rPr>
            </w:pPr>
            <w:r w:rsidRPr="003D1BAE">
              <w:rPr>
                <w:rFonts w:ascii="Times New Roman" w:hAnsi="Times New Roman" w:cs="Times New Roman"/>
                <w:color w:val="000000"/>
                <w:sz w:val="23"/>
                <w:szCs w:val="23"/>
                <w:lang w:eastAsia="uk-UA"/>
              </w:rPr>
              <w:t>Податки на доходи, прибуток та збільшення ринкової вартості, в т.ч.:</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52813,0</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56481,0</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106,9</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59408,5</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60933,7</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60933,7</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63594,2</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i/>
                <w:color w:val="000000"/>
                <w:sz w:val="23"/>
                <w:szCs w:val="23"/>
              </w:rPr>
            </w:pPr>
            <w:r w:rsidRPr="003D1BAE">
              <w:rPr>
                <w:rFonts w:ascii="Times New Roman" w:hAnsi="Times New Roman" w:cs="Times New Roman"/>
                <w:i/>
                <w:color w:val="000000"/>
                <w:sz w:val="23"/>
                <w:szCs w:val="23"/>
              </w:rPr>
              <w:t>Податок та збір на доходи фізичних осіб</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52775,4</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56443,4</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107,0</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59400,5</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60923,7</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60923,7</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63531,7</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i/>
                <w:color w:val="000000"/>
                <w:sz w:val="23"/>
                <w:szCs w:val="23"/>
              </w:rPr>
            </w:pPr>
            <w:r w:rsidRPr="003D1BAE">
              <w:rPr>
                <w:rFonts w:ascii="Times New Roman" w:hAnsi="Times New Roman" w:cs="Times New Roman"/>
                <w:i/>
                <w:color w:val="000000"/>
                <w:sz w:val="23"/>
                <w:szCs w:val="23"/>
                <w:lang w:eastAsia="uk-UA"/>
              </w:rPr>
              <w:t>Податок на прибуток комунальних підприємств</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37,6</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37,6</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8,0</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62,6</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color w:val="000000"/>
                <w:sz w:val="23"/>
                <w:szCs w:val="23"/>
              </w:rPr>
            </w:pPr>
            <w:r w:rsidRPr="003D1BAE">
              <w:rPr>
                <w:rFonts w:ascii="Times New Roman" w:hAnsi="Times New Roman" w:cs="Times New Roman"/>
                <w:color w:val="000000"/>
                <w:sz w:val="23"/>
                <w:szCs w:val="23"/>
                <w:lang w:eastAsia="uk-UA"/>
              </w:rPr>
              <w:t>Рентна плата за використання природних ресурсів</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99,2</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116,2</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117,1</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143,7</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128,0</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128,0</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111,4</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color w:val="000000"/>
                <w:sz w:val="23"/>
                <w:szCs w:val="23"/>
              </w:rPr>
            </w:pPr>
            <w:r w:rsidRPr="003D1BAE">
              <w:rPr>
                <w:rFonts w:ascii="Times New Roman" w:hAnsi="Times New Roman" w:cs="Times New Roman"/>
                <w:color w:val="000000"/>
                <w:sz w:val="23"/>
                <w:szCs w:val="23"/>
                <w:lang w:eastAsia="uk-UA"/>
              </w:rPr>
              <w:t>Внутрішні податки на товари і послуги</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2485,5</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2485,5</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2490,7</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2401,5</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2401,5</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2340,3</w:t>
            </w:r>
          </w:p>
        </w:tc>
      </w:tr>
      <w:tr w:rsidR="003D1BAE" w:rsidRPr="003D1BAE" w:rsidTr="00CA15D4">
        <w:trPr>
          <w:trHeight w:val="315"/>
          <w:jc w:val="center"/>
        </w:trPr>
        <w:tc>
          <w:tcPr>
            <w:tcW w:w="9506" w:type="dxa"/>
            <w:gridSpan w:val="8"/>
            <w:shd w:val="clear" w:color="auto" w:fill="auto"/>
            <w:vAlign w:val="bottom"/>
            <w:hideMark/>
          </w:tcPr>
          <w:p w:rsidR="003D1BAE" w:rsidRPr="003D1BAE" w:rsidRDefault="003D1BAE" w:rsidP="003D1BAE">
            <w:pPr>
              <w:spacing w:after="0"/>
              <w:rPr>
                <w:rFonts w:ascii="Times New Roman" w:hAnsi="Times New Roman" w:cs="Times New Roman"/>
                <w:color w:val="000000"/>
                <w:sz w:val="23"/>
                <w:szCs w:val="23"/>
              </w:rPr>
            </w:pPr>
            <w:r w:rsidRPr="003D1BAE">
              <w:rPr>
                <w:rFonts w:ascii="Times New Roman" w:hAnsi="Times New Roman" w:cs="Times New Roman"/>
                <w:color w:val="000000"/>
                <w:sz w:val="23"/>
                <w:szCs w:val="23"/>
                <w:lang w:eastAsia="uk-UA"/>
              </w:rPr>
              <w:t>Екологічний податок</w:t>
            </w:r>
          </w:p>
        </w:tc>
      </w:tr>
      <w:tr w:rsidR="003D1BAE" w:rsidRPr="003D1BAE" w:rsidTr="00CA15D4">
        <w:trPr>
          <w:trHeight w:val="315"/>
          <w:jc w:val="center"/>
        </w:trPr>
        <w:tc>
          <w:tcPr>
            <w:tcW w:w="1183" w:type="dxa"/>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69,1</w:t>
            </w:r>
          </w:p>
        </w:tc>
        <w:tc>
          <w:tcPr>
            <w:tcW w:w="1334"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69,1</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47"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46,9</w:t>
            </w:r>
          </w:p>
        </w:tc>
        <w:tc>
          <w:tcPr>
            <w:tcW w:w="1183"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65,0</w:t>
            </w:r>
          </w:p>
        </w:tc>
        <w:tc>
          <w:tcPr>
            <w:tcW w:w="1339" w:type="dxa"/>
            <w:shd w:val="clear" w:color="auto" w:fill="auto"/>
            <w:noWrap/>
            <w:vAlign w:val="bottom"/>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65,0</w:t>
            </w:r>
          </w:p>
        </w:tc>
        <w:tc>
          <w:tcPr>
            <w:tcW w:w="1183"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54"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78,5</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На відміну від загальнодержавних податків, щодо місцевих податків та зборів органи місцевого самоврядування наділені певними повноваженням щодо їх встановлення, визначення елементів та надання пільг. Відповідно до чинної бюджетної практики, затвердження ставок місцевих податків та зборів здійснюється щорічно в рамках бюджетного процесу. Відповідно до рішень Чемеровецької селищної ради, впродовж 2020-2021 рр. на території громади ставки єдиного податку були визначені у таких розмірах: для платників І групи – 10% від прожиткового мінімуму для працездатної особи; для платників ІІ групи – 20% від МЗП. Незважаючи на те, що впродовж 2021 року рішення про вставлення ставок єдиного податку тричі переглядалось </w:t>
      </w:r>
      <w:r w:rsidRPr="003D1BAE">
        <w:rPr>
          <w:rFonts w:ascii="Times New Roman" w:hAnsi="Times New Roman" w:cs="Times New Roman"/>
          <w:sz w:val="28"/>
          <w:szCs w:val="28"/>
          <w:lang w:val="ru-RU"/>
        </w:rPr>
        <w:t>[62]</w:t>
      </w:r>
      <w:r w:rsidRPr="003D1BAE">
        <w:rPr>
          <w:rFonts w:ascii="Times New Roman" w:hAnsi="Times New Roman" w:cs="Times New Roman"/>
          <w:sz w:val="28"/>
          <w:szCs w:val="28"/>
        </w:rPr>
        <w:t xml:space="preserve">, зміни стосувались приведення його змісту до кодифікації статей Податкового кодексу України.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lastRenderedPageBreak/>
        <w:t xml:space="preserve">З метою підвищення фіскальної віддачі від земельного податку, у 2021 році було суттєво підвищено його ставки для окремих категорій платників та видів земельних ресурсів. Зокрема, ставки податку для фізичних осіб за землі сільськогосподарського призначення (не залежно від того, чи проведена їх грошова оцінка) підвищені вдвічі – з 0,5% до 1,0%, а для земель без проведеної грошової оцінки, які використовуються для ведення особистого чи підсобного селянського господарства ставки податку підвищені до 1,5%. Додатково до цього, підвищено ставки податку для земель під забудовою. Для фізичних осіб за землі, щодо яких проведена грошова оцінка вартості ставка підвищена вдвічі – з 0,05% до 0,1%, а для земель без грошової оцінки – втричі – до 0,15%. У 1,5 рази (з 2% до 3%) підвищено ставки податку для земель громадської забудови, незалежно від того, чи проведена для них грошова оцінка </w:t>
      </w:r>
      <w:r w:rsidRPr="003D1BAE">
        <w:rPr>
          <w:rFonts w:ascii="Times New Roman" w:hAnsi="Times New Roman" w:cs="Times New Roman"/>
          <w:sz w:val="28"/>
          <w:szCs w:val="28"/>
          <w:lang w:val="ru-RU"/>
        </w:rPr>
        <w:t>[63]</w:t>
      </w:r>
      <w:r w:rsidRPr="003D1BAE">
        <w:rPr>
          <w:rFonts w:ascii="Times New Roman" w:hAnsi="Times New Roman" w:cs="Times New Roman"/>
          <w:sz w:val="28"/>
          <w:szCs w:val="28"/>
        </w:rPr>
        <w:t>.</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Значні зміни у значенні ставок були схвалені Чемеровецькою селищною радою щодо податку на нерухоме майно, відмінне від земельної ділянки. За більшістю позицій нерухомості ставки податку були підвищені у 2-3 рази і на теперішній час коливаються в межах від 0,1% розміру МЗП для житлової нерухомості до 0,6% ЗМЗП для об’єктів торгівельної нерухомості, побутового обслуговування та громадського харчування (їдальні, кафе) та 0,7% МЗП для будівель ресторанів та барів. Цим же рішенням Чемеровецька селищна рада визначила перелік платників, які отримали 100%-ну пільгу зі сплати податку на нерухоме майно, до них зараховані інваліди І-ІІІ групи ВВВ, учасники АТО, органи державної та місцевої влади, бюджетні установи, які не мають власних надходжень, а також нерухомість релігійних громад [64].</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Проте, якщо оцінити рівень фактичного виконання планових показників за підсумками року, то можемо помітити надміру високі значення розбіжності між плановими й фактичними обсягами надходжень, що перевищують прийнятні параметри. Якщо у 2019 році загалом уточнений план з місцевих податків та зборів був виконаний на 100,8%, то зростання надходжень від податку на нерухомість склало 1,5 рази (1,0 млн грн фактично проти 0,7 млн грн запланованих), по земельному податку – 89,3% (втрати бюджету склали </w:t>
      </w:r>
      <w:r w:rsidRPr="003D1BAE">
        <w:rPr>
          <w:rFonts w:ascii="Times New Roman" w:hAnsi="Times New Roman" w:cs="Times New Roman"/>
          <w:sz w:val="28"/>
          <w:szCs w:val="28"/>
        </w:rPr>
        <w:lastRenderedPageBreak/>
        <w:t xml:space="preserve">167,4 тис грн). Відхилення надходжень по єдиному податку була мінімальною. Натомість, у 2020 році рівень фактичного виконання індикативних показників з мобілізації місцевих податків та зборів склав 89,0% (втрати бюджету становили 2,8 млн грн). При цьому, план надходжень земельного податку був виконаний на 105,9%, орендної плати за землю – на 99,1%, тоді як з податку на нежитлову нерухомість – на 84,1% (втрати бюджету 156,3 тис. грн), податку на житлову нерухомість – на 93,0% (втрата доходів 6,5 тис грн). </w:t>
      </w:r>
    </w:p>
    <w:p w:rsidR="003D1BAE" w:rsidRPr="003D1BAE" w:rsidRDefault="003D1BAE" w:rsidP="003D1BAE">
      <w:pPr>
        <w:tabs>
          <w:tab w:val="left" w:pos="1080"/>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2.2</w:t>
      </w:r>
    </w:p>
    <w:p w:rsidR="003D1BAE" w:rsidRPr="003D1BAE" w:rsidRDefault="003D1BAE" w:rsidP="003D1BAE">
      <w:pPr>
        <w:tabs>
          <w:tab w:val="left" w:pos="1080"/>
        </w:tabs>
        <w:spacing w:after="0" w:line="360" w:lineRule="auto"/>
        <w:contextualSpacing/>
        <w:jc w:val="center"/>
        <w:rPr>
          <w:rFonts w:ascii="Times New Roman" w:hAnsi="Times New Roman" w:cs="Times New Roman"/>
          <w:b/>
          <w:spacing w:val="-2"/>
          <w:sz w:val="28"/>
          <w:szCs w:val="28"/>
        </w:rPr>
      </w:pPr>
      <w:r w:rsidRPr="003D1BAE">
        <w:rPr>
          <w:rFonts w:ascii="Times New Roman" w:hAnsi="Times New Roman" w:cs="Times New Roman"/>
          <w:b/>
          <w:spacing w:val="-2"/>
          <w:sz w:val="28"/>
          <w:szCs w:val="28"/>
        </w:rPr>
        <w:t>Показники уточнення плану надходжень від місцевих податків та зборів</w:t>
      </w:r>
    </w:p>
    <w:p w:rsidR="003D1BAE" w:rsidRPr="003D1BAE" w:rsidRDefault="003D1BAE" w:rsidP="003D1BAE">
      <w:pPr>
        <w:tabs>
          <w:tab w:val="left" w:pos="1080"/>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pacing w:val="-2"/>
          <w:sz w:val="28"/>
          <w:szCs w:val="28"/>
        </w:rPr>
        <w:t>до Чемеровецького селищного бюджету у 2019-2020 рр., тис грн</w:t>
      </w:r>
    </w:p>
    <w:tbl>
      <w:tblPr>
        <w:tblW w:w="9776" w:type="dxa"/>
        <w:jc w:val="center"/>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78"/>
        <w:gridCol w:w="1417"/>
        <w:gridCol w:w="1393"/>
        <w:gridCol w:w="1033"/>
        <w:gridCol w:w="1039"/>
        <w:gridCol w:w="1384"/>
        <w:gridCol w:w="1347"/>
        <w:gridCol w:w="1085"/>
      </w:tblGrid>
      <w:tr w:rsidR="003D1BAE" w:rsidRPr="003D1BAE" w:rsidTr="00CA15D4">
        <w:trPr>
          <w:trHeight w:val="315"/>
          <w:jc w:val="center"/>
        </w:trPr>
        <w:tc>
          <w:tcPr>
            <w:tcW w:w="4921" w:type="dxa"/>
            <w:gridSpan w:val="4"/>
            <w:shd w:val="clear" w:color="auto" w:fill="auto"/>
            <w:vAlign w:val="bottom"/>
            <w:hideMark/>
          </w:tcPr>
          <w:p w:rsidR="003D1BAE" w:rsidRPr="003D1BAE" w:rsidRDefault="003D1BAE" w:rsidP="003D1BAE">
            <w:pPr>
              <w:spacing w:after="0" w:line="240" w:lineRule="auto"/>
              <w:jc w:val="center"/>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2019</w:t>
            </w:r>
          </w:p>
        </w:tc>
        <w:tc>
          <w:tcPr>
            <w:tcW w:w="4855" w:type="dxa"/>
            <w:gridSpan w:val="4"/>
            <w:shd w:val="clear" w:color="auto" w:fill="auto"/>
            <w:noWrap/>
            <w:vAlign w:val="bottom"/>
            <w:hideMark/>
          </w:tcPr>
          <w:p w:rsidR="003D1BAE" w:rsidRPr="003D1BAE" w:rsidRDefault="003D1BAE" w:rsidP="003D1BAE">
            <w:pPr>
              <w:spacing w:after="0" w:line="240" w:lineRule="auto"/>
              <w:jc w:val="center"/>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2020</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План</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Уточнений план</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Уточн. план/ план, %</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Факт</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План</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Уточнений план</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Уточн. план/ план, %</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Факт</w:t>
            </w:r>
          </w:p>
        </w:tc>
      </w:tr>
      <w:tr w:rsidR="003D1BAE" w:rsidRPr="003D1BAE" w:rsidTr="00CA15D4">
        <w:trPr>
          <w:trHeight w:val="90"/>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Місцеві податки, в т.ч.:</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22640,4</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23119,4</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102,1</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23300,0</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25963,1</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25963,1</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23119,3</w:t>
            </w:r>
          </w:p>
        </w:tc>
      </w:tr>
      <w:tr w:rsidR="003D1BAE" w:rsidRPr="003D1BAE" w:rsidTr="00CA15D4">
        <w:trPr>
          <w:trHeight w:val="140"/>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Податок на майно, в т.ч:</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6848,1</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7203,1</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105,2</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7343,1</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7750,9</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7750,9</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7660,3</w:t>
            </w:r>
          </w:p>
        </w:tc>
      </w:tr>
      <w:tr w:rsidR="003D1BAE" w:rsidRPr="003D1BAE" w:rsidTr="00CA15D4">
        <w:trPr>
          <w:trHeight w:val="106"/>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Податок на нерухомість, в т.ч.:</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592,7</w:t>
            </w:r>
          </w:p>
        </w:tc>
        <w:tc>
          <w:tcPr>
            <w:tcW w:w="1417"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679,2</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114,6</w:t>
            </w:r>
          </w:p>
        </w:tc>
        <w:tc>
          <w:tcPr>
            <w:tcW w:w="1033"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1039,0</w:t>
            </w:r>
          </w:p>
        </w:tc>
        <w:tc>
          <w:tcPr>
            <w:tcW w:w="1039"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1076,9</w:t>
            </w:r>
          </w:p>
        </w:tc>
        <w:tc>
          <w:tcPr>
            <w:tcW w:w="1384"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1076,9</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914,1</w:t>
            </w:r>
          </w:p>
        </w:tc>
      </w:tr>
      <w:tr w:rsidR="003D1BAE" w:rsidRPr="003D1BAE" w:rsidTr="00CA15D4">
        <w:trPr>
          <w:trHeight w:val="116"/>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i/>
                <w:color w:val="000000"/>
                <w:sz w:val="23"/>
                <w:szCs w:val="23"/>
                <w:lang w:eastAsia="uk-UA"/>
              </w:rPr>
            </w:pPr>
            <w:r w:rsidRPr="003D1BAE">
              <w:rPr>
                <w:rFonts w:ascii="Times New Roman" w:hAnsi="Times New Roman" w:cs="Times New Roman"/>
                <w:i/>
                <w:color w:val="000000"/>
                <w:sz w:val="23"/>
                <w:szCs w:val="23"/>
                <w:lang w:eastAsia="uk-UA"/>
              </w:rPr>
              <w:t>Податок на нерухоме майно, відмінне від земельної ділянки (житлова нерухомість)</w:t>
            </w:r>
          </w:p>
        </w:tc>
      </w:tr>
      <w:tr w:rsidR="003D1BAE" w:rsidRPr="003D1BAE" w:rsidTr="00CA15D4">
        <w:trPr>
          <w:trHeight w:val="90"/>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63,3</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64,8</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102,4</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87,7</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92,3</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92,3</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85,8</w:t>
            </w:r>
          </w:p>
        </w:tc>
      </w:tr>
      <w:tr w:rsidR="003D1BAE" w:rsidRPr="003D1BAE" w:rsidTr="00CA15D4">
        <w:trPr>
          <w:trHeight w:val="90"/>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i/>
                <w:color w:val="000000"/>
                <w:sz w:val="23"/>
                <w:szCs w:val="23"/>
                <w:lang w:eastAsia="uk-UA"/>
              </w:rPr>
            </w:pPr>
            <w:r w:rsidRPr="003D1BAE">
              <w:rPr>
                <w:rFonts w:ascii="Times New Roman" w:hAnsi="Times New Roman" w:cs="Times New Roman"/>
                <w:i/>
                <w:color w:val="000000"/>
                <w:sz w:val="23"/>
                <w:szCs w:val="23"/>
                <w:lang w:eastAsia="uk-UA"/>
              </w:rPr>
              <w:t>Податок на нерухоме майно, відмінне від земельної ділянки (нежитлова нерухомість)</w:t>
            </w:r>
          </w:p>
        </w:tc>
      </w:tr>
      <w:tr w:rsidR="003D1BAE" w:rsidRPr="003D1BAE" w:rsidTr="00CA15D4">
        <w:trPr>
          <w:trHeight w:val="204"/>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529,4</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614,4</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116,1</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951,3</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984,6</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984,6</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828,3</w:t>
            </w:r>
          </w:p>
        </w:tc>
      </w:tr>
      <w:tr w:rsidR="003D1BAE" w:rsidRPr="003D1BAE" w:rsidTr="00CA15D4">
        <w:trPr>
          <w:trHeight w:val="248"/>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Земельний податок</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1453,3</w:t>
            </w:r>
          </w:p>
        </w:tc>
        <w:tc>
          <w:tcPr>
            <w:tcW w:w="1417"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1568,3</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107,9</w:t>
            </w:r>
          </w:p>
        </w:tc>
        <w:tc>
          <w:tcPr>
            <w:tcW w:w="1033"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1400,9</w:t>
            </w:r>
          </w:p>
        </w:tc>
        <w:tc>
          <w:tcPr>
            <w:tcW w:w="1039"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1426,7</w:t>
            </w:r>
          </w:p>
        </w:tc>
        <w:tc>
          <w:tcPr>
            <w:tcW w:w="1384"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1426,7</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1510,2</w:t>
            </w:r>
          </w:p>
        </w:tc>
      </w:tr>
      <w:tr w:rsidR="003D1BAE" w:rsidRPr="003D1BAE" w:rsidTr="00CA15D4">
        <w:trPr>
          <w:trHeight w:val="315"/>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Орендна плата</w:t>
            </w:r>
          </w:p>
        </w:tc>
      </w:tr>
      <w:tr w:rsidR="003D1BAE" w:rsidRPr="003D1BAE" w:rsidTr="00CA15D4">
        <w:trPr>
          <w:trHeight w:val="315"/>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4800,6</w:t>
            </w:r>
          </w:p>
        </w:tc>
        <w:tc>
          <w:tcPr>
            <w:tcW w:w="1417"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4955,6</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103,2</w:t>
            </w:r>
          </w:p>
        </w:tc>
        <w:tc>
          <w:tcPr>
            <w:tcW w:w="1033"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4882,4</w:t>
            </w:r>
          </w:p>
        </w:tc>
        <w:tc>
          <w:tcPr>
            <w:tcW w:w="1039"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5226,4</w:t>
            </w:r>
          </w:p>
        </w:tc>
        <w:tc>
          <w:tcPr>
            <w:tcW w:w="1384"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5226,4</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5181,3</w:t>
            </w:r>
          </w:p>
        </w:tc>
      </w:tr>
      <w:tr w:rsidR="003D1BAE" w:rsidRPr="003D1BAE" w:rsidTr="00CA15D4">
        <w:trPr>
          <w:trHeight w:val="315"/>
          <w:jc w:val="center"/>
        </w:trPr>
        <w:tc>
          <w:tcPr>
            <w:tcW w:w="9776" w:type="dxa"/>
            <w:gridSpan w:val="8"/>
            <w:shd w:val="clear" w:color="auto" w:fill="auto"/>
            <w:vAlign w:val="center"/>
            <w:hideMark/>
          </w:tcPr>
          <w:p w:rsidR="003D1BAE" w:rsidRPr="003D1BAE" w:rsidRDefault="003D1BAE" w:rsidP="003D1BAE">
            <w:pPr>
              <w:spacing w:after="0" w:line="240" w:lineRule="auto"/>
              <w:rPr>
                <w:rFonts w:ascii="Times New Roman" w:hAnsi="Times New Roman" w:cs="Times New Roman"/>
                <w:b/>
                <w:color w:val="000000"/>
                <w:sz w:val="23"/>
                <w:szCs w:val="23"/>
                <w:lang w:eastAsia="uk-UA"/>
              </w:rPr>
            </w:pPr>
            <w:r w:rsidRPr="003D1BAE">
              <w:rPr>
                <w:rFonts w:ascii="Times New Roman" w:hAnsi="Times New Roman" w:cs="Times New Roman"/>
                <w:b/>
                <w:color w:val="000000"/>
                <w:sz w:val="23"/>
                <w:szCs w:val="23"/>
                <w:lang w:eastAsia="uk-UA"/>
              </w:rPr>
              <w:t>Єдиний податок</w:t>
            </w:r>
          </w:p>
        </w:tc>
      </w:tr>
      <w:tr w:rsidR="003D1BAE" w:rsidRPr="003D1BAE" w:rsidTr="00CA15D4">
        <w:trPr>
          <w:trHeight w:val="126"/>
          <w:jc w:val="center"/>
        </w:trPr>
        <w:tc>
          <w:tcPr>
            <w:tcW w:w="1078"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15792,3</w:t>
            </w:r>
          </w:p>
        </w:tc>
        <w:tc>
          <w:tcPr>
            <w:tcW w:w="141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15916,3</w:t>
            </w:r>
          </w:p>
        </w:tc>
        <w:tc>
          <w:tcPr>
            <w:tcW w:w="139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100,8</w:t>
            </w:r>
          </w:p>
        </w:tc>
        <w:tc>
          <w:tcPr>
            <w:tcW w:w="1033"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15950,8</w:t>
            </w:r>
          </w:p>
        </w:tc>
        <w:tc>
          <w:tcPr>
            <w:tcW w:w="1039"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18206,2</w:t>
            </w:r>
          </w:p>
        </w:tc>
        <w:tc>
          <w:tcPr>
            <w:tcW w:w="1384"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18206,2</w:t>
            </w:r>
          </w:p>
        </w:tc>
        <w:tc>
          <w:tcPr>
            <w:tcW w:w="1347"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100,0</w:t>
            </w:r>
          </w:p>
        </w:tc>
        <w:tc>
          <w:tcPr>
            <w:tcW w:w="1085" w:type="dxa"/>
            <w:shd w:val="clear" w:color="auto" w:fill="auto"/>
            <w:vAlign w:val="center"/>
          </w:tcPr>
          <w:p w:rsidR="003D1BAE" w:rsidRPr="003D1BAE" w:rsidRDefault="003D1BAE" w:rsidP="003D1BAE">
            <w:pPr>
              <w:spacing w:after="0" w:line="240" w:lineRule="auto"/>
              <w:jc w:val="right"/>
              <w:rPr>
                <w:rFonts w:ascii="Times New Roman" w:hAnsi="Times New Roman" w:cs="Times New Roman"/>
                <w:color w:val="000000"/>
                <w:sz w:val="23"/>
                <w:szCs w:val="23"/>
                <w:lang w:eastAsia="uk-UA"/>
              </w:rPr>
            </w:pPr>
            <w:r w:rsidRPr="003D1BAE">
              <w:rPr>
                <w:rFonts w:ascii="Times New Roman" w:hAnsi="Times New Roman" w:cs="Times New Roman"/>
                <w:color w:val="000000"/>
                <w:sz w:val="23"/>
                <w:szCs w:val="23"/>
                <w:lang w:eastAsia="uk-UA"/>
              </w:rPr>
              <w:t>15462,6</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lang w:eastAsia="uk-UA"/>
        </w:rPr>
      </w:pPr>
      <w:r w:rsidRPr="003D1BAE">
        <w:rPr>
          <w:rFonts w:ascii="Times New Roman" w:hAnsi="Times New Roman" w:cs="Times New Roman"/>
          <w:sz w:val="28"/>
          <w:szCs w:val="28"/>
        </w:rPr>
        <w:t xml:space="preserve">Порівняно з попереднім бюджетним періодом, у 2020 році погіршились показники виконання надходжень єдиного податку. Всього за рік до бюджету від його сплати надійшло 15,5 млн грн, що становить 84,9% від плану. Таким чином, селищний бюджет недоотримав надходжень на суму понад 2,7 млн грн. Однак, причиною такої розбіжності є не низька якість планувальної роботи, а дія форс-мажорних обставин та послідуюча за нею реакція з боку місцевої </w:t>
      </w:r>
      <w:r w:rsidRPr="003D1BAE">
        <w:rPr>
          <w:rFonts w:ascii="Times New Roman" w:hAnsi="Times New Roman" w:cs="Times New Roman"/>
          <w:sz w:val="28"/>
          <w:szCs w:val="28"/>
        </w:rPr>
        <w:lastRenderedPageBreak/>
        <w:t xml:space="preserve">влади. </w:t>
      </w:r>
      <w:r w:rsidRPr="003D1BAE">
        <w:rPr>
          <w:rFonts w:ascii="Times New Roman" w:hAnsi="Times New Roman" w:cs="Times New Roman"/>
          <w:spacing w:val="-2"/>
          <w:sz w:val="28"/>
          <w:szCs w:val="28"/>
        </w:rPr>
        <w:t xml:space="preserve">У 2020 році через введення карантинних обмежень для стримування темпів поширення епідемії </w:t>
      </w:r>
      <w:r w:rsidRPr="003D1BAE">
        <w:rPr>
          <w:rFonts w:ascii="Times New Roman" w:hAnsi="Times New Roman" w:cs="Times New Roman"/>
          <w:spacing w:val="-2"/>
          <w:sz w:val="28"/>
          <w:szCs w:val="28"/>
          <w:lang w:val="en-US"/>
        </w:rPr>
        <w:t>COVID</w:t>
      </w:r>
      <w:r w:rsidRPr="003D1BAE">
        <w:rPr>
          <w:rFonts w:ascii="Times New Roman" w:hAnsi="Times New Roman" w:cs="Times New Roman"/>
          <w:spacing w:val="-2"/>
          <w:sz w:val="28"/>
          <w:szCs w:val="28"/>
        </w:rPr>
        <w:t xml:space="preserve">-19 спостерігалось гальмування економічної активності, зменшення масштабів діяльності майже у всіх галузях економіки. Це стало основною причиною зниження фіскальної віддачі бізнесу до селищного бюджету. Для фінансової підтримки бізнесу відповідно до </w:t>
      </w:r>
      <w:r w:rsidRPr="003D1BAE">
        <w:rPr>
          <w:rFonts w:ascii="Times New Roman" w:hAnsi="Times New Roman" w:cs="Times New Roman"/>
          <w:sz w:val="28"/>
          <w:szCs w:val="28"/>
          <w:lang w:eastAsia="uk-UA"/>
        </w:rPr>
        <w:t>Законів України «Про внесення змін до деяких законодавчих актів України, спрямованих на запобігання виникнення і поширення коронавірусної хвороби (</w:t>
      </w:r>
      <w:r w:rsidRPr="003D1BAE">
        <w:rPr>
          <w:rFonts w:ascii="Times New Roman" w:hAnsi="Times New Roman" w:cs="Times New Roman"/>
          <w:sz w:val="28"/>
          <w:szCs w:val="28"/>
          <w:lang w:val="en-US" w:eastAsia="uk-UA"/>
        </w:rPr>
        <w:t>COVID</w:t>
      </w:r>
      <w:r w:rsidRPr="003D1BAE">
        <w:rPr>
          <w:rFonts w:ascii="Times New Roman" w:hAnsi="Times New Roman" w:cs="Times New Roman"/>
          <w:sz w:val="28"/>
          <w:szCs w:val="28"/>
          <w:lang w:eastAsia="uk-UA"/>
        </w:rPr>
        <w:t>-19)» [59] та «Про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виникнення і поширення коронавірусної хвороби (</w:t>
      </w:r>
      <w:r w:rsidRPr="003D1BAE">
        <w:rPr>
          <w:rFonts w:ascii="Times New Roman" w:hAnsi="Times New Roman" w:cs="Times New Roman"/>
          <w:sz w:val="28"/>
          <w:szCs w:val="28"/>
          <w:lang w:val="en-US" w:eastAsia="uk-UA"/>
        </w:rPr>
        <w:t>COVID</w:t>
      </w:r>
      <w:r w:rsidRPr="003D1BAE">
        <w:rPr>
          <w:rFonts w:ascii="Times New Roman" w:hAnsi="Times New Roman" w:cs="Times New Roman"/>
          <w:sz w:val="28"/>
          <w:szCs w:val="28"/>
          <w:lang w:eastAsia="uk-UA"/>
        </w:rPr>
        <w:t xml:space="preserve">-19)» [61], було передбачено низку новацій, спрямованих на зниження рівня втрат від глобальної епідемії коронавірусу. Зокрема, органи місцевого самоврядування отримали право внесення змін до рішення про встановлення ставок місцевих податків та зборів у частині зниження ставок єдиного податку, а також право надання пільг для платників І-ІІ груп спрощеної системи. Крім цього, було підвищено ліміти річного доходу для перебування у певній групі платників єдиного податку: з 300 тис грн до 1 млн грн – для І групи; з 1,5 млн грн до 5 млн грн – для ІІ групи, з 5 млн грн до 7 млн грн – для ІІІ групи. Хоча Чемеровецька селищна рада не приймала рішень щодо тимчасового звільнення платників єдиного податку від виконання податкових зобов’язань, однак інші чинники об’єктивного і суб’єктивного характеру зумовили падіння надходжень від сплати цього податку у 2020 році. </w:t>
      </w:r>
    </w:p>
    <w:p w:rsidR="003D1BAE" w:rsidRPr="003D1BAE" w:rsidRDefault="003D1BAE" w:rsidP="003D1BAE">
      <w:pPr>
        <w:spacing w:after="0" w:line="360" w:lineRule="auto"/>
        <w:ind w:firstLine="709"/>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Поряд із якістю бюджетного планування, критеріями ефективності для </w:t>
      </w:r>
      <w:r w:rsidRPr="003D1BAE">
        <w:rPr>
          <w:rFonts w:ascii="Times New Roman" w:hAnsi="Times New Roman" w:cs="Times New Roman"/>
          <w:spacing w:val="-2"/>
          <w:sz w:val="28"/>
          <w:szCs w:val="28"/>
          <w:lang w:eastAsia="uk-UA"/>
        </w:rPr>
        <w:t xml:space="preserve">політики формування доходів бюджету є також забезпечення висхідної динаміки дохідної частини, поліпшення її структури. Якщо звернути увагу на показники формування доходів Чемеровецього селищного бюджету, то вони визначаються дією найбільш актуальних тенденцій суспільного розвитку останнього часу. Зокрема, у 2019 році спостерігалось значне прирощення сукупного обсягу доходів селищного бюджету, яке склало майже 1,4 рази, або 48,0 млн грн в абсолютному вимірі. Власні доходи без урахування міжбюджетних трансфертів </w:t>
      </w:r>
      <w:r w:rsidRPr="003D1BAE">
        <w:rPr>
          <w:rFonts w:ascii="Times New Roman" w:hAnsi="Times New Roman" w:cs="Times New Roman"/>
          <w:spacing w:val="-2"/>
          <w:sz w:val="28"/>
          <w:szCs w:val="28"/>
          <w:lang w:eastAsia="uk-UA"/>
        </w:rPr>
        <w:lastRenderedPageBreak/>
        <w:t>за підсумками 2019 року зросли на 45,6% і становили 94,3 млн грн (приріст за рік на 29,5 млн грн). Високі показники нарощування доходів були характерні для найбільших груп доходів селищного бюджету, зокрема для податкових доходів – в 1,4 рази (приріст 25,6 млн грн) та неподаткових надходжень – 1,8 рази (зростання майже на 4,0 млн грн). Незважаючи на 3-разове зменшення обсягу надходжень від операцій з капіталом, з огляду на їхні незначні суми, вони не справили помітного впливу на загальну ситуацію з виконанням селищного бюджету за доходами (табл. 2.3).</w:t>
      </w:r>
    </w:p>
    <w:p w:rsidR="003D1BAE" w:rsidRPr="003D1BAE" w:rsidRDefault="003D1BAE" w:rsidP="003D1BAE">
      <w:pPr>
        <w:tabs>
          <w:tab w:val="left" w:pos="708"/>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2.3</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Динаміка доходів Чемеровецького селищного бюджету</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у 2018-2020 рр., тис грн</w:t>
      </w:r>
    </w:p>
    <w:tbl>
      <w:tblPr>
        <w:tblW w:w="9643" w:type="dxa"/>
        <w:tblInd w:w="91" w:type="dxa"/>
        <w:tblLayout w:type="fixed"/>
        <w:tblLook w:val="04A0"/>
      </w:tblPr>
      <w:tblGrid>
        <w:gridCol w:w="2427"/>
        <w:gridCol w:w="1134"/>
        <w:gridCol w:w="1136"/>
        <w:gridCol w:w="1039"/>
        <w:gridCol w:w="977"/>
        <w:gridCol w:w="1015"/>
        <w:gridCol w:w="1077"/>
        <w:gridCol w:w="838"/>
      </w:tblGrid>
      <w:tr w:rsidR="003D1BAE" w:rsidRPr="003D1BAE" w:rsidTr="00CA15D4">
        <w:trPr>
          <w:trHeight w:val="268"/>
        </w:trPr>
        <w:tc>
          <w:tcPr>
            <w:tcW w:w="2427" w:type="dxa"/>
            <w:vMerge w:val="restart"/>
            <w:tcBorders>
              <w:top w:val="single" w:sz="8" w:space="0" w:color="auto"/>
              <w:left w:val="single" w:sz="8" w:space="0" w:color="auto"/>
              <w:right w:val="single" w:sz="8"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1134" w:type="dxa"/>
            <w:vMerge w:val="restart"/>
            <w:tcBorders>
              <w:top w:val="single" w:sz="8" w:space="0" w:color="auto"/>
              <w:left w:val="nil"/>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3152" w:type="dxa"/>
            <w:gridSpan w:val="3"/>
            <w:tcBorders>
              <w:top w:val="single" w:sz="8" w:space="0" w:color="auto"/>
              <w:left w:val="nil"/>
              <w:bottom w:val="single" w:sz="4" w:space="0" w:color="auto"/>
              <w:right w:val="single" w:sz="8"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930" w:type="dxa"/>
            <w:gridSpan w:val="3"/>
            <w:tcBorders>
              <w:top w:val="single" w:sz="8" w:space="0" w:color="auto"/>
              <w:left w:val="nil"/>
              <w:bottom w:val="single" w:sz="4" w:space="0" w:color="auto"/>
              <w:right w:val="single" w:sz="8"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236"/>
        </w:trPr>
        <w:tc>
          <w:tcPr>
            <w:tcW w:w="2427" w:type="dxa"/>
            <w:vMerge/>
            <w:tcBorders>
              <w:left w:val="single" w:sz="8" w:space="0" w:color="auto"/>
              <w:right w:val="single" w:sz="8"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134" w:type="dxa"/>
            <w:vMerge/>
            <w:tcBorders>
              <w:left w:val="nil"/>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136" w:type="dxa"/>
            <w:vMerge w:val="restart"/>
            <w:tcBorders>
              <w:top w:val="single" w:sz="4" w:space="0" w:color="auto"/>
              <w:left w:val="nil"/>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2016" w:type="dxa"/>
            <w:gridSpan w:val="2"/>
            <w:tcBorders>
              <w:top w:val="single" w:sz="4" w:space="0" w:color="auto"/>
              <w:left w:val="single" w:sz="4" w:space="0" w:color="auto"/>
              <w:bottom w:val="single" w:sz="4" w:space="0" w:color="auto"/>
              <w:right w:val="single" w:sz="8"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 до поп. року</w:t>
            </w:r>
          </w:p>
        </w:tc>
        <w:tc>
          <w:tcPr>
            <w:tcW w:w="1015" w:type="dxa"/>
            <w:vMerge w:val="restart"/>
            <w:tcBorders>
              <w:top w:val="single" w:sz="4" w:space="0" w:color="auto"/>
              <w:left w:val="nil"/>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915" w:type="dxa"/>
            <w:gridSpan w:val="2"/>
            <w:tcBorders>
              <w:top w:val="single" w:sz="4" w:space="0" w:color="auto"/>
              <w:left w:val="single" w:sz="4" w:space="0" w:color="auto"/>
              <w:bottom w:val="single" w:sz="4" w:space="0" w:color="auto"/>
              <w:right w:val="single" w:sz="8"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 до поп. року</w:t>
            </w:r>
          </w:p>
        </w:tc>
      </w:tr>
      <w:tr w:rsidR="003D1BAE" w:rsidRPr="003D1BAE" w:rsidTr="00CA15D4">
        <w:trPr>
          <w:trHeight w:val="294"/>
        </w:trPr>
        <w:tc>
          <w:tcPr>
            <w:tcW w:w="2427" w:type="dxa"/>
            <w:vMerge/>
            <w:tcBorders>
              <w:left w:val="single" w:sz="8" w:space="0" w:color="auto"/>
              <w:bottom w:val="single" w:sz="8" w:space="0" w:color="auto"/>
              <w:right w:val="single" w:sz="8"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134" w:type="dxa"/>
            <w:vMerge/>
            <w:tcBorders>
              <w:left w:val="nil"/>
              <w:bottom w:val="single" w:sz="8" w:space="0" w:color="auto"/>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136" w:type="dxa"/>
            <w:vMerge/>
            <w:tcBorders>
              <w:left w:val="nil"/>
              <w:bottom w:val="single" w:sz="8" w:space="0" w:color="auto"/>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39" w:type="dxa"/>
            <w:tcBorders>
              <w:top w:val="single" w:sz="4" w:space="0" w:color="auto"/>
              <w:left w:val="single" w:sz="4" w:space="0" w:color="auto"/>
              <w:bottom w:val="single" w:sz="8" w:space="0" w:color="auto"/>
              <w:right w:val="single" w:sz="4"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977" w:type="dxa"/>
            <w:tcBorders>
              <w:top w:val="single" w:sz="4" w:space="0" w:color="auto"/>
              <w:left w:val="single" w:sz="4" w:space="0" w:color="auto"/>
              <w:bottom w:val="single" w:sz="8" w:space="0" w:color="auto"/>
              <w:right w:val="single" w:sz="8"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1015" w:type="dxa"/>
            <w:vMerge/>
            <w:tcBorders>
              <w:left w:val="nil"/>
              <w:bottom w:val="single" w:sz="8" w:space="0" w:color="auto"/>
              <w:right w:val="single" w:sz="4" w:space="0" w:color="auto"/>
            </w:tcBorders>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77" w:type="dxa"/>
            <w:tcBorders>
              <w:top w:val="single" w:sz="4" w:space="0" w:color="auto"/>
              <w:left w:val="single" w:sz="4" w:space="0" w:color="auto"/>
              <w:bottom w:val="single" w:sz="8" w:space="0" w:color="auto"/>
              <w:right w:val="single" w:sz="4"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838" w:type="dxa"/>
            <w:tcBorders>
              <w:top w:val="single" w:sz="4" w:space="0" w:color="auto"/>
              <w:left w:val="single" w:sz="4" w:space="0" w:color="auto"/>
              <w:bottom w:val="single" w:sz="8" w:space="0" w:color="auto"/>
              <w:right w:val="single" w:sz="8" w:space="0" w:color="auto"/>
            </w:tcBorders>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295"/>
        </w:trPr>
        <w:tc>
          <w:tcPr>
            <w:tcW w:w="2427" w:type="dxa"/>
            <w:tcBorders>
              <w:left w:val="single" w:sz="8" w:space="0" w:color="auto"/>
              <w:bottom w:val="single" w:sz="8" w:space="0" w:color="auto"/>
              <w:right w:val="single" w:sz="8" w:space="0" w:color="auto"/>
            </w:tcBorders>
            <w:shd w:val="clear" w:color="auto" w:fill="auto"/>
            <w:vAlign w:val="center"/>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Доходи всього, в т.ч.:</w:t>
            </w:r>
          </w:p>
        </w:tc>
        <w:tc>
          <w:tcPr>
            <w:tcW w:w="1134"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125597,5</w:t>
            </w:r>
          </w:p>
        </w:tc>
        <w:tc>
          <w:tcPr>
            <w:tcW w:w="1136"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173631,4</w:t>
            </w:r>
          </w:p>
        </w:tc>
        <w:tc>
          <w:tcPr>
            <w:tcW w:w="1039" w:type="dxa"/>
            <w:tcBorders>
              <w:top w:val="single" w:sz="4"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48033,9</w:t>
            </w:r>
          </w:p>
        </w:tc>
        <w:tc>
          <w:tcPr>
            <w:tcW w:w="977" w:type="dxa"/>
            <w:tcBorders>
              <w:top w:val="single" w:sz="4"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138,2</w:t>
            </w:r>
          </w:p>
        </w:tc>
        <w:tc>
          <w:tcPr>
            <w:tcW w:w="1015"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155001,8</w:t>
            </w:r>
          </w:p>
        </w:tc>
        <w:tc>
          <w:tcPr>
            <w:tcW w:w="1077" w:type="dxa"/>
            <w:tcBorders>
              <w:top w:val="single" w:sz="4"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-18629,6</w:t>
            </w:r>
          </w:p>
        </w:tc>
        <w:tc>
          <w:tcPr>
            <w:tcW w:w="838" w:type="dxa"/>
            <w:tcBorders>
              <w:top w:val="single" w:sz="4"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89,3</w:t>
            </w:r>
          </w:p>
        </w:tc>
      </w:tr>
      <w:tr w:rsidR="003D1BAE" w:rsidRPr="003D1BAE" w:rsidTr="00CA15D4">
        <w:trPr>
          <w:trHeight w:val="252"/>
        </w:trPr>
        <w:tc>
          <w:tcPr>
            <w:tcW w:w="2427" w:type="dxa"/>
            <w:tcBorders>
              <w:left w:val="single" w:sz="8" w:space="0" w:color="auto"/>
              <w:bottom w:val="single" w:sz="8" w:space="0" w:color="auto"/>
              <w:right w:val="single" w:sz="8" w:space="0" w:color="auto"/>
            </w:tcBorders>
            <w:shd w:val="clear" w:color="auto" w:fill="auto"/>
            <w:vAlign w:val="center"/>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Доходи без урахування трансфертів, в т.ч.:</w:t>
            </w:r>
          </w:p>
        </w:tc>
        <w:tc>
          <w:tcPr>
            <w:tcW w:w="1134"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64798,4</w:t>
            </w:r>
          </w:p>
        </w:tc>
        <w:tc>
          <w:tcPr>
            <w:tcW w:w="1136"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94314,6</w:t>
            </w:r>
          </w:p>
        </w:tc>
        <w:tc>
          <w:tcPr>
            <w:tcW w:w="1039" w:type="dxa"/>
            <w:tcBorders>
              <w:top w:val="single" w:sz="4"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29516,2</w:t>
            </w:r>
          </w:p>
        </w:tc>
        <w:tc>
          <w:tcPr>
            <w:tcW w:w="977" w:type="dxa"/>
            <w:tcBorders>
              <w:top w:val="single" w:sz="4"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145,6</w:t>
            </w:r>
          </w:p>
        </w:tc>
        <w:tc>
          <w:tcPr>
            <w:tcW w:w="1015" w:type="dxa"/>
            <w:tcBorders>
              <w:top w:val="single" w:sz="4"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95871,0</w:t>
            </w:r>
          </w:p>
        </w:tc>
        <w:tc>
          <w:tcPr>
            <w:tcW w:w="1077" w:type="dxa"/>
            <w:tcBorders>
              <w:top w:val="single" w:sz="4"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1556,4</w:t>
            </w:r>
          </w:p>
        </w:tc>
        <w:tc>
          <w:tcPr>
            <w:tcW w:w="838" w:type="dxa"/>
            <w:tcBorders>
              <w:top w:val="single" w:sz="4"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101,7</w:t>
            </w:r>
          </w:p>
        </w:tc>
      </w:tr>
      <w:tr w:rsidR="003D1BAE" w:rsidRPr="003D1BAE" w:rsidTr="00CA15D4">
        <w:trPr>
          <w:trHeight w:val="122"/>
        </w:trPr>
        <w:tc>
          <w:tcPr>
            <w:tcW w:w="2427" w:type="dxa"/>
            <w:tcBorders>
              <w:top w:val="single" w:sz="8" w:space="0" w:color="auto"/>
              <w:left w:val="single" w:sz="8" w:space="0" w:color="auto"/>
              <w:bottom w:val="single" w:sz="8" w:space="0" w:color="auto"/>
              <w:right w:val="single" w:sz="8" w:space="0" w:color="auto"/>
            </w:tcBorders>
            <w:shd w:val="clear" w:color="auto" w:fill="auto"/>
            <w:hideMark/>
          </w:tcPr>
          <w:p w:rsidR="003D1BAE" w:rsidRPr="003D1BAE" w:rsidRDefault="003D1BAE" w:rsidP="003D1BAE">
            <w:pPr>
              <w:spacing w:after="0" w:line="240" w:lineRule="auto"/>
              <w:ind w:left="335"/>
              <w:rPr>
                <w:rFonts w:ascii="Times New Roman" w:hAnsi="Times New Roman" w:cs="Times New Roman"/>
                <w:i/>
                <w:color w:val="000000"/>
                <w:sz w:val="20"/>
                <w:szCs w:val="20"/>
                <w:lang w:eastAsia="uk-UA"/>
              </w:rPr>
            </w:pPr>
            <w:r w:rsidRPr="003D1BAE">
              <w:rPr>
                <w:rFonts w:ascii="Times New Roman" w:hAnsi="Times New Roman" w:cs="Times New Roman"/>
                <w:i/>
                <w:color w:val="000000"/>
                <w:sz w:val="20"/>
                <w:szCs w:val="20"/>
                <w:lang w:eastAsia="uk-UA"/>
              </w:rPr>
              <w:t>Податкові надходження</w:t>
            </w:r>
          </w:p>
        </w:tc>
        <w:tc>
          <w:tcPr>
            <w:tcW w:w="1134" w:type="dxa"/>
            <w:tcBorders>
              <w:top w:val="single" w:sz="8"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59749,9</w:t>
            </w:r>
          </w:p>
        </w:tc>
        <w:tc>
          <w:tcPr>
            <w:tcW w:w="1136" w:type="dxa"/>
            <w:tcBorders>
              <w:top w:val="single" w:sz="8"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85389,7</w:t>
            </w:r>
          </w:p>
        </w:tc>
        <w:tc>
          <w:tcPr>
            <w:tcW w:w="1039" w:type="dxa"/>
            <w:tcBorders>
              <w:top w:val="single" w:sz="8"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25639,8</w:t>
            </w:r>
          </w:p>
        </w:tc>
        <w:tc>
          <w:tcPr>
            <w:tcW w:w="977" w:type="dxa"/>
            <w:tcBorders>
              <w:top w:val="single" w:sz="8"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142,9</w:t>
            </w:r>
          </w:p>
        </w:tc>
        <w:tc>
          <w:tcPr>
            <w:tcW w:w="1015" w:type="dxa"/>
            <w:tcBorders>
              <w:top w:val="single" w:sz="8" w:space="0" w:color="auto"/>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89243,7</w:t>
            </w:r>
          </w:p>
        </w:tc>
        <w:tc>
          <w:tcPr>
            <w:tcW w:w="1077" w:type="dxa"/>
            <w:tcBorders>
              <w:top w:val="single" w:sz="8" w:space="0" w:color="auto"/>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3854,0</w:t>
            </w:r>
          </w:p>
        </w:tc>
        <w:tc>
          <w:tcPr>
            <w:tcW w:w="838" w:type="dxa"/>
            <w:tcBorders>
              <w:top w:val="single" w:sz="8" w:space="0" w:color="auto"/>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104,5</w:t>
            </w:r>
          </w:p>
        </w:tc>
      </w:tr>
      <w:tr w:rsidR="003D1BAE" w:rsidRPr="003D1BAE" w:rsidTr="00CA15D4">
        <w:trPr>
          <w:trHeight w:val="67"/>
        </w:trPr>
        <w:tc>
          <w:tcPr>
            <w:tcW w:w="2427" w:type="dxa"/>
            <w:tcBorders>
              <w:top w:val="nil"/>
              <w:left w:val="single" w:sz="8" w:space="0" w:color="auto"/>
              <w:bottom w:val="single" w:sz="8" w:space="0" w:color="auto"/>
              <w:right w:val="single" w:sz="8" w:space="0" w:color="auto"/>
            </w:tcBorders>
            <w:shd w:val="clear" w:color="auto" w:fill="auto"/>
            <w:hideMark/>
          </w:tcPr>
          <w:p w:rsidR="003D1BAE" w:rsidRPr="003D1BAE" w:rsidRDefault="003D1BAE" w:rsidP="003D1BAE">
            <w:pPr>
              <w:spacing w:after="0" w:line="240" w:lineRule="auto"/>
              <w:ind w:left="335"/>
              <w:rPr>
                <w:rFonts w:ascii="Times New Roman" w:hAnsi="Times New Roman" w:cs="Times New Roman"/>
                <w:i/>
                <w:color w:val="000000"/>
                <w:sz w:val="20"/>
                <w:szCs w:val="20"/>
                <w:lang w:eastAsia="uk-UA"/>
              </w:rPr>
            </w:pPr>
            <w:r w:rsidRPr="003D1BAE">
              <w:rPr>
                <w:rFonts w:ascii="Times New Roman" w:hAnsi="Times New Roman" w:cs="Times New Roman"/>
                <w:i/>
                <w:color w:val="000000"/>
                <w:sz w:val="20"/>
                <w:szCs w:val="20"/>
                <w:lang w:eastAsia="uk-UA"/>
              </w:rPr>
              <w:t>Неподаткові надходження</w:t>
            </w:r>
          </w:p>
        </w:tc>
        <w:tc>
          <w:tcPr>
            <w:tcW w:w="1134" w:type="dxa"/>
            <w:tcBorders>
              <w:top w:val="nil"/>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4898,5</w:t>
            </w:r>
          </w:p>
        </w:tc>
        <w:tc>
          <w:tcPr>
            <w:tcW w:w="1136" w:type="dxa"/>
            <w:tcBorders>
              <w:top w:val="nil"/>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8871,8</w:t>
            </w:r>
          </w:p>
        </w:tc>
        <w:tc>
          <w:tcPr>
            <w:tcW w:w="1039" w:type="dxa"/>
            <w:tcBorders>
              <w:top w:val="nil"/>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3973,3</w:t>
            </w:r>
          </w:p>
        </w:tc>
        <w:tc>
          <w:tcPr>
            <w:tcW w:w="977" w:type="dxa"/>
            <w:tcBorders>
              <w:top w:val="nil"/>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181,1</w:t>
            </w:r>
          </w:p>
        </w:tc>
        <w:tc>
          <w:tcPr>
            <w:tcW w:w="1015" w:type="dxa"/>
            <w:tcBorders>
              <w:top w:val="nil"/>
              <w:left w:val="nil"/>
              <w:bottom w:val="single" w:sz="8"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6549,0</w:t>
            </w:r>
          </w:p>
        </w:tc>
        <w:tc>
          <w:tcPr>
            <w:tcW w:w="1077" w:type="dxa"/>
            <w:tcBorders>
              <w:top w:val="nil"/>
              <w:left w:val="single" w:sz="4" w:space="0" w:color="auto"/>
              <w:bottom w:val="single" w:sz="8"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-2322,8</w:t>
            </w:r>
          </w:p>
        </w:tc>
        <w:tc>
          <w:tcPr>
            <w:tcW w:w="838" w:type="dxa"/>
            <w:tcBorders>
              <w:top w:val="nil"/>
              <w:left w:val="single" w:sz="4" w:space="0" w:color="auto"/>
              <w:bottom w:val="single" w:sz="8"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73,8</w:t>
            </w:r>
          </w:p>
        </w:tc>
      </w:tr>
      <w:tr w:rsidR="003D1BAE" w:rsidRPr="003D1BAE" w:rsidTr="00CA15D4">
        <w:trPr>
          <w:trHeight w:val="67"/>
        </w:trPr>
        <w:tc>
          <w:tcPr>
            <w:tcW w:w="2427" w:type="dxa"/>
            <w:tcBorders>
              <w:top w:val="nil"/>
              <w:left w:val="single" w:sz="8" w:space="0" w:color="auto"/>
              <w:bottom w:val="single" w:sz="4" w:space="0" w:color="auto"/>
              <w:right w:val="single" w:sz="8" w:space="0" w:color="auto"/>
            </w:tcBorders>
            <w:shd w:val="clear" w:color="auto" w:fill="auto"/>
            <w:hideMark/>
          </w:tcPr>
          <w:p w:rsidR="003D1BAE" w:rsidRPr="003D1BAE" w:rsidRDefault="003D1BAE" w:rsidP="003D1BAE">
            <w:pPr>
              <w:spacing w:after="0" w:line="240" w:lineRule="auto"/>
              <w:ind w:left="335"/>
              <w:rPr>
                <w:rFonts w:ascii="Times New Roman" w:hAnsi="Times New Roman" w:cs="Times New Roman"/>
                <w:i/>
                <w:color w:val="000000"/>
                <w:sz w:val="20"/>
                <w:szCs w:val="20"/>
                <w:lang w:eastAsia="uk-UA"/>
              </w:rPr>
            </w:pPr>
            <w:r w:rsidRPr="003D1BAE">
              <w:rPr>
                <w:rFonts w:ascii="Times New Roman" w:hAnsi="Times New Roman" w:cs="Times New Roman"/>
                <w:i/>
                <w:color w:val="000000"/>
                <w:sz w:val="20"/>
                <w:szCs w:val="20"/>
                <w:lang w:eastAsia="uk-UA"/>
              </w:rPr>
              <w:t>Доходи від операцій з капіталом</w:t>
            </w:r>
          </w:p>
        </w:tc>
        <w:tc>
          <w:tcPr>
            <w:tcW w:w="1134" w:type="dxa"/>
            <w:tcBorders>
              <w:top w:val="nil"/>
              <w:left w:val="nil"/>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150,0</w:t>
            </w:r>
          </w:p>
        </w:tc>
        <w:tc>
          <w:tcPr>
            <w:tcW w:w="1136" w:type="dxa"/>
            <w:tcBorders>
              <w:top w:val="nil"/>
              <w:left w:val="nil"/>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53,0</w:t>
            </w:r>
          </w:p>
        </w:tc>
        <w:tc>
          <w:tcPr>
            <w:tcW w:w="1039" w:type="dxa"/>
            <w:tcBorders>
              <w:top w:val="nil"/>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-97,0</w:t>
            </w:r>
          </w:p>
        </w:tc>
        <w:tc>
          <w:tcPr>
            <w:tcW w:w="977" w:type="dxa"/>
            <w:tcBorders>
              <w:top w:val="nil"/>
              <w:left w:val="single" w:sz="4" w:space="0" w:color="auto"/>
              <w:bottom w:val="single" w:sz="4"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35,3</w:t>
            </w:r>
          </w:p>
        </w:tc>
        <w:tc>
          <w:tcPr>
            <w:tcW w:w="1015" w:type="dxa"/>
            <w:tcBorders>
              <w:top w:val="nil"/>
              <w:left w:val="nil"/>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78,3</w:t>
            </w:r>
          </w:p>
        </w:tc>
        <w:tc>
          <w:tcPr>
            <w:tcW w:w="1077" w:type="dxa"/>
            <w:tcBorders>
              <w:top w:val="nil"/>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25,3</w:t>
            </w:r>
          </w:p>
        </w:tc>
        <w:tc>
          <w:tcPr>
            <w:tcW w:w="838" w:type="dxa"/>
            <w:tcBorders>
              <w:top w:val="nil"/>
              <w:left w:val="single" w:sz="4" w:space="0" w:color="auto"/>
              <w:bottom w:val="single" w:sz="4" w:space="0" w:color="auto"/>
              <w:right w:val="single" w:sz="8"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Cs/>
                <w:color w:val="000000"/>
                <w:sz w:val="21"/>
                <w:szCs w:val="21"/>
                <w:lang w:eastAsia="uk-UA"/>
              </w:rPr>
            </w:pPr>
            <w:r w:rsidRPr="003D1BAE">
              <w:rPr>
                <w:rFonts w:ascii="Times New Roman" w:hAnsi="Times New Roman" w:cs="Times New Roman"/>
                <w:bCs/>
                <w:color w:val="000000"/>
                <w:sz w:val="21"/>
                <w:szCs w:val="21"/>
                <w:lang w:eastAsia="uk-UA"/>
              </w:rPr>
              <w:t>147,7</w:t>
            </w:r>
          </w:p>
        </w:tc>
      </w:tr>
      <w:tr w:rsidR="003D1BAE" w:rsidRPr="003D1BAE" w:rsidTr="00CA15D4">
        <w:trPr>
          <w:trHeight w:val="67"/>
        </w:trPr>
        <w:tc>
          <w:tcPr>
            <w:tcW w:w="2427" w:type="dxa"/>
            <w:tcBorders>
              <w:top w:val="single" w:sz="4" w:space="0" w:color="auto"/>
              <w:left w:val="single" w:sz="4" w:space="0" w:color="auto"/>
              <w:bottom w:val="single" w:sz="4" w:space="0" w:color="auto"/>
              <w:right w:val="single" w:sz="4" w:space="0" w:color="auto"/>
            </w:tcBorders>
            <w:shd w:val="clear" w:color="auto" w:fill="auto"/>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Офіційні трансферти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60799,1</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79316,8</w:t>
            </w:r>
          </w:p>
        </w:tc>
        <w:tc>
          <w:tcPr>
            <w:tcW w:w="1039" w:type="dxa"/>
            <w:tcBorders>
              <w:top w:val="single" w:sz="4" w:space="0" w:color="auto"/>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18517,7</w:t>
            </w:r>
          </w:p>
        </w:tc>
        <w:tc>
          <w:tcPr>
            <w:tcW w:w="977" w:type="dxa"/>
            <w:tcBorders>
              <w:top w:val="single" w:sz="4" w:space="0" w:color="auto"/>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130,5</w:t>
            </w:r>
          </w:p>
        </w:tc>
        <w:tc>
          <w:tcPr>
            <w:tcW w:w="101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59130,8</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-20186,0</w:t>
            </w:r>
          </w:p>
        </w:tc>
        <w:tc>
          <w:tcPr>
            <w:tcW w:w="838" w:type="dxa"/>
            <w:tcBorders>
              <w:top w:val="single" w:sz="4" w:space="0" w:color="auto"/>
              <w:left w:val="single" w:sz="4" w:space="0" w:color="auto"/>
              <w:bottom w:val="single" w:sz="4" w:space="0" w:color="auto"/>
              <w:right w:val="single" w:sz="4" w:space="0" w:color="auto"/>
            </w:tcBorders>
            <w:shd w:val="clear" w:color="auto" w:fill="auto"/>
            <w:vAlign w:val="bottom"/>
          </w:tcPr>
          <w:p w:rsidR="003D1BAE" w:rsidRPr="003D1BAE" w:rsidRDefault="003D1BAE" w:rsidP="003D1BAE">
            <w:pPr>
              <w:spacing w:after="0" w:line="240" w:lineRule="auto"/>
              <w:jc w:val="right"/>
              <w:rPr>
                <w:rFonts w:ascii="Times New Roman" w:hAnsi="Times New Roman" w:cs="Times New Roman"/>
                <w:b/>
                <w:bCs/>
                <w:color w:val="000000"/>
                <w:sz w:val="21"/>
                <w:szCs w:val="21"/>
                <w:lang w:eastAsia="uk-UA"/>
              </w:rPr>
            </w:pPr>
            <w:r w:rsidRPr="003D1BAE">
              <w:rPr>
                <w:rFonts w:ascii="Times New Roman" w:hAnsi="Times New Roman" w:cs="Times New Roman"/>
                <w:b/>
                <w:bCs/>
                <w:color w:val="000000"/>
                <w:sz w:val="21"/>
                <w:szCs w:val="21"/>
                <w:lang w:eastAsia="uk-UA"/>
              </w:rPr>
              <w:t>74,6</w:t>
            </w:r>
          </w:p>
        </w:tc>
      </w:tr>
      <w:tr w:rsidR="003D1BAE" w:rsidRPr="003D1BAE" w:rsidTr="00CA15D4">
        <w:trPr>
          <w:trHeight w:val="67"/>
        </w:trPr>
        <w:tc>
          <w:tcPr>
            <w:tcW w:w="2427" w:type="dxa"/>
            <w:tcBorders>
              <w:top w:val="single" w:sz="4" w:space="0" w:color="auto"/>
              <w:left w:val="single" w:sz="4" w:space="0" w:color="auto"/>
              <w:bottom w:val="single" w:sz="4" w:space="0" w:color="auto"/>
              <w:right w:val="single" w:sz="4" w:space="0" w:color="auto"/>
            </w:tcBorders>
            <w:shd w:val="clear" w:color="auto" w:fill="auto"/>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Чисельність населення громади, осіб</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23245</w:t>
            </w:r>
          </w:p>
        </w:tc>
        <w:tc>
          <w:tcPr>
            <w:tcW w:w="3152"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23178</w:t>
            </w:r>
          </w:p>
        </w:tc>
        <w:tc>
          <w:tcPr>
            <w:tcW w:w="2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23051</w:t>
            </w:r>
          </w:p>
        </w:tc>
      </w:tr>
      <w:tr w:rsidR="003D1BAE" w:rsidRPr="003D1BAE" w:rsidTr="00CA15D4">
        <w:trPr>
          <w:trHeight w:val="67"/>
        </w:trPr>
        <w:tc>
          <w:tcPr>
            <w:tcW w:w="2427" w:type="dxa"/>
            <w:tcBorders>
              <w:top w:val="single" w:sz="4" w:space="0" w:color="auto"/>
              <w:left w:val="single" w:sz="4" w:space="0" w:color="auto"/>
              <w:bottom w:val="single" w:sz="4" w:space="0" w:color="auto"/>
              <w:right w:val="single" w:sz="4" w:space="0" w:color="auto"/>
            </w:tcBorders>
            <w:shd w:val="clear" w:color="auto" w:fill="auto"/>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Доходи в розрахунку на 1 особу, тис грн/рік</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5,4</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7,5</w:t>
            </w:r>
          </w:p>
        </w:tc>
        <w:tc>
          <w:tcPr>
            <w:tcW w:w="1039" w:type="dxa"/>
            <w:tcBorders>
              <w:top w:val="single" w:sz="4" w:space="0" w:color="auto"/>
              <w:left w:val="single" w:sz="4" w:space="0" w:color="auto"/>
              <w:bottom w:val="single" w:sz="4" w:space="0" w:color="auto"/>
              <w:right w:val="single" w:sz="4" w:space="0" w:color="auto"/>
            </w:tcBorders>
            <w:shd w:val="clear" w:color="auto" w:fill="auto"/>
            <w:vAlign w:val="center"/>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2,1</w:t>
            </w:r>
          </w:p>
        </w:tc>
        <w:tc>
          <w:tcPr>
            <w:tcW w:w="977" w:type="dxa"/>
            <w:tcBorders>
              <w:top w:val="single" w:sz="4" w:space="0" w:color="auto"/>
              <w:left w:val="single" w:sz="4" w:space="0" w:color="auto"/>
              <w:bottom w:val="single" w:sz="4" w:space="0" w:color="auto"/>
              <w:right w:val="single" w:sz="4" w:space="0" w:color="auto"/>
            </w:tcBorders>
            <w:shd w:val="clear" w:color="auto" w:fill="auto"/>
            <w:vAlign w:val="center"/>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138,9</w:t>
            </w:r>
          </w:p>
        </w:tc>
        <w:tc>
          <w:tcPr>
            <w:tcW w:w="10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6,7</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-0,8</w:t>
            </w:r>
          </w:p>
        </w:tc>
        <w:tc>
          <w:tcPr>
            <w:tcW w:w="838" w:type="dxa"/>
            <w:tcBorders>
              <w:top w:val="single" w:sz="4" w:space="0" w:color="auto"/>
              <w:left w:val="single" w:sz="4" w:space="0" w:color="auto"/>
              <w:bottom w:val="single" w:sz="4" w:space="0" w:color="auto"/>
              <w:right w:val="single" w:sz="4" w:space="0" w:color="auto"/>
            </w:tcBorders>
            <w:shd w:val="clear" w:color="auto" w:fill="auto"/>
            <w:vAlign w:val="center"/>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89,3</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Особливістю виконання селищного бюджету за доходами у 2020 році було поєднання двох протилежних тенденцій – на фоні зменшення загального обсягу доходів відбувалось нарощування власних дохідних джерел. Основний внесок у загальне падіння доходів селищного бюджету зросло зменшення міжбюджетних трансфертів на 20,2 млн грн, або на чверть. Це пояснюється призупиненням реалізації низки інвестиційних програм та програм в рамках реформи децентралізації в умовах погіршення епідемічної ситуації в країні, введення карантинних обмежень та зростання дефіциту державного бюджету. </w:t>
      </w:r>
      <w:r w:rsidRPr="003D1BAE">
        <w:rPr>
          <w:rFonts w:ascii="Times New Roman" w:hAnsi="Times New Roman" w:cs="Times New Roman"/>
          <w:sz w:val="28"/>
          <w:szCs w:val="28"/>
        </w:rPr>
        <w:lastRenderedPageBreak/>
        <w:t xml:space="preserve">Проте, власні доходи бюджету Чемеровецької громади продовжили зростати, що свідчить про ефективність обраної траєкторії її розвитку. За підсумками року власні доходи селищного бюджету склали 95,9 млн грн, або на 1,7% більше від показника 2019 року. Суттєве невиконання індикативних показників неподаткових надходжень спричинене зменшенням надання адміністративних послуг, платежів за забруднення навколишнього середовища було перекрите зростанням фіскальної віддачі від податків та зборів. Однак, через втрату трансфертних доходів, їх подушний обсяг в розрахунку на одного мешканця громади у 2020 році зменшився. </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Різновекторна зміна надходжень бюджету за різними групами джерел призвела до підвищення рівня фінансової незалежності селищного бюджету за окреслений період. Якщо у 2018 році питома вага власних та прирівняних доходів у загальній структурі доходів бюджету становила 51,6%, то у 2019 році – 54,3%, у 2020 році – уже 61,9%. Таким чином, на теперішній час за рахунок трансфертів громада формує менше 40% своїх доходів, тоді як у 2018 році цей показник становив майже половину.</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b/>
          <w:sz w:val="28"/>
          <w:szCs w:val="28"/>
        </w:rPr>
      </w:pPr>
      <w:r w:rsidRPr="003D1BAE">
        <w:rPr>
          <w:rFonts w:ascii="Times New Roman" w:hAnsi="Times New Roman" w:cs="Times New Roman"/>
          <w:b/>
          <w:sz w:val="28"/>
          <w:szCs w:val="28"/>
        </w:rPr>
        <w:t>2.2. Практика реалізації бюджетної політики органу місцевої влади у сфері видатків бюджету</w:t>
      </w: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lang w:eastAsia="uk-UA"/>
        </w:rPr>
        <w:t xml:space="preserve">Формування доходів місцевого бюджету на будь-якому рівні публічного управління не є самоціллю владних інституцій, оскільки акумульовані таким чином бюджетні кошти є джерелом фінансування важливих для суспільства благ. Через видатки бюджету задовольняються колективні потреби населення, а органи влади можуть відігравати у цьому процесі роль як організатора, так і безпосередньо надавача послуг. Держава як політичний інститут зобов’язана створити умови для задоволення цих потреб, а масштаби її участі визначаються через процедури суспільного вибору. </w:t>
      </w: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lang w:eastAsia="uk-UA"/>
        </w:rPr>
        <w:lastRenderedPageBreak/>
        <w:t>Об’єктивність видатків бюджету пояснюється тим, що вони пов’язані із реалізацією держави своїх функцій. Згідно з видатковою концепцією бюджету, видатки бюджету первинні. Оцінюючи обсяг необхідних видатків на належне виконання покладених на державу зобов’язань, можна оцінити обсяг необхідних бюджетних ресурсів, які потрібно акумулювати у бюджеті для їх повноцінного покриття. З іншого боку, оцінюючи динаміку та структуру видатків бюджету у розрізі їхніх напрямів можна зробити висновок про обрані пріоритети розвитку, ефективність використання бюджетних коштів та загалом рівень організації бюджетної політики. Зважаючи на це, в основу бюджетної політики у сфері видатків мають бути покладені науково обґрунтовані підходи до впорядкування функціональних обов’язків кожного рівня публічного управління.</w:t>
      </w: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lang w:eastAsia="uk-UA"/>
        </w:rPr>
        <w:t xml:space="preserve">Важливим досягненням сучасної економічної політики є перехід з 2017 року до програмно-цільового методу функціонування бюджету, який передбачає планування й виконання його відповідно до бюджетних програм. Ці програми мають тісно кореспондуватись із стратегічними документами розвитку громад та програмами розвитку окремих галузей економіки. Використання програмно-цільового методу забезпечує високий рівень відкритості бюджетної політики для громадськості, відповідальність органів, які виступають розпорядниками коштів бюджету, за їх цільове та ефективне використання. У бюджетні, складеному у розрізі бюджетних програм, можливо забезпечити концентрацію бюджетних ресурсів на найважливіших напрямах, визначених стратегічними документами розвитку територіальних громад – Стратегії розвитку та Програмах соціально-економічного та культурного розвитку (затверджуються щорічно, або раз на 2-3 роки). Відтак, Бюджетна політика органів місцевої влади у царині видатків бюджету полягає у забезпеченні їхнього планування з урахуванням пріоритетів розвитку громади, а також організації належного виконання бюджету за видатками з дотримання критерію максимізації його ефективності. Індикаторами ефективності бюджетної політики у сфері видатків місцевого бюджету є рівень їх розбіжності при порівнянні початкового та уточненого плану (свідчить про якість планування), а також показники загальної ефективності використання </w:t>
      </w:r>
      <w:r w:rsidRPr="003D1BAE">
        <w:rPr>
          <w:rFonts w:ascii="Times New Roman" w:hAnsi="Times New Roman" w:cs="Times New Roman"/>
          <w:spacing w:val="-2"/>
          <w:sz w:val="28"/>
          <w:szCs w:val="28"/>
          <w:lang w:eastAsia="uk-UA"/>
        </w:rPr>
        <w:lastRenderedPageBreak/>
        <w:t xml:space="preserve">бюджетних коштів у відповідності із пріоритетами соціально-економічного розвитку, послідовності фінансування найважливіших суспільних послуг. </w:t>
      </w: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lang w:eastAsia="uk-UA"/>
        </w:rPr>
        <w:t xml:space="preserve">Звертаючи увагу на організацію планування видатків бюджету, необхідно визнати, що вона визначається не тільки рівнем кваліфікації працівників чи наявністю об’єктивних методик розрахунку показників, але й специфікою вітчизняної бюджетної практики міжбюджетних відносин. Як свідчить досвід, нерідко обсяги міжбюджетних трансфертів, які надходять до місцевих бюджетів недостатні для належного фінансування делегованих повноважень, через що органи місцевого самоврядування змушені направляти на їх покриття власні ресурси. Причиною цього, на думку фахівців, є недосконалість методики для розрахунку міжбюджетних трансфертів, яка вибірково враховує чинники, що визначають потребу у фінансуванні суспільних послуг. Внаслідок дефіциту бюджетних коштів органи місцевої влади змушені вживати заходів щодо звуження мережі закладів, які надають суспільні послуги, скорочення кількості працюючих в освіті, культурі, медичних установах, що негативно впливає на показники доступності та якості відповідних послуг. Додатковим чинником, який спричиняє необхідність перегляду бюджету за видатками є недоліки в організації розподілу інвестиційних субвенцій. </w:t>
      </w:r>
    </w:p>
    <w:p w:rsidR="003D1BAE" w:rsidRPr="003D1BAE" w:rsidRDefault="003D1BAE" w:rsidP="003D1BAE">
      <w:pPr>
        <w:tabs>
          <w:tab w:val="left" w:pos="993"/>
        </w:tabs>
        <w:spacing w:after="0" w:line="360" w:lineRule="auto"/>
        <w:ind w:firstLine="709"/>
        <w:jc w:val="both"/>
        <w:rPr>
          <w:rFonts w:ascii="Times New Roman" w:hAnsi="Times New Roman" w:cs="Times New Roman"/>
          <w:spacing w:val="-2"/>
          <w:sz w:val="28"/>
          <w:szCs w:val="28"/>
          <w:lang w:eastAsia="uk-UA"/>
        </w:rPr>
      </w:pPr>
      <w:r w:rsidRPr="003D1BAE">
        <w:rPr>
          <w:rFonts w:ascii="Times New Roman" w:hAnsi="Times New Roman" w:cs="Times New Roman"/>
          <w:spacing w:val="-2"/>
          <w:sz w:val="28"/>
          <w:szCs w:val="28"/>
          <w:lang w:eastAsia="uk-UA"/>
        </w:rPr>
        <w:t>Якщо оцінити якість планування бюджетних показників видатків на рівні Чемеровецької селищної ради, то вона достатньо висока, що підтверджують помірні значення розбіжності видатків за результатами внесення змін до рішення про селищний бюджет. Зокрема, у 2019 році найвищі показники розбіжності спостерігались за економічними видатками, зокрема на благоустрій населених пунктів громади було додатково виділено на 3,9 млн грн більше, або видатки зросли в 1,7 рази; на утримання та розвиток інфраструктури доріг в процесі виконання бюджету було додатково виділено 1,1 млн грн, або на 81,0% більше від плану. Натомість, було практично розформовано резервний фонд селищного бюджету, у якому за 2019 рік було заплановано залишити всього 0,5 тис грн. За найбільшими напрямами фінансування суспільних послуг відхилення в обсягах видатків в рамках уточнення бюджету було помірним (табл. 2.4).</w:t>
      </w:r>
    </w:p>
    <w:p w:rsidR="003D1BAE" w:rsidRPr="003D1BAE" w:rsidRDefault="003D1BAE" w:rsidP="003D1BAE">
      <w:pPr>
        <w:tabs>
          <w:tab w:val="left" w:pos="1080"/>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lastRenderedPageBreak/>
        <w:t>Таблиця 2.4</w:t>
      </w:r>
    </w:p>
    <w:p w:rsidR="003D1BAE" w:rsidRPr="003D1BAE" w:rsidRDefault="003D1BAE" w:rsidP="003D1BAE">
      <w:pPr>
        <w:tabs>
          <w:tab w:val="left" w:pos="1080"/>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Показники уточнення видатків Чемеровецького селищного бюджету за окремими видами видатків у 2019-2020 рр., тис грн</w:t>
      </w: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3"/>
        <w:gridCol w:w="992"/>
        <w:gridCol w:w="1073"/>
        <w:gridCol w:w="1373"/>
        <w:gridCol w:w="1010"/>
        <w:gridCol w:w="977"/>
        <w:gridCol w:w="1373"/>
      </w:tblGrid>
      <w:tr w:rsidR="003D1BAE" w:rsidRPr="003D1BAE" w:rsidTr="00CA15D4">
        <w:trPr>
          <w:jc w:val="center"/>
        </w:trPr>
        <w:tc>
          <w:tcPr>
            <w:tcW w:w="2743" w:type="dxa"/>
            <w:vMerge w:val="restart"/>
            <w:vAlign w:val="center"/>
          </w:tcPr>
          <w:p w:rsidR="003D1BAE" w:rsidRPr="003D1BAE" w:rsidRDefault="003D1BAE" w:rsidP="003D1BAE">
            <w:pPr>
              <w:tabs>
                <w:tab w:val="left" w:pos="1080"/>
              </w:tabs>
              <w:spacing w:after="0" w:line="240" w:lineRule="auto"/>
              <w:contextualSpacing/>
              <w:jc w:val="center"/>
              <w:rPr>
                <w:rFonts w:ascii="Times New Roman" w:hAnsi="Times New Roman" w:cs="Times New Roman"/>
                <w:b/>
                <w:sz w:val="23"/>
                <w:szCs w:val="23"/>
              </w:rPr>
            </w:pPr>
            <w:r w:rsidRPr="003D1BAE">
              <w:rPr>
                <w:rFonts w:ascii="Times New Roman" w:hAnsi="Times New Roman" w:cs="Times New Roman"/>
                <w:b/>
                <w:sz w:val="23"/>
                <w:szCs w:val="23"/>
              </w:rPr>
              <w:t>Показники</w:t>
            </w:r>
          </w:p>
        </w:tc>
        <w:tc>
          <w:tcPr>
            <w:tcW w:w="3438" w:type="dxa"/>
            <w:gridSpan w:val="3"/>
            <w:vAlign w:val="center"/>
          </w:tcPr>
          <w:p w:rsidR="003D1BAE" w:rsidRPr="003D1BAE" w:rsidRDefault="003D1BAE" w:rsidP="003D1BAE">
            <w:pPr>
              <w:tabs>
                <w:tab w:val="left" w:pos="1080"/>
              </w:tabs>
              <w:spacing w:after="0" w:line="240" w:lineRule="auto"/>
              <w:contextualSpacing/>
              <w:jc w:val="center"/>
              <w:rPr>
                <w:rFonts w:ascii="Times New Roman" w:hAnsi="Times New Roman" w:cs="Times New Roman"/>
                <w:b/>
                <w:sz w:val="23"/>
                <w:szCs w:val="23"/>
              </w:rPr>
            </w:pPr>
            <w:r w:rsidRPr="003D1BAE">
              <w:rPr>
                <w:rFonts w:ascii="Times New Roman" w:hAnsi="Times New Roman" w:cs="Times New Roman"/>
                <w:b/>
                <w:sz w:val="23"/>
                <w:szCs w:val="23"/>
              </w:rPr>
              <w:t>2019</w:t>
            </w:r>
          </w:p>
        </w:tc>
        <w:tc>
          <w:tcPr>
            <w:tcW w:w="3360" w:type="dxa"/>
            <w:gridSpan w:val="3"/>
            <w:vAlign w:val="center"/>
          </w:tcPr>
          <w:p w:rsidR="003D1BAE" w:rsidRPr="003D1BAE" w:rsidRDefault="003D1BAE" w:rsidP="003D1BAE">
            <w:pPr>
              <w:tabs>
                <w:tab w:val="left" w:pos="1080"/>
              </w:tabs>
              <w:spacing w:after="0" w:line="240" w:lineRule="auto"/>
              <w:contextualSpacing/>
              <w:jc w:val="center"/>
              <w:rPr>
                <w:rFonts w:ascii="Times New Roman" w:hAnsi="Times New Roman" w:cs="Times New Roman"/>
                <w:b/>
                <w:sz w:val="23"/>
                <w:szCs w:val="23"/>
              </w:rPr>
            </w:pPr>
            <w:r w:rsidRPr="003D1BAE">
              <w:rPr>
                <w:rFonts w:ascii="Times New Roman" w:hAnsi="Times New Roman" w:cs="Times New Roman"/>
                <w:b/>
                <w:sz w:val="23"/>
                <w:szCs w:val="23"/>
              </w:rPr>
              <w:t>2020</w:t>
            </w:r>
          </w:p>
        </w:tc>
      </w:tr>
      <w:tr w:rsidR="003D1BAE" w:rsidRPr="003D1BAE" w:rsidTr="00CA15D4">
        <w:trPr>
          <w:jc w:val="center"/>
        </w:trPr>
        <w:tc>
          <w:tcPr>
            <w:tcW w:w="2743" w:type="dxa"/>
            <w:vMerge/>
          </w:tcPr>
          <w:p w:rsidR="003D1BAE" w:rsidRPr="003D1BAE" w:rsidRDefault="003D1BAE" w:rsidP="003D1BAE">
            <w:pPr>
              <w:tabs>
                <w:tab w:val="left" w:pos="1080"/>
              </w:tabs>
              <w:spacing w:after="0" w:line="240" w:lineRule="auto"/>
              <w:contextualSpacing/>
              <w:jc w:val="both"/>
              <w:rPr>
                <w:rFonts w:ascii="Times New Roman" w:hAnsi="Times New Roman" w:cs="Times New Roman"/>
                <w:b/>
                <w:sz w:val="23"/>
                <w:szCs w:val="23"/>
              </w:rPr>
            </w:pPr>
          </w:p>
        </w:tc>
        <w:tc>
          <w:tcPr>
            <w:tcW w:w="992" w:type="dxa"/>
            <w:vAlign w:val="center"/>
          </w:tcPr>
          <w:p w:rsidR="003D1BAE" w:rsidRPr="003D1BAE" w:rsidRDefault="003D1BAE" w:rsidP="003D1BAE">
            <w:pPr>
              <w:tabs>
                <w:tab w:val="left" w:pos="1080"/>
              </w:tabs>
              <w:spacing w:after="0" w:line="240" w:lineRule="auto"/>
              <w:contextualSpacing/>
              <w:jc w:val="right"/>
              <w:rPr>
                <w:rFonts w:ascii="Times New Roman" w:hAnsi="Times New Roman" w:cs="Times New Roman"/>
                <w:b/>
                <w:sz w:val="23"/>
                <w:szCs w:val="23"/>
              </w:rPr>
            </w:pPr>
            <w:r w:rsidRPr="003D1BAE">
              <w:rPr>
                <w:rFonts w:ascii="Times New Roman" w:hAnsi="Times New Roman" w:cs="Times New Roman"/>
                <w:b/>
                <w:sz w:val="23"/>
                <w:szCs w:val="23"/>
              </w:rPr>
              <w:t>План</w:t>
            </w:r>
          </w:p>
        </w:tc>
        <w:tc>
          <w:tcPr>
            <w:tcW w:w="1073" w:type="dxa"/>
            <w:vAlign w:val="center"/>
          </w:tcPr>
          <w:p w:rsidR="003D1BAE" w:rsidRPr="003D1BAE" w:rsidRDefault="003D1BAE" w:rsidP="003D1BAE">
            <w:pPr>
              <w:tabs>
                <w:tab w:val="left" w:pos="1080"/>
              </w:tabs>
              <w:spacing w:after="0" w:line="240" w:lineRule="auto"/>
              <w:contextualSpacing/>
              <w:jc w:val="right"/>
              <w:rPr>
                <w:rFonts w:ascii="Times New Roman" w:hAnsi="Times New Roman" w:cs="Times New Roman"/>
                <w:b/>
                <w:sz w:val="23"/>
                <w:szCs w:val="23"/>
              </w:rPr>
            </w:pPr>
            <w:r w:rsidRPr="003D1BAE">
              <w:rPr>
                <w:rFonts w:ascii="Times New Roman" w:hAnsi="Times New Roman" w:cs="Times New Roman"/>
                <w:b/>
                <w:sz w:val="23"/>
                <w:szCs w:val="23"/>
              </w:rPr>
              <w:t>Уточн. план</w:t>
            </w:r>
          </w:p>
        </w:tc>
        <w:tc>
          <w:tcPr>
            <w:tcW w:w="1373" w:type="dxa"/>
            <w:vAlign w:val="center"/>
          </w:tcPr>
          <w:p w:rsidR="003D1BAE" w:rsidRPr="003D1BAE" w:rsidRDefault="003D1BAE" w:rsidP="003D1BAE">
            <w:pPr>
              <w:spacing w:after="0" w:line="240" w:lineRule="auto"/>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Уточ.план/</w:t>
            </w:r>
          </w:p>
          <w:p w:rsidR="003D1BAE" w:rsidRPr="003D1BAE" w:rsidRDefault="003D1BAE" w:rsidP="003D1BAE">
            <w:pPr>
              <w:spacing w:after="0" w:line="240" w:lineRule="auto"/>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план</w:t>
            </w:r>
          </w:p>
        </w:tc>
        <w:tc>
          <w:tcPr>
            <w:tcW w:w="1010" w:type="dxa"/>
            <w:vAlign w:val="center"/>
          </w:tcPr>
          <w:p w:rsidR="003D1BAE" w:rsidRPr="003D1BAE" w:rsidRDefault="003D1BAE" w:rsidP="003D1BAE">
            <w:pPr>
              <w:tabs>
                <w:tab w:val="left" w:pos="1080"/>
              </w:tabs>
              <w:spacing w:after="0" w:line="240" w:lineRule="auto"/>
              <w:contextualSpacing/>
              <w:jc w:val="right"/>
              <w:rPr>
                <w:rFonts w:ascii="Times New Roman" w:hAnsi="Times New Roman" w:cs="Times New Roman"/>
                <w:b/>
                <w:sz w:val="23"/>
                <w:szCs w:val="23"/>
              </w:rPr>
            </w:pPr>
            <w:r w:rsidRPr="003D1BAE">
              <w:rPr>
                <w:rFonts w:ascii="Times New Roman" w:hAnsi="Times New Roman" w:cs="Times New Roman"/>
                <w:b/>
                <w:sz w:val="23"/>
                <w:szCs w:val="23"/>
              </w:rPr>
              <w:t>План</w:t>
            </w:r>
          </w:p>
        </w:tc>
        <w:tc>
          <w:tcPr>
            <w:tcW w:w="977" w:type="dxa"/>
            <w:vAlign w:val="center"/>
          </w:tcPr>
          <w:p w:rsidR="003D1BAE" w:rsidRPr="003D1BAE" w:rsidRDefault="003D1BAE" w:rsidP="003D1BAE">
            <w:pPr>
              <w:tabs>
                <w:tab w:val="left" w:pos="1080"/>
              </w:tabs>
              <w:spacing w:after="0" w:line="240" w:lineRule="auto"/>
              <w:contextualSpacing/>
              <w:jc w:val="right"/>
              <w:rPr>
                <w:rFonts w:ascii="Times New Roman" w:hAnsi="Times New Roman" w:cs="Times New Roman"/>
                <w:b/>
                <w:sz w:val="23"/>
                <w:szCs w:val="23"/>
              </w:rPr>
            </w:pPr>
            <w:r w:rsidRPr="003D1BAE">
              <w:rPr>
                <w:rFonts w:ascii="Times New Roman" w:hAnsi="Times New Roman" w:cs="Times New Roman"/>
                <w:b/>
                <w:sz w:val="23"/>
                <w:szCs w:val="23"/>
              </w:rPr>
              <w:t>Уточн. план</w:t>
            </w:r>
          </w:p>
        </w:tc>
        <w:tc>
          <w:tcPr>
            <w:tcW w:w="1373" w:type="dxa"/>
            <w:vAlign w:val="center"/>
          </w:tcPr>
          <w:p w:rsidR="003D1BAE" w:rsidRPr="003D1BAE" w:rsidRDefault="003D1BAE" w:rsidP="003D1BAE">
            <w:pPr>
              <w:spacing w:after="0" w:line="240" w:lineRule="auto"/>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Уточ.план/</w:t>
            </w:r>
          </w:p>
          <w:p w:rsidR="003D1BAE" w:rsidRPr="003D1BAE" w:rsidRDefault="003D1BAE" w:rsidP="003D1BAE">
            <w:pPr>
              <w:spacing w:after="0" w:line="240" w:lineRule="auto"/>
              <w:jc w:val="right"/>
              <w:rPr>
                <w:rFonts w:ascii="Times New Roman" w:hAnsi="Times New Roman" w:cs="Times New Roman"/>
                <w:b/>
                <w:color w:val="000000"/>
                <w:sz w:val="23"/>
                <w:szCs w:val="23"/>
              </w:rPr>
            </w:pPr>
            <w:r w:rsidRPr="003D1BAE">
              <w:rPr>
                <w:rFonts w:ascii="Times New Roman" w:hAnsi="Times New Roman" w:cs="Times New Roman"/>
                <w:b/>
                <w:color w:val="000000"/>
                <w:sz w:val="23"/>
                <w:szCs w:val="23"/>
              </w:rPr>
              <w:t>План</w:t>
            </w:r>
          </w:p>
        </w:tc>
      </w:tr>
      <w:tr w:rsidR="003D1BAE" w:rsidRPr="003D1BAE" w:rsidTr="00CA15D4">
        <w:trPr>
          <w:trHeight w:val="230"/>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Державне управління</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21002,4</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20992,9</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23618,0</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24125,9</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102,2</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Дошкільна освіта</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13722,5</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15090,8</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110,0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15641,4</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15052,5</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96,2</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Загальна середня освіта</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59760,6</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65712,5</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110,0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58636,9</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62611,6</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106,8</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Школи естетичного виховання дітей</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4251,3</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4161,3</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97,9</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4977,3</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5085,0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102,2</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Надання послуг в установах соціального обслуговування</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2829,1</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2942,8</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104,0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3318,8</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3601,6</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108,5</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Бібліотеки</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2498,3</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2569,7</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102,9</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2723,3</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2689,4</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98,8</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Музеї та виставки</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77,3</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24,0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31,0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24,0</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24,0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100,0</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Благоустрій</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5696,0</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9605,8</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168,6</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8473,2</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9632,0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113,7</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Утримання та розвиток інфраструктури доріг</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1400,0</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2534,4</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181,0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1900,0</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2690,0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141,6</w:t>
            </w:r>
          </w:p>
        </w:tc>
      </w:tr>
      <w:tr w:rsidR="003D1BAE" w:rsidRPr="003D1BAE" w:rsidTr="00CA15D4">
        <w:trPr>
          <w:jc w:val="center"/>
        </w:trPr>
        <w:tc>
          <w:tcPr>
            <w:tcW w:w="2743" w:type="dxa"/>
          </w:tcPr>
          <w:p w:rsidR="003D1BAE" w:rsidRPr="003D1BAE" w:rsidRDefault="003D1BAE" w:rsidP="003D1BAE">
            <w:pPr>
              <w:tabs>
                <w:tab w:val="left" w:pos="1080"/>
              </w:tabs>
              <w:spacing w:after="0" w:line="240" w:lineRule="auto"/>
              <w:contextualSpacing/>
              <w:rPr>
                <w:rFonts w:ascii="Times New Roman" w:hAnsi="Times New Roman" w:cs="Times New Roman"/>
                <w:sz w:val="23"/>
                <w:szCs w:val="23"/>
              </w:rPr>
            </w:pPr>
            <w:r w:rsidRPr="003D1BAE">
              <w:rPr>
                <w:rFonts w:ascii="Times New Roman" w:hAnsi="Times New Roman" w:cs="Times New Roman"/>
                <w:sz w:val="23"/>
                <w:szCs w:val="23"/>
              </w:rPr>
              <w:t>Резервний фонд</w:t>
            </w:r>
          </w:p>
        </w:tc>
        <w:tc>
          <w:tcPr>
            <w:tcW w:w="992"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1200,0</w:t>
            </w:r>
          </w:p>
        </w:tc>
        <w:tc>
          <w:tcPr>
            <w:tcW w:w="10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0,5</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0,0</w:t>
            </w:r>
          </w:p>
        </w:tc>
        <w:tc>
          <w:tcPr>
            <w:tcW w:w="1010"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1200,0</w:t>
            </w:r>
          </w:p>
        </w:tc>
        <w:tc>
          <w:tcPr>
            <w:tcW w:w="977"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185,0</w:t>
            </w:r>
          </w:p>
        </w:tc>
        <w:tc>
          <w:tcPr>
            <w:tcW w:w="1373" w:type="dxa"/>
            <w:vAlign w:val="center"/>
          </w:tcPr>
          <w:p w:rsidR="003D1BAE" w:rsidRPr="003D1BAE" w:rsidRDefault="003D1BAE" w:rsidP="003D1BAE">
            <w:pPr>
              <w:spacing w:after="0" w:line="240" w:lineRule="auto"/>
              <w:jc w:val="right"/>
              <w:rPr>
                <w:rFonts w:ascii="Times New Roman" w:hAnsi="Times New Roman" w:cs="Times New Roman"/>
                <w:color w:val="000000"/>
                <w:sz w:val="23"/>
                <w:szCs w:val="23"/>
              </w:rPr>
            </w:pPr>
            <w:r w:rsidRPr="003D1BAE">
              <w:rPr>
                <w:rFonts w:ascii="Times New Roman" w:hAnsi="Times New Roman" w:cs="Times New Roman"/>
                <w:color w:val="000000"/>
                <w:sz w:val="23"/>
                <w:szCs w:val="23"/>
              </w:rPr>
              <w:t>15,4</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993"/>
        </w:tabs>
        <w:spacing w:after="0" w:line="360" w:lineRule="auto"/>
        <w:ind w:firstLine="720"/>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У 2020 році показники відхилення видатків бюджету від початкових при внесенні змін до рішення про селищний бюджет також перебували в межах прийнятного рівня. Найвищою розбіжністю характеризувались видатки за бюджетною програмою утримання та розвитку автомобільних доріг (видатки зросли в 1,4 рази, або на 0,8 млн грн), що пояснюється активізацією роботи виконкому селищної ради щодо подолання незадовільного стану доріг у селах територіальної громади. В абсолютному обсязі найбільше збільшення планових обсягів фінансування спостерігалося щодо загальної середньої освіти – 3,9 млн грн, або 6,8% від початкового плану, а також на потреби благоустрою – 1,1 млн грн, або на 13,7% більше. </w:t>
      </w:r>
    </w:p>
    <w:p w:rsidR="003D1BAE" w:rsidRPr="003D1BAE" w:rsidRDefault="003D1BAE" w:rsidP="003D1BAE">
      <w:pPr>
        <w:tabs>
          <w:tab w:val="left" w:pos="993"/>
        </w:tabs>
        <w:spacing w:after="0" w:line="360" w:lineRule="auto"/>
        <w:ind w:firstLine="720"/>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Вагомий вплив на бюджетну політику у сфері видатків здійснює реформа децентралізації. В рамках її проведення відбувся перерозподіл повноважень між урядом та органами місцевого самоврядування. Завдяки цьому, органи місцевої влади на теперішній час здійснюють фінансування переважної частини потреб галузей соціальної сфери, економічного розвитку, а також змогли суттєво збільшити видатки інвестиційного призначення. Повноваження щодо </w:t>
      </w:r>
      <w:r w:rsidRPr="003D1BAE">
        <w:rPr>
          <w:rFonts w:ascii="Times New Roman" w:hAnsi="Times New Roman" w:cs="Times New Roman"/>
          <w:sz w:val="28"/>
          <w:szCs w:val="28"/>
          <w:lang w:eastAsia="uk-UA"/>
        </w:rPr>
        <w:lastRenderedPageBreak/>
        <w:t xml:space="preserve">здійснення видатків органів місцевого самоврядування визначені Законом України «Про місцеве самоврядування в Україні», де вони розмежовані на власні та делеговані. Власними визначають повноваження, здійснення яких пов’язане з вирішенням питань місцевого значення (благоустрій населених пунктів громади, забезпечення роботи житлово-комунального господарства, підготовка містобудівної документації, розвиток інфраструктури та ін. Інші повноваження, здійснення яких пов’язане із виконанням функцій виконавчої влади на місцях отримали назву делегованих. Відповідно, бюджетна політика органів місцевої влади у сфері видатків, поряд з іншими складовими, вміщує також діяльність стосовно належного фінансування власних та делегованих повноважень, яку відображають показники динаміки та структури видатків бюджету за функціональним підходом до класифікації.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i/>
          <w:sz w:val="28"/>
          <w:szCs w:val="28"/>
        </w:rPr>
      </w:pPr>
      <w:r w:rsidRPr="003D1BAE">
        <w:rPr>
          <w:rFonts w:ascii="Times New Roman" w:hAnsi="Times New Roman" w:cs="Times New Roman"/>
          <w:sz w:val="28"/>
          <w:szCs w:val="28"/>
        </w:rPr>
        <w:t xml:space="preserve">Зважаючи на специфіку функціонування усіх сфер суспільного життя у 2020 році, пов’язану із поширенням епідемії коронавірусу, динаміка видатків Чемеровецького селищного бюджету була нестабільною – після їх зростання у 2019 році на 32,4% до 173,4 млн грн, у наступному році вони скоротились на 9,1%, або на 15,8 млн грн. Причини такого скорочення найперше пов’язані із зменшенням обсягів міжбюджетних трансфертів та інвестиційних видатків у галузях соціальної сфери. Зважаючи на небезпеку поширення захворювання на </w:t>
      </w:r>
      <w:r w:rsidRPr="003D1BAE">
        <w:rPr>
          <w:rFonts w:ascii="Times New Roman" w:hAnsi="Times New Roman" w:cs="Times New Roman"/>
          <w:sz w:val="28"/>
          <w:szCs w:val="28"/>
          <w:lang w:val="en-US"/>
        </w:rPr>
        <w:t>COVID</w:t>
      </w:r>
      <w:r w:rsidRPr="003D1BAE">
        <w:rPr>
          <w:rFonts w:ascii="Times New Roman" w:hAnsi="Times New Roman" w:cs="Times New Roman"/>
          <w:sz w:val="28"/>
          <w:szCs w:val="28"/>
        </w:rPr>
        <w:t>-19, уряд відмовився у 2020 році від низки інвестиційних програм та зменшив обсяги інвестиційних субвенцій регіонам. Внаслідок цього, обсяги трансферів до селищного бюджету з бюджетів інших рівнів зменшились у 2020 році на 12,1 млн грн. Зменшення спостерігалось також по більшості напрямів використання бюджетних коштів, крім державного управління та економічної діяльності, що пов’язане, у першому випадку, з проведенням виборів у громаді, а в другому випадку, із збільшенням фінансування благоустрою та заходів щодо проведення ремонтних робіт на автошляхах (табл. 2.5).</w:t>
      </w:r>
    </w:p>
    <w:p w:rsidR="003D1BAE" w:rsidRPr="003D1BAE" w:rsidRDefault="003D1BAE" w:rsidP="003D1BAE">
      <w:pPr>
        <w:tabs>
          <w:tab w:val="left" w:pos="993"/>
        </w:tabs>
        <w:spacing w:after="0" w:line="360" w:lineRule="auto"/>
        <w:ind w:firstLine="720"/>
        <w:jc w:val="both"/>
        <w:rPr>
          <w:rFonts w:ascii="Times New Roman" w:hAnsi="Times New Roman" w:cs="Times New Roman"/>
          <w:sz w:val="28"/>
          <w:szCs w:val="28"/>
          <w:lang w:eastAsia="uk-UA"/>
        </w:rPr>
      </w:pPr>
      <w:r w:rsidRPr="003D1BAE">
        <w:rPr>
          <w:rFonts w:ascii="Times New Roman" w:hAnsi="Times New Roman" w:cs="Times New Roman"/>
          <w:spacing w:val="-2"/>
          <w:sz w:val="28"/>
          <w:szCs w:val="28"/>
        </w:rPr>
        <w:t>Видатки на виконання власних повноважень органу місцевої влади перервано стосуються реалізації заходів щодо підтримки розвитку місцевої економіки, реалізації інфраструктурних проектів, фінансування сфери житлово-</w:t>
      </w:r>
      <w:r w:rsidRPr="003D1BAE">
        <w:rPr>
          <w:rFonts w:ascii="Times New Roman" w:hAnsi="Times New Roman" w:cs="Times New Roman"/>
          <w:spacing w:val="-2"/>
          <w:sz w:val="28"/>
          <w:szCs w:val="28"/>
        </w:rPr>
        <w:lastRenderedPageBreak/>
        <w:t>комунального господарства та благоустрою населених пунктів. На потреби економічного розвитку у 2020 році з селищного бюджету було виділено загалом 21,3 млн грн, що на 1,0 млн грн, або на 5,1% більше, ніж у попередньому році.</w:t>
      </w:r>
    </w:p>
    <w:p w:rsidR="003D1BAE" w:rsidRPr="003D1BAE" w:rsidRDefault="003D1BAE" w:rsidP="003D1BAE">
      <w:pPr>
        <w:tabs>
          <w:tab w:val="left" w:pos="708"/>
        </w:tabs>
        <w:spacing w:after="0" w:line="360" w:lineRule="auto"/>
        <w:ind w:firstLine="567"/>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2.5</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Склад та динаміка видатків Чемеровецького селищного бюджету</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у 2018-2020 рр., у розрізі функцій, тис грн</w:t>
      </w:r>
    </w:p>
    <w:tbl>
      <w:tblPr>
        <w:tblW w:w="9684"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467"/>
        <w:gridCol w:w="1091"/>
        <w:gridCol w:w="1104"/>
        <w:gridCol w:w="1065"/>
        <w:gridCol w:w="931"/>
        <w:gridCol w:w="1094"/>
        <w:gridCol w:w="1091"/>
        <w:gridCol w:w="841"/>
      </w:tblGrid>
      <w:tr w:rsidR="003D1BAE" w:rsidRPr="003D1BAE" w:rsidTr="00CA15D4">
        <w:trPr>
          <w:trHeight w:val="260"/>
          <w:jc w:val="center"/>
        </w:trPr>
        <w:tc>
          <w:tcPr>
            <w:tcW w:w="2467"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Показники</w:t>
            </w:r>
          </w:p>
        </w:tc>
        <w:tc>
          <w:tcPr>
            <w:tcW w:w="1091"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2018</w:t>
            </w:r>
          </w:p>
        </w:tc>
        <w:tc>
          <w:tcPr>
            <w:tcW w:w="3100"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2019</w:t>
            </w:r>
          </w:p>
        </w:tc>
        <w:tc>
          <w:tcPr>
            <w:tcW w:w="3026"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2020</w:t>
            </w:r>
          </w:p>
        </w:tc>
      </w:tr>
      <w:tr w:rsidR="003D1BAE" w:rsidRPr="003D1BAE" w:rsidTr="00CA15D4">
        <w:trPr>
          <w:trHeight w:val="300"/>
          <w:jc w:val="center"/>
        </w:trPr>
        <w:tc>
          <w:tcPr>
            <w:tcW w:w="2467"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091"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104"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1996"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До поп. року</w:t>
            </w:r>
          </w:p>
        </w:tc>
        <w:tc>
          <w:tcPr>
            <w:tcW w:w="1094"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1932"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До поп. року</w:t>
            </w:r>
          </w:p>
        </w:tc>
      </w:tr>
      <w:tr w:rsidR="003D1BAE" w:rsidRPr="003D1BAE" w:rsidTr="00CA15D4">
        <w:trPr>
          <w:trHeight w:val="232"/>
          <w:jc w:val="center"/>
        </w:trPr>
        <w:tc>
          <w:tcPr>
            <w:tcW w:w="2467"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sz w:val="24"/>
                <w:szCs w:val="24"/>
                <w:lang w:eastAsia="uk-UA"/>
              </w:rPr>
            </w:pPr>
          </w:p>
        </w:tc>
        <w:tc>
          <w:tcPr>
            <w:tcW w:w="1091"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4"/>
                <w:szCs w:val="24"/>
                <w:lang w:eastAsia="uk-UA"/>
              </w:rPr>
            </w:pPr>
          </w:p>
        </w:tc>
        <w:tc>
          <w:tcPr>
            <w:tcW w:w="1104"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sz w:val="24"/>
                <w:szCs w:val="24"/>
                <w:lang w:eastAsia="uk-UA"/>
              </w:rPr>
            </w:pPr>
          </w:p>
        </w:tc>
        <w:tc>
          <w:tcPr>
            <w:tcW w:w="1065"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93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w:t>
            </w:r>
          </w:p>
        </w:tc>
        <w:tc>
          <w:tcPr>
            <w:tcW w:w="1094"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sz w:val="24"/>
                <w:szCs w:val="24"/>
                <w:lang w:eastAsia="uk-UA"/>
              </w:rPr>
            </w:pPr>
          </w:p>
        </w:tc>
        <w:tc>
          <w:tcPr>
            <w:tcW w:w="109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84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w:t>
            </w:r>
          </w:p>
        </w:tc>
      </w:tr>
      <w:tr w:rsidR="003D1BAE" w:rsidRPr="003D1BAE" w:rsidTr="00CA15D4">
        <w:trPr>
          <w:trHeight w:val="315"/>
          <w:jc w:val="center"/>
        </w:trPr>
        <w:tc>
          <w:tcPr>
            <w:tcW w:w="2467" w:type="dxa"/>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Всього</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131031,8</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173440,3</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42408,5</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132,4</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157669,0</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-15771,3</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90,9</w:t>
            </w:r>
          </w:p>
        </w:tc>
      </w:tr>
      <w:tr w:rsidR="003D1BAE" w:rsidRPr="003D1BAE" w:rsidTr="00CA15D4">
        <w:trPr>
          <w:trHeight w:val="315"/>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Державне управління</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15496,0</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20992,9</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5496,9</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135,5</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23156,0</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2163,1</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110,3</w:t>
            </w:r>
          </w:p>
        </w:tc>
      </w:tr>
      <w:tr w:rsidR="003D1BAE" w:rsidRPr="003D1BAE" w:rsidTr="00CA15D4">
        <w:trPr>
          <w:trHeight w:val="142"/>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Економічна діяльність та охорона довкілля</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11073,5</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20222,5</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9149,0</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182,6</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21255,3</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1032,8</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105,1</w:t>
            </w:r>
          </w:p>
        </w:tc>
      </w:tr>
      <w:tr w:rsidR="003D1BAE" w:rsidRPr="003D1BAE" w:rsidTr="00CA15D4">
        <w:trPr>
          <w:trHeight w:val="90"/>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Освіта</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76739,2</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95475,3</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18736,1</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124,4</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92787,1</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-2688,2</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97,2</w:t>
            </w:r>
          </w:p>
        </w:tc>
      </w:tr>
      <w:tr w:rsidR="003D1BAE" w:rsidRPr="003D1BAE" w:rsidTr="00CA15D4">
        <w:trPr>
          <w:trHeight w:val="70"/>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Культура та спорт</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6303,3</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13962,0</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7658,8</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221,5</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11172,7</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-2789,3</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80,0</w:t>
            </w:r>
          </w:p>
        </w:tc>
      </w:tr>
      <w:tr w:rsidR="003D1BAE" w:rsidRPr="003D1BAE" w:rsidTr="00CA15D4">
        <w:trPr>
          <w:trHeight w:val="150"/>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Соціальний захист населення</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2650,4</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5000,2</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2349,8</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188,7</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4145,7</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-854,5</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82,9</w:t>
            </w:r>
          </w:p>
        </w:tc>
      </w:tr>
      <w:tr w:rsidR="003D1BAE" w:rsidRPr="003D1BAE" w:rsidTr="00CA15D4">
        <w:trPr>
          <w:trHeight w:val="181"/>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Трансферти до інших місцевих бюджетів</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18026,9</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17089,6</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-937,3</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94,8</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5019,4</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-12070,2</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29,4</w:t>
            </w:r>
          </w:p>
        </w:tc>
      </w:tr>
      <w:tr w:rsidR="003D1BAE" w:rsidRPr="003D1BAE" w:rsidTr="00CA15D4">
        <w:trPr>
          <w:trHeight w:val="70"/>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Резервний фонд</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430,1</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-430,1</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0,0</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w:t>
            </w:r>
          </w:p>
        </w:tc>
      </w:tr>
      <w:tr w:rsidR="003D1BAE" w:rsidRPr="003D1BAE" w:rsidTr="00CA15D4">
        <w:trPr>
          <w:trHeight w:val="315"/>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Інші видатки</w:t>
            </w:r>
          </w:p>
        </w:tc>
        <w:tc>
          <w:tcPr>
            <w:tcW w:w="1091"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312,5</w:t>
            </w:r>
          </w:p>
        </w:tc>
        <w:tc>
          <w:tcPr>
            <w:tcW w:w="110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697,8</w:t>
            </w:r>
          </w:p>
        </w:tc>
        <w:tc>
          <w:tcPr>
            <w:tcW w:w="1065"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385,3</w:t>
            </w:r>
          </w:p>
        </w:tc>
        <w:tc>
          <w:tcPr>
            <w:tcW w:w="93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223,3</w:t>
            </w:r>
          </w:p>
        </w:tc>
        <w:tc>
          <w:tcPr>
            <w:tcW w:w="1094" w:type="dxa"/>
            <w:shd w:val="clear" w:color="auto" w:fill="FFFFFF" w:themeFill="background1"/>
            <w:noWrap/>
            <w:vAlign w:val="bottom"/>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132,8</w:t>
            </w:r>
          </w:p>
        </w:tc>
        <w:tc>
          <w:tcPr>
            <w:tcW w:w="109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-565,0</w:t>
            </w:r>
          </w:p>
        </w:tc>
        <w:tc>
          <w:tcPr>
            <w:tcW w:w="841" w:type="dxa"/>
            <w:shd w:val="clear" w:color="auto" w:fill="FFFFFF" w:themeFill="background1"/>
            <w:vAlign w:val="bottom"/>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19,0</w:t>
            </w:r>
          </w:p>
        </w:tc>
      </w:tr>
      <w:tr w:rsidR="003D1BAE" w:rsidRPr="003D1BAE" w:rsidTr="00CA15D4">
        <w:trPr>
          <w:trHeight w:val="315"/>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Чисельність насе-лення громади, осіб</w:t>
            </w:r>
          </w:p>
        </w:tc>
        <w:tc>
          <w:tcPr>
            <w:tcW w:w="109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23245</w:t>
            </w:r>
          </w:p>
        </w:tc>
        <w:tc>
          <w:tcPr>
            <w:tcW w:w="3100" w:type="dxa"/>
            <w:gridSpan w:val="3"/>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23178</w:t>
            </w:r>
          </w:p>
        </w:tc>
        <w:tc>
          <w:tcPr>
            <w:tcW w:w="3026" w:type="dxa"/>
            <w:gridSpan w:val="3"/>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23051</w:t>
            </w:r>
          </w:p>
        </w:tc>
      </w:tr>
      <w:tr w:rsidR="003D1BAE" w:rsidRPr="003D1BAE" w:rsidTr="00CA15D4">
        <w:trPr>
          <w:trHeight w:val="315"/>
          <w:jc w:val="center"/>
        </w:trPr>
        <w:tc>
          <w:tcPr>
            <w:tcW w:w="2467"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b/>
                <w:color w:val="000000"/>
                <w:lang w:eastAsia="uk-UA"/>
              </w:rPr>
              <w:t>Видатки в розрахунку на 1 особу, тис грн/рік</w:t>
            </w:r>
          </w:p>
        </w:tc>
        <w:tc>
          <w:tcPr>
            <w:tcW w:w="109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5,6</w:t>
            </w:r>
          </w:p>
        </w:tc>
        <w:tc>
          <w:tcPr>
            <w:tcW w:w="110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7,5</w:t>
            </w:r>
          </w:p>
        </w:tc>
        <w:tc>
          <w:tcPr>
            <w:tcW w:w="1065"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1,9</w:t>
            </w:r>
          </w:p>
        </w:tc>
        <w:tc>
          <w:tcPr>
            <w:tcW w:w="9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133,9</w:t>
            </w:r>
          </w:p>
        </w:tc>
        <w:tc>
          <w:tcPr>
            <w:tcW w:w="109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6,8</w:t>
            </w:r>
          </w:p>
        </w:tc>
        <w:tc>
          <w:tcPr>
            <w:tcW w:w="109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-0,7</w:t>
            </w:r>
          </w:p>
        </w:tc>
        <w:tc>
          <w:tcPr>
            <w:tcW w:w="84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90,7</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240" w:lineRule="auto"/>
        <w:ind w:firstLine="709"/>
        <w:contextualSpacing/>
        <w:jc w:val="both"/>
        <w:rPr>
          <w:rFonts w:ascii="Times New Roman" w:hAnsi="Times New Roman" w:cs="Times New Roman"/>
          <w:sz w:val="28"/>
          <w:szCs w:val="28"/>
        </w:rPr>
      </w:pPr>
    </w:p>
    <w:p w:rsidR="003D1BAE" w:rsidRPr="003D1BAE" w:rsidRDefault="003D1BAE" w:rsidP="003D1BAE">
      <w:pPr>
        <w:tabs>
          <w:tab w:val="left" w:pos="708"/>
        </w:tabs>
        <w:spacing w:after="0" w:line="360" w:lineRule="auto"/>
        <w:ind w:firstLine="709"/>
        <w:contextualSpacing/>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Однак, як підтверджують дані табл. 2.6, динаміка цих видатків має винятково нестабільний характер, оскільки в умовах кризи вони першими підпадають під скорочення для зменшення обсягів бюджетного дефіциту. Зокрема, у 2019 році, коли спостерігався стійкий економічний ріст та світ поки перебував на порозі глобальної епідемії коронавірусу, бюджетні кладення в економічний розвиток у Чемеровецькій громаді зросли порівняно з попереднім роком в 1,8 рази, або на 9,1 млн грн. У цьому році було суттєво збільшено фінансування будівельних робіт за різними інвестиційними програмами, зокрема за рахунок субвенції на розвиток інфраструктури ОТГ, субвенції на соціально-економічний розвиток окремих територій, за рахунок власних коштів збільшене фінансування програми будівництва, ремонту та реконструкції автошляхів. Проте, у 2020 році при загальному зменшенні бюджетного фінансування </w:t>
      </w:r>
      <w:r w:rsidRPr="003D1BAE">
        <w:rPr>
          <w:rFonts w:ascii="Times New Roman" w:hAnsi="Times New Roman" w:cs="Times New Roman"/>
          <w:spacing w:val="-2"/>
          <w:sz w:val="28"/>
          <w:szCs w:val="28"/>
        </w:rPr>
        <w:lastRenderedPageBreak/>
        <w:t>будівельних робіт було знову залучено фінансування від Державного фонду регіонального розвитку, а також збільшено фінансування житлово-комунального сектору, що дало можливість КП «Комунсервіс» активізувати капітальні ремонти житлового фонду громади (табл. 2.6).</w:t>
      </w:r>
    </w:p>
    <w:p w:rsidR="003D1BAE" w:rsidRPr="003D1BAE" w:rsidRDefault="003D1BAE" w:rsidP="003D1BAE">
      <w:pPr>
        <w:tabs>
          <w:tab w:val="left" w:pos="708"/>
        </w:tabs>
        <w:spacing w:after="0" w:line="240" w:lineRule="auto"/>
        <w:ind w:firstLine="720"/>
        <w:contextualSpacing/>
        <w:jc w:val="right"/>
        <w:rPr>
          <w:rFonts w:ascii="Times New Roman" w:hAnsi="Times New Roman" w:cs="Times New Roman"/>
          <w:i/>
          <w:color w:val="000000"/>
          <w:sz w:val="28"/>
          <w:szCs w:val="28"/>
          <w:lang w:eastAsia="uk-UA"/>
        </w:rPr>
      </w:pPr>
      <w:r w:rsidRPr="003D1BAE">
        <w:rPr>
          <w:rFonts w:ascii="Times New Roman" w:hAnsi="Times New Roman" w:cs="Times New Roman"/>
          <w:i/>
          <w:color w:val="000000"/>
          <w:sz w:val="28"/>
          <w:szCs w:val="28"/>
          <w:lang w:eastAsia="uk-UA"/>
        </w:rPr>
        <w:t>Таблиця 2.6</w:t>
      </w:r>
    </w:p>
    <w:p w:rsidR="003D1BAE" w:rsidRPr="003D1BAE" w:rsidRDefault="003D1BAE" w:rsidP="003D1BAE">
      <w:pPr>
        <w:tabs>
          <w:tab w:val="left" w:pos="708"/>
        </w:tabs>
        <w:spacing w:after="0" w:line="240" w:lineRule="auto"/>
        <w:contextualSpacing/>
        <w:jc w:val="center"/>
        <w:rPr>
          <w:rFonts w:ascii="Times New Roman" w:hAnsi="Times New Roman" w:cs="Times New Roman"/>
          <w:b/>
          <w:color w:val="000000"/>
          <w:sz w:val="28"/>
          <w:szCs w:val="28"/>
          <w:lang w:eastAsia="uk-UA"/>
        </w:rPr>
      </w:pPr>
      <w:r w:rsidRPr="003D1BAE">
        <w:rPr>
          <w:rFonts w:ascii="Times New Roman" w:hAnsi="Times New Roman" w:cs="Times New Roman"/>
          <w:b/>
          <w:color w:val="000000"/>
          <w:sz w:val="28"/>
          <w:szCs w:val="28"/>
          <w:lang w:eastAsia="uk-UA"/>
        </w:rPr>
        <w:t>Видатки Чемеровецького селищного бюджету</w:t>
      </w:r>
    </w:p>
    <w:p w:rsidR="003D1BAE" w:rsidRPr="003D1BAE" w:rsidRDefault="003D1BAE" w:rsidP="003D1BAE">
      <w:pPr>
        <w:tabs>
          <w:tab w:val="left" w:pos="708"/>
        </w:tabs>
        <w:spacing w:after="0" w:line="240" w:lineRule="auto"/>
        <w:contextualSpacing/>
        <w:jc w:val="center"/>
        <w:rPr>
          <w:rFonts w:ascii="Times New Roman" w:hAnsi="Times New Roman" w:cs="Times New Roman"/>
          <w:b/>
          <w:color w:val="000000"/>
          <w:sz w:val="28"/>
          <w:szCs w:val="28"/>
          <w:lang w:eastAsia="uk-UA"/>
        </w:rPr>
      </w:pPr>
      <w:r w:rsidRPr="003D1BAE">
        <w:rPr>
          <w:rFonts w:ascii="Times New Roman" w:hAnsi="Times New Roman" w:cs="Times New Roman"/>
          <w:b/>
          <w:color w:val="000000"/>
          <w:sz w:val="28"/>
          <w:szCs w:val="28"/>
          <w:lang w:eastAsia="uk-UA"/>
        </w:rPr>
        <w:t>на економічну діяльність у 2018-2020 рр., тис грн</w:t>
      </w:r>
    </w:p>
    <w:tbl>
      <w:tblPr>
        <w:tblW w:w="9424"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571"/>
        <w:gridCol w:w="1022"/>
        <w:gridCol w:w="996"/>
        <w:gridCol w:w="1174"/>
        <w:gridCol w:w="794"/>
        <w:gridCol w:w="1057"/>
        <w:gridCol w:w="1054"/>
        <w:gridCol w:w="756"/>
      </w:tblGrid>
      <w:tr w:rsidR="003D1BAE" w:rsidRPr="003D1BAE" w:rsidTr="00CA15D4">
        <w:trPr>
          <w:trHeight w:val="260"/>
          <w:jc w:val="center"/>
        </w:trPr>
        <w:tc>
          <w:tcPr>
            <w:tcW w:w="2571"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1022"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2964"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867"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00"/>
          <w:jc w:val="center"/>
        </w:trPr>
        <w:tc>
          <w:tcPr>
            <w:tcW w:w="2571"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22"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996"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968"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c>
          <w:tcPr>
            <w:tcW w:w="1057"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810"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r>
      <w:tr w:rsidR="003D1BAE" w:rsidRPr="003D1BAE" w:rsidTr="00CA15D4">
        <w:trPr>
          <w:trHeight w:val="232"/>
          <w:jc w:val="center"/>
        </w:trPr>
        <w:tc>
          <w:tcPr>
            <w:tcW w:w="2571"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1022"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996"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p>
        </w:tc>
        <w:tc>
          <w:tcPr>
            <w:tcW w:w="117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79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1057"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05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756"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140"/>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Всього видатків на економічну діяльність,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11073,5</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20222,5</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9149,0</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182,6</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21255,3</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sz w:val="24"/>
                <w:szCs w:val="24"/>
              </w:rPr>
            </w:pPr>
            <w:r w:rsidRPr="003D1BAE">
              <w:rPr>
                <w:rFonts w:ascii="Times New Roman" w:hAnsi="Times New Roman" w:cs="Times New Roman"/>
                <w:b/>
                <w:color w:val="000000"/>
                <w:sz w:val="24"/>
                <w:szCs w:val="24"/>
              </w:rPr>
              <w:t>1032,8</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sz w:val="24"/>
                <w:szCs w:val="24"/>
              </w:rPr>
            </w:pPr>
            <w:r w:rsidRPr="003D1BAE">
              <w:rPr>
                <w:rFonts w:ascii="Times New Roman" w:hAnsi="Times New Roman" w:cs="Times New Roman"/>
                <w:b/>
                <w:color w:val="000000"/>
                <w:sz w:val="24"/>
                <w:szCs w:val="24"/>
              </w:rPr>
              <w:t>105,1</w:t>
            </w:r>
          </w:p>
        </w:tc>
      </w:tr>
      <w:tr w:rsidR="003D1BAE" w:rsidRPr="003D1BAE" w:rsidTr="00CA15D4">
        <w:trPr>
          <w:trHeight w:val="70"/>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Будівництво об’єктів виробничої та соціальної інфраструктури,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1785,2</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6966,5</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5181,4</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390,2</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6110,3</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-856,2</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87,7</w:t>
            </w:r>
          </w:p>
        </w:tc>
      </w:tr>
      <w:tr w:rsidR="003D1BAE" w:rsidRPr="003D1BAE" w:rsidTr="00CA15D4">
        <w:trPr>
          <w:trHeight w:val="70"/>
          <w:jc w:val="center"/>
        </w:trPr>
        <w:tc>
          <w:tcPr>
            <w:tcW w:w="2571" w:type="dxa"/>
            <w:shd w:val="clear" w:color="auto" w:fill="FFFFFF" w:themeFill="background1"/>
            <w:hideMark/>
          </w:tcPr>
          <w:p w:rsidR="003D1BAE" w:rsidRPr="003D1BAE" w:rsidRDefault="003D1BAE" w:rsidP="003D1BAE">
            <w:pPr>
              <w:spacing w:after="0" w:line="240" w:lineRule="auto"/>
              <w:ind w:left="229"/>
              <w:rPr>
                <w:rFonts w:ascii="Times New Roman" w:hAnsi="Times New Roman" w:cs="Times New Roman"/>
                <w:i/>
                <w:color w:val="000000"/>
                <w:sz w:val="21"/>
                <w:szCs w:val="21"/>
                <w:lang w:eastAsia="uk-UA"/>
              </w:rPr>
            </w:pPr>
            <w:r w:rsidRPr="003D1BAE">
              <w:rPr>
                <w:rFonts w:ascii="Times New Roman" w:hAnsi="Times New Roman" w:cs="Times New Roman"/>
                <w:i/>
                <w:color w:val="000000"/>
                <w:sz w:val="21"/>
                <w:szCs w:val="21"/>
                <w:lang w:eastAsia="uk-UA"/>
              </w:rPr>
              <w:t>Співфінансування інвестиційних проектів ДФРР</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1611,2</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0,0</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-1611,2</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0,0</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1094,9</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1094,9</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w:t>
            </w:r>
          </w:p>
        </w:tc>
      </w:tr>
      <w:tr w:rsidR="003D1BAE" w:rsidRPr="003D1BAE" w:rsidTr="00CA15D4">
        <w:trPr>
          <w:trHeight w:val="142"/>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Будівництво, реконструкція, ремонт, утримання автодоріг</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1958,6</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2528,3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569,7</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129,1</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2599,3</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71,0</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102,8</w:t>
            </w:r>
          </w:p>
        </w:tc>
      </w:tr>
      <w:tr w:rsidR="003D1BAE" w:rsidRPr="003D1BAE" w:rsidTr="00CA15D4">
        <w:trPr>
          <w:trHeight w:val="90"/>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Житлово-комунальне господарство</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1800,0</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904,2</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-895,8</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50,2</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2940,2</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2036,0</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325,2</w:t>
            </w:r>
          </w:p>
        </w:tc>
      </w:tr>
      <w:tr w:rsidR="003D1BAE" w:rsidRPr="003D1BAE" w:rsidTr="00CA15D4">
        <w:trPr>
          <w:trHeight w:val="90"/>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Благоустрій</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5115,6</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9611,5</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4495,9</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187,9</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9577,3</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-34,2</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99,6</w:t>
            </w:r>
          </w:p>
        </w:tc>
      </w:tr>
      <w:tr w:rsidR="003D1BAE" w:rsidRPr="003D1BAE" w:rsidTr="00CA15D4">
        <w:trPr>
          <w:trHeight w:val="70"/>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Інші видатки,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414,1</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212,0</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-202,1</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51,2</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28,2</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-183,8</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13,3</w:t>
            </w:r>
          </w:p>
        </w:tc>
      </w:tr>
      <w:tr w:rsidR="003D1BAE" w:rsidRPr="003D1BAE" w:rsidTr="00CA15D4">
        <w:trPr>
          <w:trHeight w:val="181"/>
          <w:jc w:val="center"/>
        </w:trPr>
        <w:tc>
          <w:tcPr>
            <w:tcW w:w="257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Заходи із землеустрою</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414,1</w:t>
            </w:r>
          </w:p>
        </w:tc>
        <w:tc>
          <w:tcPr>
            <w:tcW w:w="99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145,8</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-268,3</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35,2</w:t>
            </w:r>
          </w:p>
        </w:tc>
        <w:tc>
          <w:tcPr>
            <w:tcW w:w="1057"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0,0</w:t>
            </w:r>
          </w:p>
        </w:tc>
        <w:tc>
          <w:tcPr>
            <w:tcW w:w="105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-145,8</w:t>
            </w:r>
          </w:p>
        </w:tc>
        <w:tc>
          <w:tcPr>
            <w:tcW w:w="75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0,0</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pacing w:val="-2"/>
          <w:sz w:val="28"/>
          <w:szCs w:val="28"/>
        </w:rPr>
      </w:pPr>
      <w:r w:rsidRPr="003D1BAE">
        <w:rPr>
          <w:rFonts w:ascii="Times New Roman" w:hAnsi="Times New Roman" w:cs="Times New Roman"/>
          <w:color w:val="000000"/>
          <w:spacing w:val="-2"/>
          <w:sz w:val="28"/>
          <w:szCs w:val="28"/>
          <w:lang w:eastAsia="uk-UA"/>
        </w:rPr>
        <w:t xml:space="preserve">Зважаючи на особливості розмежування повноважень щодо фінансування суспільних послуг, визначені у Бюджетному кодексі України, а також відповідно до ст. 32 Закону України «Про місцеве самоврядування в Україні», основна частина видатків місцевих бюджетів припадає на фінансування делегованих повноважень. Найбільшим напрямом видатків у складі селищного бюджету Чемеровецької громади є фінансування освіти. На її потреби у 2020 році було спрямовано 92,8 млн грн, що на 2,7 млн грн менше, ніж у попередньому році. Такі зміни були зумовлені зменшенням фінансування загальної середньої освіти на 3,2 млн грн, на яку було спрямовано загалом 62,4 млн грн. Причиною негативної динаміки видатків стало завершення у 2019 році кількох проектів ремонтних робіт у закладах середньої освіти громади, а також призупинення </w:t>
      </w:r>
      <w:r w:rsidRPr="003D1BAE">
        <w:rPr>
          <w:rFonts w:ascii="Times New Roman" w:hAnsi="Times New Roman" w:cs="Times New Roman"/>
          <w:color w:val="000000"/>
          <w:spacing w:val="-2"/>
          <w:sz w:val="28"/>
          <w:szCs w:val="28"/>
          <w:lang w:eastAsia="uk-UA"/>
        </w:rPr>
        <w:lastRenderedPageBreak/>
        <w:t xml:space="preserve">інвестиційних програм державного бюджету у зв’язку з ускладненням ситуації з поширенням коронавірусу. Незважаючи на це, фінансування середньої освіти продовжує залишатись найбільшою складовою видатків на освіту, займаючи понад 2/3 сукупного обсягу. </w:t>
      </w:r>
    </w:p>
    <w:p w:rsidR="003D1BAE" w:rsidRPr="003D1BAE" w:rsidRDefault="003D1BAE" w:rsidP="003D1BAE">
      <w:pPr>
        <w:tabs>
          <w:tab w:val="left" w:pos="708"/>
        </w:tabs>
        <w:spacing w:after="0" w:line="360" w:lineRule="auto"/>
        <w:ind w:firstLine="567"/>
        <w:contextualSpacing/>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Зменшення фінансування у 2020 році спостерігалось практично по усіх напрямах освіти, крім позашкільної. Зокрема, на 750,3 тис грн збільшилось фінансування мистецької освіти, що пояснюється проведенням ремонтних робіт у Чемеровецькій музичній школі. Іншим напрямом фінансування освіти, за яким у 2020 році спостерігався приріст видатків стало фінансування інших закладів освіти – на 0,6 млн грн, або на 7,9%, що пояснюється збільшенням видатків на забезпечення діяльності Чемеровецького міжшкільного навчально-виробничого комбінату, а також дитячо-юнацьких спортивних шкіл. Стосовно дошкільної освіти, у 2020 році вона була профінансована в обсязі 14,7 млн грн, що на 0,7 менше, ніж у попередньому році. Таке зменшення пов’язане із завершенням капітальних ремонтів у закладах дошкільної освіти с. Бережанка, с. Черче та відстроченням строків реалізації інших інвестиційних проектів у дошкільній освіті (табл. 2.7).</w:t>
      </w:r>
    </w:p>
    <w:p w:rsidR="003D1BAE" w:rsidRPr="003D1BAE" w:rsidRDefault="003D1BAE" w:rsidP="003D1BAE">
      <w:pPr>
        <w:tabs>
          <w:tab w:val="left" w:pos="708"/>
        </w:tabs>
        <w:spacing w:after="0" w:line="360" w:lineRule="auto"/>
        <w:ind w:firstLine="567"/>
        <w:contextualSpacing/>
        <w:jc w:val="right"/>
        <w:rPr>
          <w:rFonts w:ascii="Times New Roman" w:hAnsi="Times New Roman" w:cs="Times New Roman"/>
          <w:i/>
          <w:color w:val="000000"/>
          <w:spacing w:val="-2"/>
          <w:sz w:val="28"/>
          <w:szCs w:val="28"/>
          <w:lang w:eastAsia="uk-UA"/>
        </w:rPr>
      </w:pPr>
      <w:r w:rsidRPr="003D1BAE">
        <w:rPr>
          <w:rFonts w:ascii="Times New Roman" w:hAnsi="Times New Roman" w:cs="Times New Roman"/>
          <w:i/>
          <w:color w:val="000000"/>
          <w:spacing w:val="-2"/>
          <w:sz w:val="28"/>
          <w:szCs w:val="28"/>
          <w:lang w:eastAsia="uk-UA"/>
        </w:rPr>
        <w:t>Таблиця 2.7</w:t>
      </w:r>
    </w:p>
    <w:p w:rsidR="003D1BAE" w:rsidRPr="003D1BAE" w:rsidRDefault="003D1BAE" w:rsidP="003D1BAE">
      <w:pPr>
        <w:tabs>
          <w:tab w:val="left" w:pos="708"/>
        </w:tabs>
        <w:spacing w:after="0" w:line="360" w:lineRule="auto"/>
        <w:contextualSpacing/>
        <w:jc w:val="center"/>
        <w:rPr>
          <w:rFonts w:ascii="Times New Roman" w:hAnsi="Times New Roman" w:cs="Times New Roman"/>
          <w:b/>
          <w:color w:val="000000"/>
          <w:spacing w:val="-2"/>
          <w:sz w:val="28"/>
          <w:szCs w:val="28"/>
          <w:lang w:eastAsia="uk-UA"/>
        </w:rPr>
      </w:pPr>
      <w:r w:rsidRPr="003D1BAE">
        <w:rPr>
          <w:rFonts w:ascii="Times New Roman" w:hAnsi="Times New Roman" w:cs="Times New Roman"/>
          <w:b/>
          <w:color w:val="000000"/>
          <w:spacing w:val="-2"/>
          <w:sz w:val="28"/>
          <w:szCs w:val="28"/>
          <w:lang w:eastAsia="uk-UA"/>
        </w:rPr>
        <w:t>Видатки Чемеровецького селищного бюджету</w:t>
      </w:r>
    </w:p>
    <w:p w:rsidR="003D1BAE" w:rsidRPr="003D1BAE" w:rsidRDefault="003D1BAE" w:rsidP="003D1BAE">
      <w:pPr>
        <w:tabs>
          <w:tab w:val="left" w:pos="708"/>
        </w:tabs>
        <w:spacing w:after="0" w:line="360" w:lineRule="auto"/>
        <w:contextualSpacing/>
        <w:jc w:val="center"/>
        <w:rPr>
          <w:rFonts w:ascii="Times New Roman" w:hAnsi="Times New Roman" w:cs="Times New Roman"/>
          <w:b/>
          <w:color w:val="000000"/>
          <w:sz w:val="28"/>
          <w:szCs w:val="28"/>
          <w:lang w:eastAsia="uk-UA"/>
        </w:rPr>
      </w:pPr>
      <w:r w:rsidRPr="003D1BAE">
        <w:rPr>
          <w:rFonts w:ascii="Times New Roman" w:hAnsi="Times New Roman" w:cs="Times New Roman"/>
          <w:b/>
          <w:color w:val="000000"/>
          <w:spacing w:val="-2"/>
          <w:sz w:val="28"/>
          <w:szCs w:val="28"/>
          <w:lang w:eastAsia="uk-UA"/>
        </w:rPr>
        <w:t>на освіту у 2018-2020 рр., тис грн</w:t>
      </w:r>
    </w:p>
    <w:tbl>
      <w:tblPr>
        <w:tblW w:w="9743"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624"/>
        <w:gridCol w:w="1022"/>
        <w:gridCol w:w="1171"/>
        <w:gridCol w:w="1174"/>
        <w:gridCol w:w="794"/>
        <w:gridCol w:w="1116"/>
        <w:gridCol w:w="1131"/>
        <w:gridCol w:w="711"/>
      </w:tblGrid>
      <w:tr w:rsidR="003D1BAE" w:rsidRPr="003D1BAE" w:rsidTr="00CA15D4">
        <w:trPr>
          <w:trHeight w:val="260"/>
          <w:jc w:val="center"/>
        </w:trPr>
        <w:tc>
          <w:tcPr>
            <w:tcW w:w="2624"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1022"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3139"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958"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00"/>
          <w:jc w:val="center"/>
        </w:trPr>
        <w:tc>
          <w:tcPr>
            <w:tcW w:w="2624"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22"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171"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968"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c>
          <w:tcPr>
            <w:tcW w:w="1116"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842"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r>
      <w:tr w:rsidR="003D1BAE" w:rsidRPr="003D1BAE" w:rsidTr="00CA15D4">
        <w:trPr>
          <w:trHeight w:val="232"/>
          <w:jc w:val="center"/>
        </w:trPr>
        <w:tc>
          <w:tcPr>
            <w:tcW w:w="2624"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1022"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171"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p>
        </w:tc>
        <w:tc>
          <w:tcPr>
            <w:tcW w:w="117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79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1116"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13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71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140"/>
          <w:jc w:val="center"/>
        </w:trPr>
        <w:tc>
          <w:tcPr>
            <w:tcW w:w="2624" w:type="dxa"/>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Всього видатків,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76739,2</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95475,3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18736,1</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124,4</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92787,1</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-2688,2</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97,2</w:t>
            </w:r>
          </w:p>
        </w:tc>
      </w:tr>
      <w:tr w:rsidR="003D1BAE" w:rsidRPr="003D1BAE" w:rsidTr="00CA15D4">
        <w:trPr>
          <w:trHeight w:val="70"/>
          <w:jc w:val="center"/>
        </w:trPr>
        <w:tc>
          <w:tcPr>
            <w:tcW w:w="2624"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Дошкільна освіта</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12121,1</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15426,3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3305,2</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127,3</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14725,9</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-700,4</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95,5</w:t>
            </w:r>
          </w:p>
        </w:tc>
      </w:tr>
      <w:tr w:rsidR="003D1BAE" w:rsidRPr="003D1BAE" w:rsidTr="00CA15D4">
        <w:trPr>
          <w:trHeight w:val="142"/>
          <w:jc w:val="center"/>
        </w:trPr>
        <w:tc>
          <w:tcPr>
            <w:tcW w:w="2624"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 xml:space="preserve">Загальна середня освіта </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52011,7</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65654,8</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13643,1</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126,2</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62452,1</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-3202,7</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95,1</w:t>
            </w:r>
          </w:p>
        </w:tc>
      </w:tr>
      <w:tr w:rsidR="003D1BAE" w:rsidRPr="003D1BAE" w:rsidTr="00CA15D4">
        <w:trPr>
          <w:trHeight w:val="90"/>
          <w:jc w:val="center"/>
        </w:trPr>
        <w:tc>
          <w:tcPr>
            <w:tcW w:w="2624"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Позашкільна освіта,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6641,6</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6028,3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-613,3</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90,8</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6858,5</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830,2</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113,8</w:t>
            </w:r>
          </w:p>
        </w:tc>
      </w:tr>
      <w:tr w:rsidR="003D1BAE" w:rsidRPr="003D1BAE" w:rsidTr="00CA15D4">
        <w:trPr>
          <w:trHeight w:val="315"/>
          <w:jc w:val="center"/>
        </w:trPr>
        <w:tc>
          <w:tcPr>
            <w:tcW w:w="2624" w:type="dxa"/>
            <w:shd w:val="clear" w:color="auto" w:fill="FFFFFF" w:themeFill="background1"/>
            <w:hideMark/>
          </w:tcPr>
          <w:p w:rsidR="003D1BAE" w:rsidRPr="003D1BAE" w:rsidRDefault="003D1BAE" w:rsidP="003D1BAE">
            <w:pPr>
              <w:pStyle w:val="a3"/>
              <w:numPr>
                <w:ilvl w:val="0"/>
                <w:numId w:val="26"/>
              </w:numPr>
              <w:spacing w:after="0" w:line="240" w:lineRule="auto"/>
              <w:ind w:left="365" w:hanging="365"/>
              <w:rPr>
                <w:rFonts w:ascii="Times New Roman" w:hAnsi="Times New Roman" w:cs="Times New Roman"/>
                <w:i/>
                <w:color w:val="000000"/>
                <w:sz w:val="21"/>
                <w:szCs w:val="21"/>
                <w:lang w:eastAsia="uk-UA"/>
              </w:rPr>
            </w:pPr>
            <w:r w:rsidRPr="003D1BAE">
              <w:rPr>
                <w:rFonts w:ascii="Times New Roman" w:hAnsi="Times New Roman" w:cs="Times New Roman"/>
                <w:i/>
                <w:color w:val="000000"/>
                <w:sz w:val="21"/>
                <w:szCs w:val="21"/>
                <w:lang w:eastAsia="uk-UA"/>
              </w:rPr>
              <w:t>Школи естетичного виховання</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3884,4</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4161,3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276,9</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107,1</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4911,6</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750,3</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118,0</w:t>
            </w:r>
          </w:p>
        </w:tc>
      </w:tr>
      <w:tr w:rsidR="003D1BAE" w:rsidRPr="003D1BAE" w:rsidTr="00CA15D4">
        <w:trPr>
          <w:trHeight w:val="181"/>
          <w:jc w:val="center"/>
        </w:trPr>
        <w:tc>
          <w:tcPr>
            <w:tcW w:w="2624" w:type="dxa"/>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Методичне забезпечення діяльності навчальних закладів у галузі освіти</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581,2</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690,6</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109,4</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118,8</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466,8</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-223,8</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67,6</w:t>
            </w:r>
          </w:p>
        </w:tc>
      </w:tr>
      <w:tr w:rsidR="003D1BAE" w:rsidRPr="003D1BAE" w:rsidTr="00CA15D4">
        <w:trPr>
          <w:trHeight w:val="70"/>
          <w:jc w:val="center"/>
        </w:trPr>
        <w:tc>
          <w:tcPr>
            <w:tcW w:w="2624"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Утримання інших закладів та інші заходи у сфері освіти</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5383,6</w:t>
            </w:r>
          </w:p>
        </w:tc>
        <w:tc>
          <w:tcPr>
            <w:tcW w:w="117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7675,3</w:t>
            </w:r>
          </w:p>
        </w:tc>
        <w:tc>
          <w:tcPr>
            <w:tcW w:w="117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2291,7</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142,6</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8283,8</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608,5</w:t>
            </w:r>
          </w:p>
        </w:tc>
        <w:tc>
          <w:tcPr>
            <w:tcW w:w="71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107,9</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240" w:lineRule="auto"/>
        <w:ind w:firstLine="709"/>
        <w:contextualSpacing/>
        <w:jc w:val="both"/>
        <w:rPr>
          <w:rFonts w:ascii="Times New Roman" w:hAnsi="Times New Roman" w:cs="Times New Roman"/>
          <w:color w:val="000000"/>
          <w:sz w:val="28"/>
          <w:szCs w:val="28"/>
          <w:lang w:eastAsia="uk-UA"/>
        </w:rPr>
      </w:pPr>
    </w:p>
    <w:p w:rsidR="003D1BAE" w:rsidRPr="003D1BAE" w:rsidRDefault="003D1BAE" w:rsidP="003D1BAE">
      <w:pPr>
        <w:tabs>
          <w:tab w:val="left" w:pos="708"/>
        </w:tabs>
        <w:spacing w:after="0" w:line="360" w:lineRule="auto"/>
        <w:ind w:firstLine="709"/>
        <w:contextualSpacing/>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lastRenderedPageBreak/>
        <w:t xml:space="preserve">Фінансування культури та спорту уособлює виконання як власних, так і делегованих повноважень. Важливість цього напряму гуманітарної роботи при проведенні бюджетної політики органу місцевої влади пояснюється винятковим значенням культури в житті сучасного суспільства. Задоволення духовно-культурних потреб розглядають не тільки як один із аспектів формування якості життя населення, але й чинник національної безпеки. Поте, у багатьох територіальних громадах культура продовжують сприймати стереотипно як галузь невиробничої сфери, яка має фінансуватись за залишковим принципом. </w:t>
      </w:r>
    </w:p>
    <w:p w:rsidR="003D1BAE" w:rsidRPr="003D1BAE" w:rsidRDefault="003D1BAE" w:rsidP="003D1BAE">
      <w:pPr>
        <w:tabs>
          <w:tab w:val="left" w:pos="708"/>
        </w:tabs>
        <w:spacing w:after="0" w:line="360" w:lineRule="auto"/>
        <w:ind w:firstLine="709"/>
        <w:contextualSpacing/>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Однак, причина різноспрямованої динаміки Чемеровецького селищного бюджету на культуру та спорт пояснюється специфікою формування звітності про виконання бюджету. Зокрема, у 2019 році вагомий внесок у загальне зростання обсягів фінансування культури склало збільшення видатків на напрямом «Інші культурно-освітні заклади та заходи» (збільшення обсягу видатків у 12,2 рази, або на 4,3 млн грн). Це пояснюється відображенням у цій статті видатків на забезпечення діяльності Чемеровецької музичної школи та інших закладів мистецького виховання. Однак, уже в наступному році ці видатки були переведені до розділу фінансування освіти, внаслідок чого внесок таких маніпуляцій у загальне зменшення фінансування культури склав майже 4,0 млн грн (табл. 2.8).</w:t>
      </w:r>
    </w:p>
    <w:p w:rsidR="003D1BAE" w:rsidRPr="003D1BAE" w:rsidRDefault="003D1BAE" w:rsidP="003D1BAE">
      <w:pPr>
        <w:tabs>
          <w:tab w:val="left" w:pos="708"/>
        </w:tabs>
        <w:spacing w:after="0" w:line="360" w:lineRule="auto"/>
        <w:ind w:firstLine="709"/>
        <w:contextualSpacing/>
        <w:jc w:val="right"/>
        <w:rPr>
          <w:rFonts w:ascii="Times New Roman" w:hAnsi="Times New Roman" w:cs="Times New Roman"/>
          <w:i/>
          <w:color w:val="000000"/>
          <w:spacing w:val="-2"/>
          <w:sz w:val="28"/>
          <w:szCs w:val="28"/>
          <w:lang w:eastAsia="uk-UA"/>
        </w:rPr>
      </w:pPr>
      <w:r w:rsidRPr="003D1BAE">
        <w:rPr>
          <w:rFonts w:ascii="Times New Roman" w:hAnsi="Times New Roman" w:cs="Times New Roman"/>
          <w:i/>
          <w:color w:val="000000"/>
          <w:spacing w:val="-2"/>
          <w:sz w:val="28"/>
          <w:szCs w:val="28"/>
          <w:lang w:eastAsia="uk-UA"/>
        </w:rPr>
        <w:t>Таблиця 2.8</w:t>
      </w:r>
    </w:p>
    <w:p w:rsidR="003D1BAE" w:rsidRPr="003D1BAE" w:rsidRDefault="003D1BAE" w:rsidP="003D1BAE">
      <w:pPr>
        <w:tabs>
          <w:tab w:val="left" w:pos="708"/>
        </w:tabs>
        <w:spacing w:after="0" w:line="360" w:lineRule="auto"/>
        <w:contextualSpacing/>
        <w:jc w:val="center"/>
        <w:rPr>
          <w:rFonts w:ascii="Times New Roman" w:hAnsi="Times New Roman" w:cs="Times New Roman"/>
          <w:b/>
          <w:color w:val="000000"/>
          <w:spacing w:val="-2"/>
          <w:sz w:val="28"/>
          <w:szCs w:val="28"/>
          <w:lang w:eastAsia="uk-UA"/>
        </w:rPr>
      </w:pPr>
      <w:r w:rsidRPr="003D1BAE">
        <w:rPr>
          <w:rFonts w:ascii="Times New Roman" w:hAnsi="Times New Roman" w:cs="Times New Roman"/>
          <w:b/>
          <w:color w:val="000000"/>
          <w:spacing w:val="-2"/>
          <w:sz w:val="28"/>
          <w:szCs w:val="28"/>
          <w:lang w:eastAsia="uk-UA"/>
        </w:rPr>
        <w:t xml:space="preserve">Видатки Чемеровецького селищного бюджету </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color w:val="000000"/>
          <w:spacing w:val="-2"/>
          <w:sz w:val="28"/>
          <w:szCs w:val="28"/>
          <w:lang w:eastAsia="uk-UA"/>
        </w:rPr>
        <w:t>на культуру та спорт у 2018-2020 рр., тис грн</w:t>
      </w:r>
    </w:p>
    <w:tbl>
      <w:tblPr>
        <w:tblW w:w="9714"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628"/>
        <w:gridCol w:w="1022"/>
        <w:gridCol w:w="1053"/>
        <w:gridCol w:w="1157"/>
        <w:gridCol w:w="942"/>
        <w:gridCol w:w="1116"/>
        <w:gridCol w:w="992"/>
        <w:gridCol w:w="804"/>
      </w:tblGrid>
      <w:tr w:rsidR="003D1BAE" w:rsidRPr="003D1BAE" w:rsidTr="00CA15D4">
        <w:trPr>
          <w:trHeight w:val="260"/>
          <w:jc w:val="center"/>
        </w:trPr>
        <w:tc>
          <w:tcPr>
            <w:tcW w:w="2628"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1022"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3152"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912"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00"/>
          <w:jc w:val="center"/>
        </w:trPr>
        <w:tc>
          <w:tcPr>
            <w:tcW w:w="2628"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22"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53"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2099"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c>
          <w:tcPr>
            <w:tcW w:w="1116"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796"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r>
      <w:tr w:rsidR="003D1BAE" w:rsidRPr="003D1BAE" w:rsidTr="00CA15D4">
        <w:trPr>
          <w:trHeight w:val="232"/>
          <w:jc w:val="center"/>
        </w:trPr>
        <w:tc>
          <w:tcPr>
            <w:tcW w:w="2628"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1022"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053"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p>
        </w:tc>
        <w:tc>
          <w:tcPr>
            <w:tcW w:w="1157"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942"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1116"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992"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80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140"/>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Всього видатків на культуру і спорт, в т.ч.:</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6303,3</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13962,1</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7658,9</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221,5</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11172,7</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-2789,4</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80,0</w:t>
            </w:r>
          </w:p>
        </w:tc>
      </w:tr>
      <w:tr w:rsidR="003D1BAE" w:rsidRPr="003D1BAE" w:rsidTr="00CA15D4">
        <w:trPr>
          <w:trHeight w:val="70"/>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 xml:space="preserve">Бібліотеки </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2030,6</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2721,3</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690,7</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134,0</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2723,2</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1,9</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100,1</w:t>
            </w:r>
          </w:p>
        </w:tc>
      </w:tr>
      <w:tr w:rsidR="003D1BAE" w:rsidRPr="003D1BAE" w:rsidTr="00CA15D4">
        <w:trPr>
          <w:trHeight w:val="70"/>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Музеї та виставки</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68,1</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-68,1</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0,0</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1,9</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1,9</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spacing w:val="-2"/>
                <w:lang w:eastAsia="uk-UA"/>
              </w:rPr>
              <w:t>–</w:t>
            </w:r>
          </w:p>
        </w:tc>
      </w:tr>
      <w:tr w:rsidR="003D1BAE" w:rsidRPr="003D1BAE" w:rsidTr="00CA15D4">
        <w:trPr>
          <w:trHeight w:val="142"/>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Палаци культури, клуби</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3723,6</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5202,5</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1479,0</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139,7</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5565,6</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363,1</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107,0</w:t>
            </w:r>
          </w:p>
        </w:tc>
      </w:tr>
      <w:tr w:rsidR="003D1BAE" w:rsidRPr="003D1BAE" w:rsidTr="00CA15D4">
        <w:trPr>
          <w:trHeight w:val="134"/>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Інші культурно-освітні заклади та заходи</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386,0</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4699,0</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4313,0</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1217,4</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705,9</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-3993,1</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15,0</w:t>
            </w:r>
          </w:p>
        </w:tc>
      </w:tr>
      <w:tr w:rsidR="003D1BAE" w:rsidRPr="003D1BAE" w:rsidTr="00CA15D4">
        <w:trPr>
          <w:trHeight w:val="70"/>
          <w:jc w:val="center"/>
        </w:trPr>
        <w:tc>
          <w:tcPr>
            <w:tcW w:w="2628"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Видатки на фізичну культуру та спорт</w:t>
            </w:r>
          </w:p>
        </w:tc>
        <w:tc>
          <w:tcPr>
            <w:tcW w:w="1022"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95,0</w:t>
            </w:r>
          </w:p>
        </w:tc>
        <w:tc>
          <w:tcPr>
            <w:tcW w:w="105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1339,3</w:t>
            </w:r>
          </w:p>
        </w:tc>
        <w:tc>
          <w:tcPr>
            <w:tcW w:w="115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1244,3</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1409,8</w:t>
            </w:r>
          </w:p>
        </w:tc>
        <w:tc>
          <w:tcPr>
            <w:tcW w:w="1116"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2176,1</w:t>
            </w:r>
          </w:p>
        </w:tc>
        <w:tc>
          <w:tcPr>
            <w:tcW w:w="99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836,8</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162,5</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240" w:lineRule="auto"/>
        <w:ind w:firstLine="720"/>
        <w:contextualSpacing/>
        <w:jc w:val="both"/>
        <w:rPr>
          <w:rFonts w:ascii="Times New Roman" w:hAnsi="Times New Roman" w:cs="Times New Roman"/>
          <w:spacing w:val="-2"/>
          <w:sz w:val="28"/>
          <w:szCs w:val="28"/>
        </w:rPr>
      </w:pPr>
    </w:p>
    <w:p w:rsidR="003D1BAE" w:rsidRPr="003D1BAE" w:rsidRDefault="003D1BAE" w:rsidP="003D1BAE">
      <w:pPr>
        <w:tabs>
          <w:tab w:val="left" w:pos="708"/>
        </w:tabs>
        <w:spacing w:after="0" w:line="360" w:lineRule="auto"/>
        <w:ind w:firstLine="709"/>
        <w:contextualSpacing/>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lastRenderedPageBreak/>
        <w:t xml:space="preserve">Натомість, за іншими напрямами фінансування спостерігалось нарощування обсягу видатків, зокрема на діяльність клубів, палаців культури – на 363,1 тис. грн (на 7,0%), фізичну культуру та спорт – на 0,8 млн грн, або в 1,6 рази. Практично не збільшилось фінансування бібліотек, а також відсутнє фінансування </w:t>
      </w:r>
      <w:r w:rsidRPr="003D1BAE">
        <w:rPr>
          <w:rFonts w:ascii="Times New Roman" w:hAnsi="Times New Roman" w:cs="Times New Roman"/>
          <w:color w:val="000000"/>
          <w:spacing w:val="-2"/>
          <w:sz w:val="28"/>
          <w:szCs w:val="28"/>
          <w:lang w:eastAsia="uk-UA"/>
        </w:rPr>
        <w:t xml:space="preserve">Чемеровецького історико-краєзнавчого музею та інших заходів </w:t>
      </w:r>
      <w:r w:rsidRPr="003D1BAE">
        <w:rPr>
          <w:rFonts w:ascii="Times New Roman" w:hAnsi="Times New Roman" w:cs="Times New Roman"/>
          <w:color w:val="000000"/>
          <w:sz w:val="28"/>
          <w:szCs w:val="28"/>
          <w:lang w:eastAsia="uk-UA"/>
        </w:rPr>
        <w:t>виставково-музейної роботи.</w:t>
      </w:r>
    </w:p>
    <w:p w:rsidR="003D1BAE" w:rsidRPr="003D1BAE" w:rsidRDefault="003D1BAE" w:rsidP="003D1BAE">
      <w:pPr>
        <w:tabs>
          <w:tab w:val="left" w:pos="708"/>
        </w:tabs>
        <w:spacing w:after="0" w:line="360" w:lineRule="auto"/>
        <w:ind w:firstLine="709"/>
        <w:contextualSpacing/>
        <w:jc w:val="both"/>
        <w:rPr>
          <w:rFonts w:ascii="Times New Roman" w:hAnsi="Times New Roman" w:cs="Times New Roman"/>
          <w:color w:val="000000"/>
          <w:sz w:val="28"/>
          <w:szCs w:val="28"/>
          <w:lang w:eastAsia="uk-UA"/>
        </w:rPr>
      </w:pPr>
      <w:r w:rsidRPr="003D1BAE">
        <w:rPr>
          <w:rFonts w:ascii="Times New Roman" w:hAnsi="Times New Roman" w:cs="Times New Roman"/>
          <w:color w:val="000000"/>
          <w:spacing w:val="-2"/>
          <w:sz w:val="28"/>
          <w:szCs w:val="28"/>
          <w:lang w:eastAsia="uk-UA"/>
        </w:rPr>
        <w:t xml:space="preserve">Важливою складовою роботи органу місцевої влади, яка тривалий час поєднувала виконання власних та делегованих повноважень була реалізація програм соціального захисту населення. На рівні територіальної громади розробляються цільові програми соціального захисту окремих категорій населення (програма «Ветеран», надання соціального обслуговування за місцем проживання та ін.). До 2020 року вагомими складовими фінансування соціального захисту з місцевих бюджетів були програми надання фінансової допомоги на утримання житла (програма житлових субсидій), фінансування соціальних виплат сім’ям з дітьми, малозабезпеченим та інших соціальних виплат. Після зміни схеми фінансування цих соціальних виплат, обсяги видатків місцевих бюджетів значно скоротились та пов’язані переважно із фінансуванням власних повноважень у сфері соціального захисту населення (табл. 2.9). </w:t>
      </w:r>
    </w:p>
    <w:p w:rsidR="003D1BAE" w:rsidRPr="003D1BAE" w:rsidRDefault="003D1BAE" w:rsidP="003D1BAE">
      <w:pPr>
        <w:tabs>
          <w:tab w:val="left" w:pos="708"/>
        </w:tabs>
        <w:spacing w:after="0" w:line="240" w:lineRule="auto"/>
        <w:ind w:firstLine="720"/>
        <w:contextualSpacing/>
        <w:jc w:val="right"/>
        <w:rPr>
          <w:rFonts w:ascii="Times New Roman" w:hAnsi="Times New Roman" w:cs="Times New Roman"/>
          <w:i/>
          <w:color w:val="000000"/>
          <w:spacing w:val="-2"/>
          <w:sz w:val="28"/>
          <w:szCs w:val="28"/>
          <w:lang w:eastAsia="uk-UA"/>
        </w:rPr>
      </w:pPr>
      <w:r w:rsidRPr="003D1BAE">
        <w:rPr>
          <w:rFonts w:ascii="Times New Roman" w:hAnsi="Times New Roman" w:cs="Times New Roman"/>
          <w:i/>
          <w:color w:val="000000"/>
          <w:spacing w:val="-2"/>
          <w:sz w:val="28"/>
          <w:szCs w:val="28"/>
          <w:lang w:eastAsia="uk-UA"/>
        </w:rPr>
        <w:t>Таблиця 2.9</w:t>
      </w:r>
    </w:p>
    <w:p w:rsidR="003D1BAE" w:rsidRPr="003D1BAE" w:rsidRDefault="003D1BAE" w:rsidP="003D1BAE">
      <w:pPr>
        <w:tabs>
          <w:tab w:val="left" w:pos="708"/>
        </w:tabs>
        <w:spacing w:after="0" w:line="240" w:lineRule="auto"/>
        <w:contextualSpacing/>
        <w:jc w:val="center"/>
        <w:rPr>
          <w:rFonts w:ascii="Times New Roman" w:hAnsi="Times New Roman" w:cs="Times New Roman"/>
          <w:b/>
          <w:color w:val="000000"/>
          <w:spacing w:val="-2"/>
          <w:sz w:val="28"/>
          <w:szCs w:val="28"/>
          <w:lang w:eastAsia="uk-UA"/>
        </w:rPr>
      </w:pPr>
      <w:r w:rsidRPr="003D1BAE">
        <w:rPr>
          <w:rFonts w:ascii="Times New Roman" w:hAnsi="Times New Roman" w:cs="Times New Roman"/>
          <w:b/>
          <w:color w:val="000000"/>
          <w:spacing w:val="-2"/>
          <w:sz w:val="28"/>
          <w:szCs w:val="28"/>
          <w:lang w:eastAsia="uk-UA"/>
        </w:rPr>
        <w:t xml:space="preserve">Видатки Чемеровецького селищного бюджету </w:t>
      </w:r>
    </w:p>
    <w:p w:rsidR="003D1BAE" w:rsidRPr="003D1BAE" w:rsidRDefault="003D1BAE" w:rsidP="003D1BAE">
      <w:pPr>
        <w:tabs>
          <w:tab w:val="left" w:pos="708"/>
        </w:tabs>
        <w:spacing w:after="0" w:line="240" w:lineRule="auto"/>
        <w:contextualSpacing/>
        <w:jc w:val="center"/>
        <w:rPr>
          <w:rFonts w:ascii="Times New Roman" w:hAnsi="Times New Roman" w:cs="Times New Roman"/>
          <w:b/>
          <w:sz w:val="28"/>
          <w:szCs w:val="28"/>
        </w:rPr>
      </w:pPr>
      <w:r w:rsidRPr="003D1BAE">
        <w:rPr>
          <w:rFonts w:ascii="Times New Roman" w:hAnsi="Times New Roman" w:cs="Times New Roman"/>
          <w:b/>
          <w:color w:val="000000"/>
          <w:spacing w:val="-2"/>
          <w:sz w:val="28"/>
          <w:szCs w:val="28"/>
          <w:lang w:eastAsia="uk-UA"/>
        </w:rPr>
        <w:t>на соціальний захист населення у 2018-2020 рр., тис грн</w:t>
      </w:r>
    </w:p>
    <w:tbl>
      <w:tblPr>
        <w:tblW w:w="9651"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681"/>
        <w:gridCol w:w="889"/>
        <w:gridCol w:w="1068"/>
        <w:gridCol w:w="1087"/>
        <w:gridCol w:w="942"/>
        <w:gridCol w:w="1049"/>
        <w:gridCol w:w="1131"/>
        <w:gridCol w:w="804"/>
      </w:tblGrid>
      <w:tr w:rsidR="003D1BAE" w:rsidRPr="003D1BAE" w:rsidTr="00CA15D4">
        <w:trPr>
          <w:trHeight w:val="260"/>
          <w:jc w:val="center"/>
        </w:trPr>
        <w:tc>
          <w:tcPr>
            <w:tcW w:w="2681"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889"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3097"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984"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00"/>
          <w:jc w:val="center"/>
        </w:trPr>
        <w:tc>
          <w:tcPr>
            <w:tcW w:w="2681"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889"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68"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2029"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c>
          <w:tcPr>
            <w:tcW w:w="1049"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 грн</w:t>
            </w:r>
          </w:p>
        </w:tc>
        <w:tc>
          <w:tcPr>
            <w:tcW w:w="1935"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r>
      <w:tr w:rsidR="003D1BAE" w:rsidRPr="003D1BAE" w:rsidTr="00CA15D4">
        <w:trPr>
          <w:trHeight w:val="232"/>
          <w:jc w:val="center"/>
        </w:trPr>
        <w:tc>
          <w:tcPr>
            <w:tcW w:w="2681"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889"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068"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p>
        </w:tc>
        <w:tc>
          <w:tcPr>
            <w:tcW w:w="1087"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942"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1049"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131"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80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140"/>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Всього видатків на соціальний захист населення, в т.ч.:</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2650,4</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5000,2</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2349,8</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188,7</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sz w:val="24"/>
                <w:szCs w:val="24"/>
              </w:rPr>
            </w:pPr>
            <w:r w:rsidRPr="003D1BAE">
              <w:rPr>
                <w:rFonts w:ascii="Times New Roman" w:hAnsi="Times New Roman" w:cs="Times New Roman"/>
                <w:b/>
                <w:bCs/>
                <w:color w:val="000000"/>
                <w:sz w:val="24"/>
                <w:szCs w:val="24"/>
              </w:rPr>
              <w:t>4145,7</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sz w:val="24"/>
                <w:szCs w:val="24"/>
              </w:rPr>
            </w:pPr>
            <w:r w:rsidRPr="003D1BAE">
              <w:rPr>
                <w:rFonts w:ascii="Times New Roman" w:hAnsi="Times New Roman" w:cs="Times New Roman"/>
                <w:b/>
                <w:color w:val="000000"/>
                <w:sz w:val="24"/>
                <w:szCs w:val="24"/>
              </w:rPr>
              <w:t>-854,5</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sz w:val="24"/>
                <w:szCs w:val="24"/>
              </w:rPr>
            </w:pPr>
            <w:r w:rsidRPr="003D1BAE">
              <w:rPr>
                <w:rFonts w:ascii="Times New Roman" w:hAnsi="Times New Roman" w:cs="Times New Roman"/>
                <w:b/>
                <w:color w:val="000000"/>
                <w:sz w:val="24"/>
                <w:szCs w:val="24"/>
              </w:rPr>
              <w:t>82,9</w:t>
            </w:r>
          </w:p>
        </w:tc>
      </w:tr>
      <w:tr w:rsidR="003D1BAE" w:rsidRPr="003D1BAE" w:rsidTr="00CA15D4">
        <w:trPr>
          <w:trHeight w:val="70"/>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Фінансова підтримка громадських організацій інвалідів та ветеранів</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20,0</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31,8</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11,8</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159,0</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13,1</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-18,7</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41,2</w:t>
            </w:r>
          </w:p>
        </w:tc>
      </w:tr>
      <w:tr w:rsidR="003D1BAE" w:rsidRPr="003D1BAE" w:rsidTr="00CA15D4">
        <w:trPr>
          <w:trHeight w:val="142"/>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Оздоровлення та відпочинок дітей</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199,0</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242,7</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43,7</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122,0</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0,0</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-242,7</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0,0</w:t>
            </w:r>
          </w:p>
        </w:tc>
      </w:tr>
      <w:tr w:rsidR="003D1BAE" w:rsidRPr="003D1BAE" w:rsidTr="00CA15D4">
        <w:trPr>
          <w:trHeight w:val="224"/>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Надання соціальних пільг</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15,9</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17,0</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1,1</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106,9</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13,8</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-3,2</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81,2</w:t>
            </w:r>
          </w:p>
        </w:tc>
      </w:tr>
      <w:tr w:rsidR="003D1BAE" w:rsidRPr="003D1BAE" w:rsidTr="00CA15D4">
        <w:trPr>
          <w:trHeight w:val="74"/>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Забезпечення соціальними послугами за місцем проживання</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2164,0</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2941,3</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777,3</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135,9</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3600,6</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659,3</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122,4</w:t>
            </w:r>
          </w:p>
        </w:tc>
      </w:tr>
      <w:tr w:rsidR="003D1BAE" w:rsidRPr="003D1BAE" w:rsidTr="00CA15D4">
        <w:trPr>
          <w:trHeight w:val="70"/>
          <w:jc w:val="center"/>
        </w:trPr>
        <w:tc>
          <w:tcPr>
            <w:tcW w:w="2681"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Інші видатки на соціальний захист</w:t>
            </w:r>
          </w:p>
        </w:tc>
        <w:tc>
          <w:tcPr>
            <w:tcW w:w="88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251,5</w:t>
            </w:r>
          </w:p>
        </w:tc>
        <w:tc>
          <w:tcPr>
            <w:tcW w:w="1068"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1767,4</w:t>
            </w:r>
          </w:p>
        </w:tc>
        <w:tc>
          <w:tcPr>
            <w:tcW w:w="1087"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1515,9</w:t>
            </w:r>
          </w:p>
        </w:tc>
        <w:tc>
          <w:tcPr>
            <w:tcW w:w="942"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sz w:val="24"/>
                <w:szCs w:val="24"/>
              </w:rPr>
            </w:pPr>
            <w:r w:rsidRPr="003D1BAE">
              <w:rPr>
                <w:rFonts w:ascii="Times New Roman" w:hAnsi="Times New Roman" w:cs="Times New Roman"/>
                <w:bCs/>
                <w:color w:val="000000"/>
                <w:sz w:val="24"/>
                <w:szCs w:val="24"/>
              </w:rPr>
              <w:t>702,7</w:t>
            </w:r>
          </w:p>
        </w:tc>
        <w:tc>
          <w:tcPr>
            <w:tcW w:w="1049"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518,2</w:t>
            </w:r>
          </w:p>
        </w:tc>
        <w:tc>
          <w:tcPr>
            <w:tcW w:w="1131"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-1249,2</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sz w:val="24"/>
                <w:szCs w:val="24"/>
              </w:rPr>
            </w:pPr>
            <w:r w:rsidRPr="003D1BAE">
              <w:rPr>
                <w:rFonts w:ascii="Times New Roman" w:hAnsi="Times New Roman" w:cs="Times New Roman"/>
                <w:color w:val="000000"/>
                <w:sz w:val="24"/>
                <w:szCs w:val="24"/>
              </w:rPr>
              <w:t>29,3</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spacing w:after="0" w:line="360" w:lineRule="auto"/>
        <w:ind w:firstLine="709"/>
        <w:jc w:val="both"/>
        <w:rPr>
          <w:rFonts w:ascii="Times New Roman" w:hAnsi="Times New Roman" w:cs="Times New Roman"/>
          <w:color w:val="000000"/>
          <w:sz w:val="28"/>
          <w:szCs w:val="28"/>
          <w:highlight w:val="yellow"/>
          <w:lang w:eastAsia="uk-UA"/>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color w:val="000000"/>
          <w:spacing w:val="-2"/>
          <w:sz w:val="28"/>
          <w:szCs w:val="28"/>
          <w:lang w:eastAsia="uk-UA"/>
        </w:rPr>
      </w:pPr>
      <w:r w:rsidRPr="003D1BAE">
        <w:rPr>
          <w:rFonts w:ascii="Times New Roman" w:hAnsi="Times New Roman" w:cs="Times New Roman"/>
          <w:color w:val="000000"/>
          <w:spacing w:val="-2"/>
          <w:sz w:val="28"/>
          <w:szCs w:val="28"/>
          <w:lang w:eastAsia="uk-UA"/>
        </w:rPr>
        <w:t xml:space="preserve">Найбільшою складовою видатків селищного бюджету на соціальний захист населення у Чемеровецькій громаді є фінансування Територіального центру соціального обслуговування, на потреби якого у 2020 році було виділено 3,6 млн грн, що на 22,4% перевищує обсяги попереднього року. Таке зростання пов’язане із збільшенням обсягів надання соціальних послуг перестарілим громадянам в умовах карантинних обмежень. Натомість, за іншими напрямами соціального захисту спостерігалось зменшення фінансування. Зокрема, у 2020 році з об’єктивних причин взагалі були відсутні видатки на відпочинок та оздоровлення дітей соціально незахищених верств населення, у попередні роки на ці потреби було виділено, відповідно, 199,0 тис грн та 122,0 тис. грн. Помітно зменшились в останні роки також видатки на фінансову підтримку організацій ветеранів. На підтримку статутної діяльності ветеранських організацій у 2020 році з бюджету Чемеровецької громади було виділено всього 13,1 тис грн. Така динаміка пояснюється непоодинокими в Україні випадками, коли діяльність цих структур мала підривний характер стосовно національної безпеки нашої держави, або характеризувалась марнотратством і розкраданням коштів. </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color w:val="000000"/>
          <w:spacing w:val="-2"/>
          <w:sz w:val="28"/>
          <w:szCs w:val="28"/>
          <w:lang w:eastAsia="uk-UA"/>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color w:val="000000"/>
          <w:spacing w:val="-2"/>
          <w:sz w:val="28"/>
          <w:szCs w:val="28"/>
          <w:lang w:eastAsia="uk-UA"/>
        </w:rPr>
      </w:pP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b/>
          <w:color w:val="000000"/>
          <w:sz w:val="28"/>
          <w:szCs w:val="28"/>
          <w:lang w:eastAsia="uk-UA"/>
        </w:rPr>
      </w:pPr>
      <w:r w:rsidRPr="003D1BAE">
        <w:rPr>
          <w:rFonts w:ascii="Times New Roman" w:hAnsi="Times New Roman" w:cs="Times New Roman"/>
          <w:b/>
          <w:color w:val="000000"/>
          <w:sz w:val="28"/>
          <w:szCs w:val="28"/>
          <w:lang w:eastAsia="uk-UA"/>
        </w:rPr>
        <w:t>2.3. Практичні аспекти реалізації бюджетної політики органу місцевої влади щодо міжбюджетних трансфертів</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 xml:space="preserve">Міжбюджетні трансфери відіграють важливу роль у бюджетній політиці органів місцевої влади, забезпечуючи суттєве нарощування обсягу бюджетних ресурсів, які можуть бути спрямовані на реалізацію важливих проектів та заходів соціально-економічного розвитку територіальної громади. У бюджетній практиці міжбюджетні трансферти розмежовують відповідно до рівня впливу їх реципієнта на параметри їхнього використання на дотації та субвенції. Перший різновид міжбюджетних трансфертів передбачає передачу бюджетних ресурсів з одного бюджету до іншого на умовах визначеного цільового призначення. </w:t>
      </w:r>
      <w:r w:rsidRPr="003D1BAE">
        <w:rPr>
          <w:rFonts w:ascii="Times New Roman" w:hAnsi="Times New Roman" w:cs="Times New Roman"/>
          <w:color w:val="000000"/>
          <w:sz w:val="28"/>
          <w:szCs w:val="28"/>
          <w:lang w:eastAsia="uk-UA"/>
        </w:rPr>
        <w:lastRenderedPageBreak/>
        <w:t xml:space="preserve">Таким чином, отримуючи дотації, органи місцевого самоврядування не можуть вплинути на те, яким чином мають бути використані ці кошти, являючись фактично тільки транзитною ланкою між донором (іншим бюджетом, який передає кошти) і їх кінцевим реципієнтом (одержувачем коштів). </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 xml:space="preserve">Вітчизняне законодавство передбачає надання місцевим бюджетам кількох видів дотацій: базову, реверсну та додаткову дотацію. Базова та реверсна дотації являють собою взаємопротилежні грошові потоки, які використовуються у рамках вирівнювання податкоспроможності територій та передаються від державного бюджету до місцевих бюджетів (базова дотація) та у зворотному напрямку (реверсна дотація). Таким чином, базова дотація, яку отримують фінансово слабші територіальні громади, є інструментом для підвищення бюджетної спроможності місцевого бюджету. Джерелом надання цього різновиду міжбюджетних трансфертів є загальний фонд державного бюджету, який формується за рахунок загальнодержавних податків та зборів. Натомість, реверсна дотація фактично являє собою операцію вилучення коштів з бюджетів фінансово сильних територіальних громад. Мобілізовані таким чином ресурси спрямовуються до системи міжбюджетного вирівнювання для надання базових дотацій іншим місцевим бюджетам. </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 xml:space="preserve">Зважаючи на те, що алгоритм розрахунку базової та реверсної дотації чітко визначений бюджетним законодавством, органи місцевої влади не мають повноважень щодо ухвалення управлінських рішень з визначення їхніх параметрів. Розрахунок обсягів базової та реверсної дотації здійснюється на підставі об’єктивної методики, яка не передбачає виключень. Натомість, якщо звернути увагу на інший вид міжбюджетних трансфертів, а саме субвенції, то їхнє функціонування передбачає дещо ширші повноваження органів місцевої влади у контексті впливу на їхні обсяги та роль у формуванні доходів певного місцевого бюджету. </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 xml:space="preserve">Субвенція являє собою вид міжбюджетних трансфертів, який обов’язково має цільове спрямування. Субвенції надають на безповоротній основі за умови дотримання цільового призначення використання коштів. Оцінюючи досвід </w:t>
      </w:r>
      <w:r w:rsidRPr="003D1BAE">
        <w:rPr>
          <w:rFonts w:ascii="Times New Roman" w:hAnsi="Times New Roman" w:cs="Times New Roman"/>
          <w:color w:val="000000"/>
          <w:sz w:val="28"/>
          <w:szCs w:val="28"/>
          <w:lang w:eastAsia="uk-UA"/>
        </w:rPr>
        <w:lastRenderedPageBreak/>
        <w:t xml:space="preserve">функціонування субвенцій в Україні їх можна розмежувати на безумовні та умовні. До числа безумовних субвенцій ми зараховуємо освітню та медичну субвенції, які надходять до місцевих бюджетів на фінансування витрат з оплати праці педагогічних (в освіті) та медичних (в охороні здоров’я) працівників разом із відповідними соціальними нарахуваннями. Можливості впливати на обсяги надання цих субвенцій з боку органів місцевої влади мінімальні, проте їх отримують усі місцеві бюджети. Поряд із безумовними субвенціями, органи місцевої влади можуть залучати до місцевого бюджету умовні субвенції, які надаються вибірково та передбачають інвестиційний характер використання коштів. Для прикладу, впродовж усього періоду добровільного об’єднання територіальних громад в рамках проведення реформи децентралізації громади мали можливість залучати до власних бюджетів субвенції на формування їх інфраструктури. Ці кошти мали бути витрачені на реалізацію проектів, які відповідають напрямам, визначеним у Порядку та умовах надання відповідної субвенції. Незважаючи на те, при розподілі субвенцій між територіальними громадами враховувались площа їхньої території та чисельність сільського населення, умовою отримання цього трансферту також було подання проектної заявки, яка деталізує, на що саме будуть витрачені кошти. Подібний підхід до розподілу коштів застосовується при розподілі фінансування проектів за рахунок ресурсів Державного фонду регіонального розвитку. Головна умова залучення цих ресурсів полягає у підготовці та поданні проекту розвитку, який претендує на реалізацію та відповідає певним критеріям. </w:t>
      </w:r>
    </w:p>
    <w:p w:rsidR="003D1BAE" w:rsidRPr="003D1BAE" w:rsidRDefault="003D1BAE" w:rsidP="003D1BAE">
      <w:pPr>
        <w:spacing w:after="0" w:line="360" w:lineRule="auto"/>
        <w:ind w:firstLine="709"/>
        <w:jc w:val="both"/>
        <w:rPr>
          <w:rFonts w:ascii="Times New Roman" w:hAnsi="Times New Roman" w:cs="Times New Roman"/>
          <w:color w:val="000000"/>
          <w:spacing w:val="-2"/>
          <w:sz w:val="28"/>
          <w:szCs w:val="28"/>
          <w:lang w:eastAsia="uk-UA"/>
        </w:rPr>
      </w:pPr>
      <w:r w:rsidRPr="003D1BAE">
        <w:rPr>
          <w:rFonts w:ascii="Times New Roman" w:hAnsi="Times New Roman" w:cs="Times New Roman"/>
          <w:color w:val="000000"/>
          <w:sz w:val="28"/>
          <w:szCs w:val="28"/>
          <w:lang w:eastAsia="uk-UA"/>
        </w:rPr>
        <w:t xml:space="preserve">Незважаючи на позитивні моменти застосування проектного підходу при розподілі інвестиційних субвенцій, ключовим недоліком такої практики є непродуманість строків їхнього розподілу. Впродовж останніх років розподіл окремих видів інвестиційних субвенцій (субвенція на соціально-економічний розвиток окремих територій) проводився непрозоро та завершувався у другій половині поточного року, коли до закінчення бюджетного періоду залишалось кілька місяців. На той час рішення про місцеві бюджети уже давно прийняті, більш того, самі бюджети уже виконуються певний час. Відповідно, отримання </w:t>
      </w:r>
      <w:r w:rsidRPr="003D1BAE">
        <w:rPr>
          <w:rFonts w:ascii="Times New Roman" w:hAnsi="Times New Roman" w:cs="Times New Roman"/>
          <w:color w:val="000000"/>
          <w:sz w:val="28"/>
          <w:szCs w:val="28"/>
          <w:lang w:eastAsia="uk-UA"/>
        </w:rPr>
        <w:lastRenderedPageBreak/>
        <w:t xml:space="preserve">такої субвенції в середині бюджетного року змушувало органи місцевого </w:t>
      </w:r>
      <w:r w:rsidRPr="003D1BAE">
        <w:rPr>
          <w:rFonts w:ascii="Times New Roman" w:hAnsi="Times New Roman" w:cs="Times New Roman"/>
          <w:color w:val="000000"/>
          <w:spacing w:val="-2"/>
          <w:sz w:val="28"/>
          <w:szCs w:val="28"/>
          <w:lang w:eastAsia="uk-UA"/>
        </w:rPr>
        <w:t xml:space="preserve">самоврядування вносити зміни до рішення про місцевий бюджет, що передбачає дотримання певної процедури. Необхідно було також втратити певний час на оголошення та проведення тендерів на реалізацію проекту, укладення угод з переможцями та ін. Внаслідок цього значна частина проектів не реалізовувалась, або </w:t>
      </w:r>
      <w:r w:rsidRPr="003D1BAE">
        <w:rPr>
          <w:rFonts w:ascii="Times New Roman" w:hAnsi="Times New Roman" w:cs="Times New Roman"/>
          <w:color w:val="000000"/>
          <w:sz w:val="28"/>
          <w:szCs w:val="28"/>
          <w:lang w:eastAsia="uk-UA"/>
        </w:rPr>
        <w:t xml:space="preserve">строки їхньої реалізації зривались. Це давало формальні підстави говорити про неефективність використання такої моделі фінансової підтримки громад. Однак, обсяги та динаміку цих субвенцій у складі ресурсів місцевого бюджету можна розглядати як один із критеріїв </w:t>
      </w:r>
      <w:r w:rsidRPr="003D1BAE">
        <w:rPr>
          <w:rFonts w:ascii="Times New Roman" w:hAnsi="Times New Roman" w:cs="Times New Roman"/>
          <w:color w:val="000000"/>
          <w:spacing w:val="-2"/>
          <w:sz w:val="28"/>
          <w:szCs w:val="28"/>
          <w:lang w:eastAsia="uk-UA"/>
        </w:rPr>
        <w:t xml:space="preserve">оцінювання ефективності бюджетної політики щодо міжбюджетних трансфертів. </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color w:val="000000"/>
          <w:sz w:val="28"/>
          <w:szCs w:val="28"/>
          <w:lang w:eastAsia="uk-UA"/>
        </w:rPr>
        <w:t>Для підтвердження наших висновків оцінимо динаміку міжбюджетних трансфертів у складі Чемеровецького селищного бюджету. Обсяг трансфертів, який передбачений рішенням про селищний бюджет, прийнятним наприкінці 2019 року був визначений в обсязі 53,8 млн грн, з яких майже 7,0 млн грн становили дотації та 46,8 млн грн субвенції. Однак, в процесі виконання селищного бюджету обсяг дотацій залишився незмінним, тоді як завдання з мобілізації субвенцій було збільшене до 52,3 млн грн, або на 11,7%. Основний внесок у такі зміни здійснило залучення територіальною громадою субвенції на забезпечення якісної та доступної освіти за програмою «Нова українська школа» (на суму 2,7 млн грн), а також субвенції за рахунок розподілу залишку невикористаної освітньої субвенції, який утворився на початок бюджетного року в обсязі 0,5 млн грн (табл. 2.10).</w:t>
      </w:r>
    </w:p>
    <w:p w:rsidR="003D1BAE" w:rsidRPr="003D1BAE" w:rsidRDefault="003D1BAE" w:rsidP="003D1BAE">
      <w:pPr>
        <w:spacing w:after="0" w:line="360" w:lineRule="auto"/>
        <w:ind w:firstLine="709"/>
        <w:jc w:val="both"/>
        <w:rPr>
          <w:rFonts w:ascii="Times New Roman" w:hAnsi="Times New Roman" w:cs="Times New Roman"/>
          <w:color w:val="000000"/>
          <w:sz w:val="28"/>
          <w:szCs w:val="28"/>
          <w:lang w:eastAsia="uk-UA"/>
        </w:rPr>
      </w:pPr>
      <w:r w:rsidRPr="003D1BAE">
        <w:rPr>
          <w:rFonts w:ascii="Times New Roman" w:hAnsi="Times New Roman" w:cs="Times New Roman"/>
          <w:sz w:val="28"/>
          <w:szCs w:val="28"/>
        </w:rPr>
        <w:t xml:space="preserve">Подібна ситуація спостерігалась також у 2019 році. Загальний обсяг міжбюджетних трансфертів, який було заплановано отримати до селищного бюджету при його прийнятті Чемеровецькою селищною радою був визначений на рівні 63,8 млн грн, з яких 8,9 млн грн мали становити дотації, ще 54,9 млн грн субвенції. Основну частину субвенцій мали скласти освітня (37,1 млн грн) та медична (15,4 млн грн) субвенції, субвенції іншого призначення було передбачено в обсязі майже 2,4 млн грн. В процесі процедури уточнення планових показників міжбюджетних трансфертів обсяги дотацій були залишені </w:t>
      </w:r>
      <w:r w:rsidRPr="003D1BAE">
        <w:rPr>
          <w:rFonts w:ascii="Times New Roman" w:hAnsi="Times New Roman" w:cs="Times New Roman"/>
          <w:sz w:val="28"/>
          <w:szCs w:val="28"/>
        </w:rPr>
        <w:lastRenderedPageBreak/>
        <w:t xml:space="preserve">без змін, тоді як план по залученню субвенцій був підвищений на 15,7 млн грн, або в 1,3 рази. Причини цього полягають в залученні територіальною громадою субвенції на формування інфраструктури ОТГ на суму 6,7 млн грн, а також субвенції за державною цільовою програмою «Нова українська школа» на суму 0,7 млн грн. Додатково при розподілі залишків невикористаної освітньої субвенції попереднього року селищний бюджет у 2019 році отримав субвенції на суму майже 0,4 млн грн. </w:t>
      </w:r>
    </w:p>
    <w:p w:rsidR="003D1BAE" w:rsidRPr="003D1BAE" w:rsidRDefault="003D1BAE" w:rsidP="003D1BAE">
      <w:pPr>
        <w:tabs>
          <w:tab w:val="left" w:pos="1080"/>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2.10</w:t>
      </w:r>
    </w:p>
    <w:p w:rsidR="003D1BAE" w:rsidRPr="003D1BAE" w:rsidRDefault="003D1BAE" w:rsidP="003D1BAE">
      <w:pPr>
        <w:tabs>
          <w:tab w:val="left" w:pos="1080"/>
        </w:tabs>
        <w:spacing w:after="0" w:line="360" w:lineRule="auto"/>
        <w:contextualSpacing/>
        <w:jc w:val="center"/>
        <w:rPr>
          <w:rFonts w:ascii="Times New Roman" w:hAnsi="Times New Roman" w:cs="Times New Roman"/>
          <w:b/>
          <w:spacing w:val="-2"/>
          <w:sz w:val="28"/>
          <w:szCs w:val="28"/>
        </w:rPr>
      </w:pPr>
      <w:r w:rsidRPr="003D1BAE">
        <w:rPr>
          <w:rFonts w:ascii="Times New Roman" w:hAnsi="Times New Roman" w:cs="Times New Roman"/>
          <w:b/>
          <w:spacing w:val="-2"/>
          <w:sz w:val="28"/>
          <w:szCs w:val="28"/>
        </w:rPr>
        <w:t>Показники початкового та уточненого плану залучення міжбюджетних трансфертів до Чемеровецького селищного бюджету у 2019-202 рр., тис грн</w:t>
      </w:r>
    </w:p>
    <w:tbl>
      <w:tblPr>
        <w:tblW w:w="960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2"/>
        <w:gridCol w:w="1031"/>
        <w:gridCol w:w="1031"/>
        <w:gridCol w:w="1031"/>
        <w:gridCol w:w="1031"/>
        <w:gridCol w:w="1031"/>
        <w:gridCol w:w="1032"/>
      </w:tblGrid>
      <w:tr w:rsidR="003D1BAE" w:rsidRPr="003D1BAE" w:rsidTr="00CA15D4">
        <w:trPr>
          <w:trHeight w:val="315"/>
        </w:trPr>
        <w:tc>
          <w:tcPr>
            <w:tcW w:w="3422" w:type="dxa"/>
            <w:vMerge w:val="restart"/>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3093" w:type="dxa"/>
            <w:gridSpan w:val="3"/>
            <w:shd w:val="clear" w:color="auto" w:fill="auto"/>
            <w:vAlign w:val="bottom"/>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3094" w:type="dxa"/>
            <w:gridSpan w:val="3"/>
            <w:shd w:val="clear" w:color="auto" w:fill="auto"/>
            <w:noWrap/>
            <w:vAlign w:val="bottom"/>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15"/>
        </w:trPr>
        <w:tc>
          <w:tcPr>
            <w:tcW w:w="3422" w:type="dxa"/>
            <w:vMerge/>
            <w:shd w:val="clear" w:color="auto" w:fill="auto"/>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1031" w:type="dxa"/>
            <w:shd w:val="clear" w:color="auto" w:fill="auto"/>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План</w:t>
            </w:r>
          </w:p>
        </w:tc>
        <w:tc>
          <w:tcPr>
            <w:tcW w:w="1031"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Уточн. план</w:t>
            </w:r>
          </w:p>
        </w:tc>
        <w:tc>
          <w:tcPr>
            <w:tcW w:w="1031"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 xml:space="preserve">Факт </w:t>
            </w:r>
          </w:p>
        </w:tc>
        <w:tc>
          <w:tcPr>
            <w:tcW w:w="1031"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План</w:t>
            </w:r>
          </w:p>
        </w:tc>
        <w:tc>
          <w:tcPr>
            <w:tcW w:w="1031" w:type="dxa"/>
            <w:shd w:val="clear" w:color="auto" w:fill="auto"/>
            <w:noWrap/>
            <w:vAlign w:val="center"/>
            <w:hideMark/>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Уточ. План</w:t>
            </w:r>
          </w:p>
        </w:tc>
        <w:tc>
          <w:tcPr>
            <w:tcW w:w="1032" w:type="dxa"/>
            <w:shd w:val="clear" w:color="auto" w:fill="auto"/>
            <w:vAlign w:val="center"/>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Факт</w:t>
            </w:r>
          </w:p>
        </w:tc>
      </w:tr>
      <w:tr w:rsidR="003D1BAE" w:rsidRPr="003D1BAE" w:rsidTr="00CA15D4">
        <w:trPr>
          <w:trHeight w:val="132"/>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Офіційні трансферти, в т.ч.:</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63769,0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79454,0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79316,8</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53779,4</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59235,7</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b/>
                <w:bCs/>
                <w:color w:val="000000"/>
                <w:sz w:val="21"/>
                <w:szCs w:val="21"/>
              </w:rPr>
            </w:pPr>
            <w:r w:rsidRPr="003D1BAE">
              <w:rPr>
                <w:rFonts w:ascii="Times New Roman" w:hAnsi="Times New Roman" w:cs="Times New Roman"/>
                <w:b/>
                <w:bCs/>
                <w:color w:val="000000"/>
                <w:sz w:val="21"/>
                <w:szCs w:val="21"/>
              </w:rPr>
              <w:t>59130,9</w:t>
            </w:r>
          </w:p>
        </w:tc>
      </w:tr>
      <w:tr w:rsidR="003D1BAE" w:rsidRPr="003D1BAE" w:rsidTr="00CA15D4">
        <w:trPr>
          <w:trHeight w:val="15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Дотації, в т.ч.:</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8912,5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8912,5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8912,5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6960,3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6960,3</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6960,3</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Базова дотація</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3191,9</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3191,9</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3191,9</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4199,8</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4199,8</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4199,8</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Дотація на здійснення переданих видатків з утримання закладів освіти та охорони здоров`я</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5573,6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5573,6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5573,6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2712,6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2712,6</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2712,6</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Інші дотації</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147,0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147,0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147,0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47,9</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47,9</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47,9</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b/>
                <w:color w:val="000000"/>
                <w:sz w:val="21"/>
                <w:szCs w:val="21"/>
                <w:lang w:eastAsia="uk-UA"/>
              </w:rPr>
            </w:pPr>
            <w:r w:rsidRPr="003D1BAE">
              <w:rPr>
                <w:rFonts w:ascii="Times New Roman" w:hAnsi="Times New Roman" w:cs="Times New Roman"/>
                <w:b/>
                <w:color w:val="000000"/>
                <w:sz w:val="21"/>
                <w:szCs w:val="21"/>
                <w:lang w:eastAsia="uk-UA"/>
              </w:rPr>
              <w:t>Субвенції, в т.ч.:</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54856,5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70541,5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70404,3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46819,1</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52275,4</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b/>
                <w:color w:val="000000"/>
                <w:sz w:val="21"/>
                <w:szCs w:val="21"/>
              </w:rPr>
            </w:pPr>
            <w:r w:rsidRPr="003D1BAE">
              <w:rPr>
                <w:rFonts w:ascii="Times New Roman" w:hAnsi="Times New Roman" w:cs="Times New Roman"/>
                <w:b/>
                <w:color w:val="000000"/>
                <w:sz w:val="21"/>
                <w:szCs w:val="21"/>
              </w:rPr>
              <w:t>52170,6</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Субвенція на формування інфраструктури об’єднаних територіальних громад</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6749,6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6749,6</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Освітня субвенція</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37110,3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37110,3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37110,3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41601,8</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39937,5</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39937,5</w:t>
            </w:r>
          </w:p>
        </w:tc>
      </w:tr>
      <w:tr w:rsidR="003D1BAE" w:rsidRPr="003D1BAE" w:rsidTr="00CA15D4">
        <w:trPr>
          <w:trHeight w:val="7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Медична субвенція</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15367,3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15367,3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15367,3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4096,4</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4096,4</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4096,4</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sz w:val="21"/>
                <w:szCs w:val="21"/>
                <w:lang w:eastAsia="uk-UA"/>
              </w:rPr>
              <w:t>Субвенція на надання державної підтримки особам з особливими освітніми потребами</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50,5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67,5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36,4</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87,4</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87,0</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87,0</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sz w:val="21"/>
                <w:szCs w:val="21"/>
                <w:lang w:eastAsia="uk-UA"/>
              </w:rPr>
              <w:t>Субвенція на забезпечення якісної, сучасної та доступної загальної середньої освіти «Нова українська школа»</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693,3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684,0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2747,5</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2747,5</w:t>
            </w:r>
          </w:p>
        </w:tc>
      </w:tr>
      <w:tr w:rsidR="003D1BAE" w:rsidRPr="003D1BAE" w:rsidTr="00CA15D4">
        <w:trPr>
          <w:trHeight w:val="90"/>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Субвенція за рахунок залишку коштів освітньої субвенції, що утворився на початок бюджетного період</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385,3</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346,8</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0,0</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515,9</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513,9</w:t>
            </w:r>
          </w:p>
        </w:tc>
      </w:tr>
      <w:tr w:rsidR="003D1BAE" w:rsidRPr="003D1BAE" w:rsidTr="00CA15D4">
        <w:trPr>
          <w:trHeight w:val="315"/>
        </w:trPr>
        <w:tc>
          <w:tcPr>
            <w:tcW w:w="3422" w:type="dxa"/>
            <w:shd w:val="clear" w:color="auto" w:fill="auto"/>
            <w:hideMark/>
          </w:tcPr>
          <w:p w:rsidR="003D1BAE" w:rsidRPr="003D1BAE" w:rsidRDefault="003D1BAE" w:rsidP="003D1BAE">
            <w:pPr>
              <w:spacing w:after="0" w:line="240" w:lineRule="auto"/>
              <w:rPr>
                <w:rFonts w:ascii="Times New Roman" w:hAnsi="Times New Roman" w:cs="Times New Roman"/>
                <w:color w:val="000000"/>
                <w:sz w:val="21"/>
                <w:szCs w:val="21"/>
                <w:lang w:eastAsia="uk-UA"/>
              </w:rPr>
            </w:pPr>
            <w:r w:rsidRPr="003D1BAE">
              <w:rPr>
                <w:rFonts w:ascii="Times New Roman" w:hAnsi="Times New Roman" w:cs="Times New Roman"/>
                <w:color w:val="000000"/>
                <w:sz w:val="21"/>
                <w:szCs w:val="21"/>
                <w:lang w:eastAsia="uk-UA"/>
              </w:rPr>
              <w:t>Інші субвенції</w:t>
            </w:r>
          </w:p>
        </w:tc>
        <w:tc>
          <w:tcPr>
            <w:tcW w:w="1031" w:type="dxa"/>
            <w:shd w:val="clear" w:color="auto" w:fill="auto"/>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2328,4</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10168,2</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10109,9</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1033,5</w:t>
            </w:r>
          </w:p>
        </w:tc>
        <w:tc>
          <w:tcPr>
            <w:tcW w:w="1031" w:type="dxa"/>
            <w:shd w:val="clear" w:color="auto" w:fill="auto"/>
            <w:noWrap/>
            <w:vAlign w:val="bottom"/>
            <w:hideMark/>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4891,1</w:t>
            </w:r>
          </w:p>
        </w:tc>
        <w:tc>
          <w:tcPr>
            <w:tcW w:w="1032" w:type="dxa"/>
            <w:shd w:val="clear" w:color="auto" w:fill="auto"/>
            <w:vAlign w:val="bottom"/>
          </w:tcPr>
          <w:p w:rsidR="003D1BAE" w:rsidRPr="003D1BAE" w:rsidRDefault="003D1BAE" w:rsidP="003D1BAE">
            <w:pPr>
              <w:spacing w:after="0"/>
              <w:jc w:val="right"/>
              <w:rPr>
                <w:rFonts w:ascii="Times New Roman" w:hAnsi="Times New Roman" w:cs="Times New Roman"/>
                <w:color w:val="000000"/>
                <w:sz w:val="21"/>
                <w:szCs w:val="21"/>
              </w:rPr>
            </w:pPr>
            <w:r w:rsidRPr="003D1BAE">
              <w:rPr>
                <w:rFonts w:ascii="Times New Roman" w:hAnsi="Times New Roman" w:cs="Times New Roman"/>
                <w:color w:val="000000"/>
                <w:sz w:val="21"/>
                <w:szCs w:val="21"/>
              </w:rPr>
              <w:t>4788,3</w:t>
            </w:r>
          </w:p>
        </w:tc>
      </w:tr>
    </w:tbl>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Критерієм ефективності бюджетної політики органу місцевої влади щодо міжбюджетних трансферів може бути не тільки їх зміна в процесі уточнення показників місцевого бюджету, але й забезпечення позитивної динаміки у </w:t>
      </w:r>
      <w:r w:rsidRPr="003D1BAE">
        <w:rPr>
          <w:rFonts w:ascii="Times New Roman" w:hAnsi="Times New Roman" w:cs="Times New Roman"/>
          <w:sz w:val="28"/>
          <w:szCs w:val="28"/>
        </w:rPr>
        <w:lastRenderedPageBreak/>
        <w:t xml:space="preserve">середньо- та довгостроковому періоді, що свідчитиме про стійкість розширення фінансових можливостей органу місцевого самоврядування та активну роботу </w:t>
      </w:r>
      <w:r w:rsidRPr="003D1BAE">
        <w:rPr>
          <w:rFonts w:ascii="Times New Roman" w:hAnsi="Times New Roman" w:cs="Times New Roman"/>
          <w:spacing w:val="-2"/>
          <w:sz w:val="28"/>
          <w:szCs w:val="28"/>
        </w:rPr>
        <w:t>апарату стосовно залучення додаткових ресурсів до бюджету. Якщо засто</w:t>
      </w:r>
      <w:r w:rsidRPr="003D1BAE">
        <w:rPr>
          <w:rFonts w:ascii="Times New Roman" w:hAnsi="Times New Roman" w:cs="Times New Roman"/>
          <w:sz w:val="28"/>
          <w:szCs w:val="28"/>
        </w:rPr>
        <w:t xml:space="preserve">сувати такий критерій оцінювання до показників Чемеровецького селищного бюджету, то можемо констатувати нестабільну ефективність бюджетної політики у цій сфері. Так, у 2019 році було досягнуто найвищого значення обсягу залучених міжбюджетних трансфертів до селищного бюджету, у порівнянні з попереднім бюджетним періодом вони зросли в 1,3 рази, при цьому увесь приріст припав на субвенції, які збільшились в 1,4 рази до 70,4 млн грн, тоді як показники надання дотацій порівняно з 2018 роком зменшились на чверть (табл. 2.11). </w:t>
      </w:r>
    </w:p>
    <w:p w:rsidR="003D1BAE" w:rsidRPr="003D1BAE" w:rsidRDefault="003D1BAE" w:rsidP="003D1BAE">
      <w:pPr>
        <w:tabs>
          <w:tab w:val="left" w:pos="708"/>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2.11</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Показники офіційних трансфертів</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у Чемеровецькому селищному бюджеті у 2018-2020 рр., тис грн</w:t>
      </w:r>
    </w:p>
    <w:tbl>
      <w:tblPr>
        <w:tblW w:w="967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11"/>
        <w:gridCol w:w="992"/>
        <w:gridCol w:w="1063"/>
        <w:gridCol w:w="1008"/>
        <w:gridCol w:w="906"/>
        <w:gridCol w:w="1049"/>
        <w:gridCol w:w="1078"/>
        <w:gridCol w:w="870"/>
      </w:tblGrid>
      <w:tr w:rsidR="003D1BAE" w:rsidRPr="003D1BAE" w:rsidTr="00CA15D4">
        <w:trPr>
          <w:trHeight w:val="217"/>
        </w:trPr>
        <w:tc>
          <w:tcPr>
            <w:tcW w:w="2711" w:type="dxa"/>
            <w:vMerge w:val="restart"/>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Показники</w:t>
            </w:r>
          </w:p>
        </w:tc>
        <w:tc>
          <w:tcPr>
            <w:tcW w:w="992" w:type="dxa"/>
            <w:vMerge w:val="restart"/>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2018</w:t>
            </w:r>
          </w:p>
        </w:tc>
        <w:tc>
          <w:tcPr>
            <w:tcW w:w="2977" w:type="dxa"/>
            <w:gridSpan w:val="3"/>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2019</w:t>
            </w:r>
          </w:p>
        </w:tc>
        <w:tc>
          <w:tcPr>
            <w:tcW w:w="2997" w:type="dxa"/>
            <w:gridSpan w:val="3"/>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2020</w:t>
            </w:r>
          </w:p>
        </w:tc>
      </w:tr>
      <w:tr w:rsidR="003D1BAE" w:rsidRPr="003D1BAE" w:rsidTr="00CA15D4">
        <w:trPr>
          <w:trHeight w:val="251"/>
        </w:trPr>
        <w:tc>
          <w:tcPr>
            <w:tcW w:w="2711" w:type="dxa"/>
            <w:vMerge/>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992" w:type="dxa"/>
            <w:vMerge/>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063" w:type="dxa"/>
            <w:vMerge w:val="restart"/>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1914" w:type="dxa"/>
            <w:gridSpan w:val="2"/>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До поп. року</w:t>
            </w:r>
          </w:p>
        </w:tc>
        <w:tc>
          <w:tcPr>
            <w:tcW w:w="1049" w:type="dxa"/>
            <w:vMerge w:val="restart"/>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1948" w:type="dxa"/>
            <w:gridSpan w:val="2"/>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До поп. року</w:t>
            </w:r>
          </w:p>
        </w:tc>
      </w:tr>
      <w:tr w:rsidR="003D1BAE" w:rsidRPr="003D1BAE" w:rsidTr="00CA15D4">
        <w:trPr>
          <w:trHeight w:val="285"/>
        </w:trPr>
        <w:tc>
          <w:tcPr>
            <w:tcW w:w="2711" w:type="dxa"/>
            <w:vMerge/>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992" w:type="dxa"/>
            <w:vMerge/>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063" w:type="dxa"/>
            <w:vMerge/>
            <w:shd w:val="clear" w:color="auto" w:fill="auto"/>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008" w:type="dxa"/>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 грн</w:t>
            </w:r>
          </w:p>
        </w:tc>
        <w:tc>
          <w:tcPr>
            <w:tcW w:w="906" w:type="dxa"/>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w:t>
            </w:r>
          </w:p>
        </w:tc>
        <w:tc>
          <w:tcPr>
            <w:tcW w:w="1049" w:type="dxa"/>
            <w:vMerge/>
            <w:shd w:val="clear" w:color="auto" w:fill="auto"/>
            <w:noWrap/>
            <w:vAlign w:val="center"/>
            <w:hideMark/>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p>
        </w:tc>
        <w:tc>
          <w:tcPr>
            <w:tcW w:w="1078" w:type="dxa"/>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тис</w:t>
            </w:r>
          </w:p>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грн</w:t>
            </w:r>
          </w:p>
        </w:tc>
        <w:tc>
          <w:tcPr>
            <w:tcW w:w="870" w:type="dxa"/>
            <w:shd w:val="clear" w:color="auto" w:fill="auto"/>
            <w:vAlign w:val="center"/>
          </w:tcPr>
          <w:p w:rsidR="003D1BAE" w:rsidRPr="003D1BAE" w:rsidRDefault="003D1BAE" w:rsidP="003D1BAE">
            <w:pPr>
              <w:spacing w:after="0" w:line="240" w:lineRule="auto"/>
              <w:jc w:val="center"/>
              <w:rPr>
                <w:rFonts w:ascii="Times New Roman" w:hAnsi="Times New Roman" w:cs="Times New Roman"/>
                <w:b/>
                <w:color w:val="000000"/>
                <w:sz w:val="24"/>
                <w:szCs w:val="24"/>
                <w:lang w:eastAsia="uk-UA"/>
              </w:rPr>
            </w:pPr>
            <w:r w:rsidRPr="003D1BAE">
              <w:rPr>
                <w:rFonts w:ascii="Times New Roman" w:hAnsi="Times New Roman" w:cs="Times New Roman"/>
                <w:b/>
                <w:color w:val="000000"/>
                <w:sz w:val="24"/>
                <w:szCs w:val="24"/>
                <w:lang w:eastAsia="uk-UA"/>
              </w:rPr>
              <w:t>%</w:t>
            </w:r>
          </w:p>
        </w:tc>
      </w:tr>
      <w:tr w:rsidR="003D1BAE" w:rsidRPr="003D1BAE" w:rsidTr="00CA15D4">
        <w:trPr>
          <w:trHeight w:val="315"/>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Офіційні трансферти</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60799,0</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79316,8</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18517,8</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130,5</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59130,9</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-20185,9</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74,6</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Дотації</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11831,9</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8912,5</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-2919,4</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75,3</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6960,3</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-1952,2</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78,1</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Базова дотація</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2557,7</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3191,9</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634,2</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124,8</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4199,8</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1007,9</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131,6</w:t>
            </w:r>
          </w:p>
        </w:tc>
      </w:tr>
      <w:tr w:rsidR="003D1BAE" w:rsidRPr="003D1BAE" w:rsidTr="00CA15D4">
        <w:trPr>
          <w:trHeight w:val="328"/>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Дотація на здійснення переданих видатків з утримання закладів освіти та охорони здоров`я</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9105,9</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5573,6</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-3532,3</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61,2</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2712,6</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-2861,0</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48,7</w:t>
            </w:r>
          </w:p>
        </w:tc>
      </w:tr>
      <w:tr w:rsidR="003D1BAE" w:rsidRPr="003D1BAE" w:rsidTr="00CA15D4">
        <w:trPr>
          <w:trHeight w:val="315"/>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Інші дотації</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168,3</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147,0</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-21,3</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87,3</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47,9</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-99,1</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32,6</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b/>
                <w:color w:val="000000"/>
                <w:lang w:eastAsia="uk-UA"/>
              </w:rPr>
            </w:pPr>
            <w:r w:rsidRPr="003D1BAE">
              <w:rPr>
                <w:rFonts w:ascii="Times New Roman" w:hAnsi="Times New Roman" w:cs="Times New Roman"/>
                <w:b/>
                <w:color w:val="000000"/>
                <w:lang w:eastAsia="uk-UA"/>
              </w:rPr>
              <w:t>Субвенції</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48967,1</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70404,3</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21437,2</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143,8</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52170,6</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-18233,7</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74,1</w:t>
            </w:r>
          </w:p>
        </w:tc>
      </w:tr>
      <w:tr w:rsidR="003D1BAE" w:rsidRPr="003D1BAE" w:rsidTr="00CA15D4">
        <w:trPr>
          <w:trHeight w:val="84"/>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Субвенція на формування інфраструктури ОТГ</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lang w:val="en-US"/>
              </w:rPr>
              <w:t>0,0</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6749,6</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6749,6</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-6749,6</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Освітня субвенція</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31660,3</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37110,3</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5450,0</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117,2</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39937,5</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2827,2</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107,6</w:t>
            </w:r>
          </w:p>
        </w:tc>
      </w:tr>
      <w:tr w:rsidR="003D1BAE" w:rsidRPr="003D1BAE" w:rsidTr="00CA15D4">
        <w:trPr>
          <w:trHeight w:val="158"/>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Медична субвенція</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13306,8</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15367,3</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2060,5</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115,5</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4096,4</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-11270,9</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26,7</w:t>
            </w:r>
          </w:p>
        </w:tc>
      </w:tr>
      <w:tr w:rsidR="003D1BAE" w:rsidRPr="003D1BAE" w:rsidTr="00CA15D4">
        <w:trPr>
          <w:trHeight w:val="82"/>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lang w:eastAsia="uk-UA"/>
              </w:rPr>
              <w:t>Субвенція на надання державної підтримки особам з особливими освітніми потребами</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155,1</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36,4</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-118,7</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23,5</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87,0</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50,6</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239,0</w:t>
            </w:r>
          </w:p>
        </w:tc>
      </w:tr>
      <w:tr w:rsidR="003D1BAE" w:rsidRPr="003D1BAE" w:rsidTr="00CA15D4">
        <w:trPr>
          <w:trHeight w:val="378"/>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lang w:eastAsia="uk-UA"/>
              </w:rPr>
              <w:t>Субвенція на реалізацію програми «Нова українська школа»</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695,1</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684,0</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-11,1</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98,4</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2747,5</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2063,5</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401,7</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Субвенція за рахунок залишку коштів освітньої субвенції</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2195,3</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346,8</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-1848,5</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15,8</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513,9</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167,1</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148,2</w:t>
            </w:r>
          </w:p>
        </w:tc>
      </w:tr>
      <w:tr w:rsidR="003D1BAE" w:rsidRPr="003D1BAE" w:rsidTr="00CA15D4">
        <w:trPr>
          <w:trHeight w:val="77"/>
        </w:trPr>
        <w:tc>
          <w:tcPr>
            <w:tcW w:w="2711" w:type="dxa"/>
            <w:shd w:val="clear" w:color="auto" w:fill="auto"/>
            <w:hideMark/>
          </w:tcPr>
          <w:p w:rsidR="003D1BAE" w:rsidRPr="003D1BAE" w:rsidRDefault="003D1BAE" w:rsidP="003D1BAE">
            <w:pPr>
              <w:spacing w:after="0" w:line="240" w:lineRule="auto"/>
              <w:rPr>
                <w:rFonts w:ascii="Times New Roman" w:hAnsi="Times New Roman" w:cs="Times New Roman"/>
                <w:color w:val="000000"/>
                <w:lang w:eastAsia="uk-UA"/>
              </w:rPr>
            </w:pPr>
            <w:r w:rsidRPr="003D1BAE">
              <w:rPr>
                <w:rFonts w:ascii="Times New Roman" w:hAnsi="Times New Roman" w:cs="Times New Roman"/>
                <w:color w:val="000000"/>
                <w:lang w:eastAsia="uk-UA"/>
              </w:rPr>
              <w:t>Інші субвенції</w:t>
            </w:r>
          </w:p>
        </w:tc>
        <w:tc>
          <w:tcPr>
            <w:tcW w:w="992"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954,5</w:t>
            </w:r>
          </w:p>
        </w:tc>
        <w:tc>
          <w:tcPr>
            <w:tcW w:w="1063" w:type="dxa"/>
            <w:shd w:val="clear" w:color="auto" w:fill="auto"/>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10109,9</w:t>
            </w:r>
          </w:p>
        </w:tc>
        <w:tc>
          <w:tcPr>
            <w:tcW w:w="1008"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9155,4</w:t>
            </w:r>
          </w:p>
        </w:tc>
        <w:tc>
          <w:tcPr>
            <w:tcW w:w="906" w:type="dxa"/>
            <w:shd w:val="clear" w:color="auto" w:fill="auto"/>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1059,2</w:t>
            </w:r>
          </w:p>
        </w:tc>
        <w:tc>
          <w:tcPr>
            <w:tcW w:w="1049" w:type="dxa"/>
            <w:shd w:val="clear" w:color="auto" w:fill="auto"/>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4788,3</w:t>
            </w:r>
          </w:p>
        </w:tc>
        <w:tc>
          <w:tcPr>
            <w:tcW w:w="1078"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-5321,6</w:t>
            </w:r>
          </w:p>
        </w:tc>
        <w:tc>
          <w:tcPr>
            <w:tcW w:w="870" w:type="dxa"/>
            <w:shd w:val="clear" w:color="auto" w:fill="auto"/>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47,4</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Більш детальне оцінювання динаміки міжбюджетних трансфертів може дати інформацію про ефективність бюджетної політики не тільки щодо їхнього залучення та використання, але й характеризувати ефективність діяльності органу місцевого самоврядування в цілому. Для прикладу, зменшення обсягів дотацій у 2019 році було спричинене різким зниженням показника надання дотації на здійснення переданих видатків з утримання закладів освіти та охорони здоров’я (на 3,5 млн грн, або на 38,8%), що пов’язане із зміною схеми фінансування медицини в рамках медичної реформи. Натомість, обсяги базової дотації, яка надається для вирівнювання фінансової спроможності громади за цей рік збільшились на чверть, до 3,2 млн грн. Щодо стрімкого зростання по обсягах залучених субвенцій у 2019 році, то вони пов’язані з отриманням трансферту на формування інфраструктури ОТГ в сумі 6,7 млн грн, а також залученням громадою кількох інших субвенцій інвестиційного характеру (на соціально-економічний розвиток територій та інших) за іншими програмами на загальну суму 10,1 млн грн, що майже в 11 разів більше, ніж у попередньому році.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Про непостійність успіхів у політиці залучення трансфертів до селищного бюджету свідчать показники 2020 року, у якому загальний обсяг дотацій та субвенцій зменшився на 20,2 млн грн і становив 59,1 млн грн. У відносному вимірі падіння обсягів залучених коштів склало понад 25,4% і спостерігалось щодо обох різновидів трансфертів. Обсяги базової дотації у 2020 році зросли в 1,3 рази до 4,2 млн грн, тоді як дотації на здійснення переданих видатків з утримання закладів соціальної сфери скоротились вдвічі, або на 2,9 млн грн. Більш вагомим у 2020 році в абсолютному вимірі було падіння обсягів цільових трансфертів: медична субвенція скоротилась четверо, або на 11,3 млн грн; громада не отримала фінансування на підтримку розвитку інфраструктури ОТГ, а також двічі зменшились обсяги залучених інших субвенцій інвестиційного призначення. Натомість, значне зростання (на 2,1 млн грн, або в 4,0 рази) </w:t>
      </w:r>
      <w:r w:rsidRPr="003D1BAE">
        <w:rPr>
          <w:rFonts w:ascii="Times New Roman" w:hAnsi="Times New Roman" w:cs="Times New Roman"/>
          <w:sz w:val="28"/>
          <w:szCs w:val="28"/>
        </w:rPr>
        <w:lastRenderedPageBreak/>
        <w:t xml:space="preserve">відбулось за напрямком субвенції на реалізацію програми «Нова українська школа», а також іншими, менш значимими субвенціями.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Якщо узагальнити оцінювання динаміки та структури залучених до селищного бюджету міжбюджетних трансфертів, то можна відзначити їх як позитивні, так і негативні ознаки. З одного боку, залучення додаткових фінансових ресурсів на реалізацію інвестиційних проектів та інших заходів розширює фінансові можливості громади щодо втілення пріоритетів її розвитку, визначених відповідними стратегічними планами. Однак, постійне зростання обсягів базової дотації на фоні зменшення обсягів залучення цільових трансфертів інвестиційного призначення може вказувати також на зростання рівня фінансової залежності органу місцевого самоврядування від фінансової допомоги з інших бюджетів, що звужує можливості проведення незалежної бюджетної політики. З огляду на такі аргументи, у перспективі на зміну різним формам фінансової підтримки територіальних громад з боку інших місцевих та державного бюджету мають прийти власні надходження, отримані як результат розвитку місцевої економіки та зростання доходів населення.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Окремим ракурсом оцінювання бюджетної політики органу місцевої влади у сфері міжбюджетних відносин є простеження динаміки та структури трансфертів, які селищна рада спрямовує до інших бюджетів на виконання переданих повноважень. Надмірно значний обсяг таких трансфертів свідчить про неспроможність органу місцевого самоврядування виконувати покладені на власні інституції повноваження. Відсутність необхідної інфраструктури, кадрового та іншого забезпечення, а нерідко і небажання брати додаткову відповідальність за надання певних суспільних послуг спонукають органи місцевого самоврядування передавати значні фінансові ресурси до інших бюджетів. </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Показники табл. 2.12 свідчать, що впродовж останні років розширення повноважень Чемеровецької селищної ради щодо надання суспільних послуг привело до різкого зменшення обсягів переданих бюджетних ресурсів. Так, за </w:t>
      </w:r>
      <w:r w:rsidRPr="003D1BAE">
        <w:rPr>
          <w:rFonts w:ascii="Times New Roman" w:hAnsi="Times New Roman" w:cs="Times New Roman"/>
          <w:sz w:val="28"/>
          <w:szCs w:val="28"/>
        </w:rPr>
        <w:lastRenderedPageBreak/>
        <w:t xml:space="preserve">останні роки у структурі таких трансфертів відсутні кошти за освітньою субвенцією, що вказує на завершення процесу перебирання виконавчими органами селищної ради відповідальності за фінансування усіх напрямів освіти на території громади. У зв’язку із проведенням медичної реформи радикально зменшились обсяги переданих коштів медичної субвенції – з 17,3 млн грн у 2018 році до 4,1 млн грн у 2020 році, або в 4,2 рази. </w:t>
      </w:r>
    </w:p>
    <w:p w:rsidR="003D1BAE" w:rsidRPr="003D1BAE" w:rsidRDefault="003D1BAE" w:rsidP="003D1BAE">
      <w:pPr>
        <w:tabs>
          <w:tab w:val="left" w:pos="708"/>
        </w:tabs>
        <w:spacing w:after="0" w:line="360" w:lineRule="auto"/>
        <w:ind w:firstLine="720"/>
        <w:contextualSpacing/>
        <w:jc w:val="right"/>
        <w:rPr>
          <w:rFonts w:ascii="Times New Roman" w:hAnsi="Times New Roman" w:cs="Times New Roman"/>
          <w:i/>
          <w:sz w:val="28"/>
          <w:szCs w:val="28"/>
        </w:rPr>
      </w:pPr>
      <w:r w:rsidRPr="003D1BAE">
        <w:rPr>
          <w:rFonts w:ascii="Times New Roman" w:hAnsi="Times New Roman" w:cs="Times New Roman"/>
          <w:i/>
          <w:sz w:val="28"/>
          <w:szCs w:val="28"/>
        </w:rPr>
        <w:t>Таблиця 2.12</w:t>
      </w:r>
    </w:p>
    <w:p w:rsidR="003D1BAE" w:rsidRPr="003D1BAE" w:rsidRDefault="003D1BAE" w:rsidP="003D1BAE">
      <w:pPr>
        <w:tabs>
          <w:tab w:val="left" w:pos="708"/>
        </w:tabs>
        <w:spacing w:after="0" w:line="360" w:lineRule="auto"/>
        <w:contextualSpacing/>
        <w:jc w:val="center"/>
        <w:rPr>
          <w:rFonts w:ascii="Times New Roman" w:hAnsi="Times New Roman" w:cs="Times New Roman"/>
          <w:b/>
          <w:sz w:val="28"/>
          <w:szCs w:val="28"/>
        </w:rPr>
      </w:pPr>
      <w:r w:rsidRPr="003D1BAE">
        <w:rPr>
          <w:rFonts w:ascii="Times New Roman" w:hAnsi="Times New Roman" w:cs="Times New Roman"/>
          <w:b/>
          <w:sz w:val="28"/>
          <w:szCs w:val="28"/>
        </w:rPr>
        <w:t>Показники міжбюджетних трансфертів, переданих з Чемеровецького селищного бюджету до інших бюджетів у 2018-2020 рр., тис грн</w:t>
      </w:r>
    </w:p>
    <w:tbl>
      <w:tblPr>
        <w:tblW w:w="9576"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965"/>
        <w:gridCol w:w="1041"/>
        <w:gridCol w:w="993"/>
        <w:gridCol w:w="1049"/>
        <w:gridCol w:w="794"/>
        <w:gridCol w:w="914"/>
        <w:gridCol w:w="1016"/>
        <w:gridCol w:w="804"/>
      </w:tblGrid>
      <w:tr w:rsidR="003D1BAE" w:rsidRPr="003D1BAE" w:rsidTr="00CA15D4">
        <w:trPr>
          <w:trHeight w:val="260"/>
          <w:jc w:val="center"/>
        </w:trPr>
        <w:tc>
          <w:tcPr>
            <w:tcW w:w="2965" w:type="dxa"/>
            <w:vMerge w:val="restart"/>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Показники</w:t>
            </w:r>
          </w:p>
        </w:tc>
        <w:tc>
          <w:tcPr>
            <w:tcW w:w="1041"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2018</w:t>
            </w:r>
          </w:p>
        </w:tc>
        <w:tc>
          <w:tcPr>
            <w:tcW w:w="2836" w:type="dxa"/>
            <w:gridSpan w:val="3"/>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2019</w:t>
            </w:r>
          </w:p>
        </w:tc>
        <w:tc>
          <w:tcPr>
            <w:tcW w:w="2734" w:type="dxa"/>
            <w:gridSpan w:val="3"/>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2020</w:t>
            </w:r>
          </w:p>
        </w:tc>
      </w:tr>
      <w:tr w:rsidR="003D1BAE" w:rsidRPr="003D1BAE" w:rsidTr="00CA15D4">
        <w:trPr>
          <w:trHeight w:val="300"/>
          <w:jc w:val="center"/>
        </w:trPr>
        <w:tc>
          <w:tcPr>
            <w:tcW w:w="2965" w:type="dxa"/>
            <w:vMerge/>
            <w:shd w:val="clear" w:color="auto" w:fill="FFFFFF" w:themeFill="background1"/>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1041" w:type="dxa"/>
            <w:vMerge/>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p>
        </w:tc>
        <w:tc>
          <w:tcPr>
            <w:tcW w:w="993" w:type="dxa"/>
            <w:vMerge w:val="restart"/>
            <w:shd w:val="clear" w:color="auto" w:fill="FFFFFF" w:themeFill="background1"/>
            <w:noWrap/>
            <w:vAlign w:val="center"/>
            <w:hideMark/>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843" w:type="dxa"/>
            <w:gridSpan w:val="2"/>
            <w:shd w:val="clear" w:color="auto" w:fill="FFFFFF" w:themeFill="background1"/>
            <w:vAlign w:val="bottom"/>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c>
          <w:tcPr>
            <w:tcW w:w="914" w:type="dxa"/>
            <w:vMerge w:val="restart"/>
            <w:shd w:val="clear" w:color="auto" w:fill="FFFFFF" w:themeFill="background1"/>
            <w:noWrap/>
            <w:vAlign w:val="center"/>
            <w:hideMark/>
          </w:tcPr>
          <w:p w:rsidR="003D1BAE" w:rsidRPr="003D1BAE" w:rsidRDefault="003D1BAE" w:rsidP="003D1BAE">
            <w:pPr>
              <w:spacing w:after="0" w:line="240" w:lineRule="auto"/>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1820" w:type="dxa"/>
            <w:gridSpan w:val="2"/>
            <w:shd w:val="clear" w:color="auto" w:fill="FFFFFF" w:themeFill="background1"/>
            <w:vAlign w:val="bottom"/>
          </w:tcPr>
          <w:p w:rsidR="003D1BAE" w:rsidRPr="003D1BAE" w:rsidRDefault="003D1BAE" w:rsidP="003D1BAE">
            <w:pPr>
              <w:spacing w:after="0" w:line="240" w:lineRule="auto"/>
              <w:jc w:val="right"/>
              <w:rPr>
                <w:rFonts w:ascii="Times New Roman" w:hAnsi="Times New Roman" w:cs="Times New Roman"/>
                <w:b/>
                <w:color w:val="000000"/>
                <w:lang w:eastAsia="uk-UA"/>
              </w:rPr>
            </w:pPr>
            <w:r w:rsidRPr="003D1BAE">
              <w:rPr>
                <w:rFonts w:ascii="Times New Roman" w:hAnsi="Times New Roman" w:cs="Times New Roman"/>
                <w:b/>
                <w:color w:val="000000"/>
                <w:lang w:eastAsia="uk-UA"/>
              </w:rPr>
              <w:t>До поп. року</w:t>
            </w:r>
          </w:p>
        </w:tc>
      </w:tr>
      <w:tr w:rsidR="003D1BAE" w:rsidRPr="003D1BAE" w:rsidTr="00CA15D4">
        <w:trPr>
          <w:trHeight w:val="232"/>
          <w:jc w:val="center"/>
        </w:trPr>
        <w:tc>
          <w:tcPr>
            <w:tcW w:w="2965" w:type="dxa"/>
            <w:vMerge/>
            <w:shd w:val="clear" w:color="auto" w:fill="FFFFFF" w:themeFill="background1"/>
            <w:vAlign w:val="bottom"/>
            <w:hideMark/>
          </w:tcPr>
          <w:p w:rsidR="003D1BAE" w:rsidRPr="003D1BAE" w:rsidRDefault="003D1BAE" w:rsidP="003D1BAE">
            <w:pPr>
              <w:spacing w:after="0" w:line="240" w:lineRule="auto"/>
              <w:rPr>
                <w:rFonts w:ascii="Times New Roman" w:hAnsi="Times New Roman" w:cs="Times New Roman"/>
                <w:b/>
                <w:color w:val="000000"/>
                <w:lang w:eastAsia="uk-UA"/>
              </w:rPr>
            </w:pPr>
          </w:p>
        </w:tc>
        <w:tc>
          <w:tcPr>
            <w:tcW w:w="1041"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993" w:type="dxa"/>
            <w:vMerge/>
            <w:shd w:val="clear" w:color="auto" w:fill="FFFFFF" w:themeFill="background1"/>
            <w:noWrap/>
            <w:vAlign w:val="bottom"/>
            <w:hideMark/>
          </w:tcPr>
          <w:p w:rsidR="003D1BAE" w:rsidRPr="003D1BAE" w:rsidRDefault="003D1BAE" w:rsidP="003D1BAE">
            <w:pPr>
              <w:spacing w:after="0" w:line="240" w:lineRule="auto"/>
              <w:ind w:right="34"/>
              <w:jc w:val="right"/>
              <w:rPr>
                <w:rFonts w:ascii="Times New Roman" w:hAnsi="Times New Roman" w:cs="Times New Roman"/>
                <w:b/>
                <w:color w:val="000000"/>
                <w:lang w:eastAsia="uk-UA"/>
              </w:rPr>
            </w:pPr>
          </w:p>
        </w:tc>
        <w:tc>
          <w:tcPr>
            <w:tcW w:w="1049"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79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c>
          <w:tcPr>
            <w:tcW w:w="914" w:type="dxa"/>
            <w:vMerge/>
            <w:shd w:val="clear" w:color="auto" w:fill="FFFFFF" w:themeFill="background1"/>
            <w:noWrap/>
            <w:vAlign w:val="bottom"/>
            <w:hideMark/>
          </w:tcPr>
          <w:p w:rsidR="003D1BAE" w:rsidRPr="003D1BAE" w:rsidRDefault="003D1BAE" w:rsidP="003D1BAE">
            <w:pPr>
              <w:spacing w:after="0" w:line="240" w:lineRule="auto"/>
              <w:jc w:val="right"/>
              <w:rPr>
                <w:rFonts w:ascii="Times New Roman" w:hAnsi="Times New Roman" w:cs="Times New Roman"/>
                <w:b/>
                <w:color w:val="000000"/>
                <w:lang w:eastAsia="uk-UA"/>
              </w:rPr>
            </w:pPr>
          </w:p>
        </w:tc>
        <w:tc>
          <w:tcPr>
            <w:tcW w:w="1016"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тис грн</w:t>
            </w:r>
          </w:p>
        </w:tc>
        <w:tc>
          <w:tcPr>
            <w:tcW w:w="804" w:type="dxa"/>
            <w:shd w:val="clear" w:color="auto" w:fill="FFFFFF" w:themeFill="background1"/>
            <w:vAlign w:val="center"/>
          </w:tcPr>
          <w:p w:rsidR="003D1BAE" w:rsidRPr="003D1BAE" w:rsidRDefault="003D1BAE" w:rsidP="003D1BAE">
            <w:pPr>
              <w:spacing w:after="0" w:line="240" w:lineRule="auto"/>
              <w:ind w:right="34"/>
              <w:jc w:val="center"/>
              <w:rPr>
                <w:rFonts w:ascii="Times New Roman" w:hAnsi="Times New Roman" w:cs="Times New Roman"/>
                <w:b/>
                <w:color w:val="000000"/>
                <w:lang w:eastAsia="uk-UA"/>
              </w:rPr>
            </w:pPr>
            <w:r w:rsidRPr="003D1BAE">
              <w:rPr>
                <w:rFonts w:ascii="Times New Roman" w:hAnsi="Times New Roman" w:cs="Times New Roman"/>
                <w:b/>
                <w:color w:val="000000"/>
                <w:lang w:eastAsia="uk-UA"/>
              </w:rPr>
              <w:t>%</w:t>
            </w:r>
          </w:p>
        </w:tc>
      </w:tr>
      <w:tr w:rsidR="003D1BAE" w:rsidRPr="003D1BAE" w:rsidTr="00CA15D4">
        <w:trPr>
          <w:trHeight w:val="140"/>
          <w:jc w:val="center"/>
        </w:trPr>
        <w:tc>
          <w:tcPr>
            <w:tcW w:w="2965"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b/>
                <w:color w:val="000000"/>
                <w:sz w:val="20"/>
                <w:szCs w:val="20"/>
                <w:lang w:eastAsia="uk-UA"/>
              </w:rPr>
            </w:pPr>
            <w:r w:rsidRPr="003D1BAE">
              <w:rPr>
                <w:rFonts w:ascii="Times New Roman" w:hAnsi="Times New Roman" w:cs="Times New Roman"/>
                <w:b/>
                <w:color w:val="000000"/>
                <w:sz w:val="20"/>
                <w:szCs w:val="20"/>
                <w:lang w:eastAsia="uk-UA"/>
              </w:rPr>
              <w:t>Всього видатків, переданих до інших бюджетів, в т.ч.:</w:t>
            </w:r>
          </w:p>
        </w:tc>
        <w:tc>
          <w:tcPr>
            <w:tcW w:w="104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18026,9</w:t>
            </w:r>
          </w:p>
        </w:tc>
        <w:tc>
          <w:tcPr>
            <w:tcW w:w="99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17089,6</w:t>
            </w:r>
          </w:p>
        </w:tc>
        <w:tc>
          <w:tcPr>
            <w:tcW w:w="1049"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-937,3</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bCs/>
                <w:color w:val="000000"/>
              </w:rPr>
            </w:pPr>
            <w:r w:rsidRPr="003D1BAE">
              <w:rPr>
                <w:rFonts w:ascii="Times New Roman" w:hAnsi="Times New Roman" w:cs="Times New Roman"/>
                <w:b/>
                <w:bCs/>
                <w:color w:val="000000"/>
              </w:rPr>
              <w:t>94,8</w:t>
            </w:r>
          </w:p>
        </w:tc>
        <w:tc>
          <w:tcPr>
            <w:tcW w:w="91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5019,4</w:t>
            </w:r>
          </w:p>
        </w:tc>
        <w:tc>
          <w:tcPr>
            <w:tcW w:w="101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-12070,2</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
                <w:color w:val="000000"/>
              </w:rPr>
            </w:pPr>
            <w:r w:rsidRPr="003D1BAE">
              <w:rPr>
                <w:rFonts w:ascii="Times New Roman" w:hAnsi="Times New Roman" w:cs="Times New Roman"/>
                <w:b/>
                <w:color w:val="000000"/>
              </w:rPr>
              <w:t>29,4</w:t>
            </w:r>
          </w:p>
        </w:tc>
      </w:tr>
      <w:tr w:rsidR="003D1BAE" w:rsidRPr="003D1BAE" w:rsidTr="00CA15D4">
        <w:trPr>
          <w:trHeight w:val="70"/>
          <w:jc w:val="center"/>
        </w:trPr>
        <w:tc>
          <w:tcPr>
            <w:tcW w:w="2965"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0"/>
                <w:szCs w:val="20"/>
                <w:lang w:eastAsia="uk-UA"/>
              </w:rPr>
            </w:pPr>
            <w:r w:rsidRPr="003D1BAE">
              <w:rPr>
                <w:rFonts w:ascii="Times New Roman" w:hAnsi="Times New Roman" w:cs="Times New Roman"/>
                <w:color w:val="000000"/>
                <w:sz w:val="20"/>
                <w:szCs w:val="20"/>
                <w:lang w:eastAsia="uk-UA"/>
              </w:rPr>
              <w:t>Інші додаткові дотації</w:t>
            </w:r>
          </w:p>
        </w:tc>
        <w:tc>
          <w:tcPr>
            <w:tcW w:w="104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230,0</w:t>
            </w:r>
          </w:p>
        </w:tc>
        <w:tc>
          <w:tcPr>
            <w:tcW w:w="99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049"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-230,0</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0,0</w:t>
            </w:r>
          </w:p>
        </w:tc>
        <w:tc>
          <w:tcPr>
            <w:tcW w:w="91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101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0,0</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w:t>
            </w:r>
          </w:p>
        </w:tc>
      </w:tr>
      <w:tr w:rsidR="003D1BAE" w:rsidRPr="003D1BAE" w:rsidTr="00CA15D4">
        <w:trPr>
          <w:trHeight w:val="134"/>
          <w:jc w:val="center"/>
        </w:trPr>
        <w:tc>
          <w:tcPr>
            <w:tcW w:w="2965"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0"/>
                <w:szCs w:val="20"/>
                <w:lang w:eastAsia="uk-UA"/>
              </w:rPr>
            </w:pPr>
            <w:r w:rsidRPr="003D1BAE">
              <w:rPr>
                <w:rFonts w:ascii="Times New Roman" w:hAnsi="Times New Roman" w:cs="Times New Roman"/>
                <w:color w:val="000000"/>
                <w:sz w:val="20"/>
                <w:szCs w:val="20"/>
                <w:lang w:eastAsia="uk-UA"/>
              </w:rPr>
              <w:t>Субвенція на здійснення переданих видатків у сфері охорони здоров`я за рахунок коштів медичної субвенції</w:t>
            </w:r>
          </w:p>
        </w:tc>
        <w:tc>
          <w:tcPr>
            <w:tcW w:w="104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17306,8</w:t>
            </w:r>
          </w:p>
        </w:tc>
        <w:tc>
          <w:tcPr>
            <w:tcW w:w="99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15367,3</w:t>
            </w:r>
          </w:p>
        </w:tc>
        <w:tc>
          <w:tcPr>
            <w:tcW w:w="1049"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-1939,5</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88,8</w:t>
            </w:r>
          </w:p>
        </w:tc>
        <w:tc>
          <w:tcPr>
            <w:tcW w:w="91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4096,4</w:t>
            </w:r>
          </w:p>
        </w:tc>
        <w:tc>
          <w:tcPr>
            <w:tcW w:w="101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-11270,9</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26,7</w:t>
            </w:r>
          </w:p>
        </w:tc>
      </w:tr>
      <w:tr w:rsidR="003D1BAE" w:rsidRPr="003D1BAE" w:rsidTr="00CA15D4">
        <w:trPr>
          <w:trHeight w:val="74"/>
          <w:jc w:val="center"/>
        </w:trPr>
        <w:tc>
          <w:tcPr>
            <w:tcW w:w="2965"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0"/>
                <w:szCs w:val="20"/>
                <w:lang w:eastAsia="uk-UA"/>
              </w:rPr>
            </w:pPr>
            <w:r w:rsidRPr="003D1BAE">
              <w:rPr>
                <w:rFonts w:ascii="Times New Roman" w:hAnsi="Times New Roman" w:cs="Times New Roman"/>
                <w:color w:val="000000"/>
                <w:sz w:val="20"/>
                <w:szCs w:val="20"/>
                <w:lang w:eastAsia="uk-UA"/>
              </w:rPr>
              <w:t>Субвенція державному бюджету на виконання програми соціально-економічного та культурного розвитку регіонів</w:t>
            </w:r>
          </w:p>
        </w:tc>
        <w:tc>
          <w:tcPr>
            <w:tcW w:w="104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55,0</w:t>
            </w:r>
          </w:p>
        </w:tc>
        <w:tc>
          <w:tcPr>
            <w:tcW w:w="99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279,5</w:t>
            </w:r>
          </w:p>
        </w:tc>
        <w:tc>
          <w:tcPr>
            <w:tcW w:w="1049"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224,5</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508,2</w:t>
            </w:r>
          </w:p>
        </w:tc>
        <w:tc>
          <w:tcPr>
            <w:tcW w:w="91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190,0</w:t>
            </w:r>
          </w:p>
        </w:tc>
        <w:tc>
          <w:tcPr>
            <w:tcW w:w="101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-89,5</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68,0</w:t>
            </w:r>
          </w:p>
        </w:tc>
      </w:tr>
      <w:tr w:rsidR="003D1BAE" w:rsidRPr="003D1BAE" w:rsidTr="00CA15D4">
        <w:trPr>
          <w:trHeight w:val="70"/>
          <w:jc w:val="center"/>
        </w:trPr>
        <w:tc>
          <w:tcPr>
            <w:tcW w:w="2965" w:type="dxa"/>
            <w:shd w:val="clear" w:color="auto" w:fill="FFFFFF" w:themeFill="background1"/>
            <w:hideMark/>
          </w:tcPr>
          <w:p w:rsidR="003D1BAE" w:rsidRPr="003D1BAE" w:rsidRDefault="003D1BAE" w:rsidP="003D1BAE">
            <w:pPr>
              <w:spacing w:after="0" w:line="240" w:lineRule="auto"/>
              <w:rPr>
                <w:rFonts w:ascii="Times New Roman" w:hAnsi="Times New Roman" w:cs="Times New Roman"/>
                <w:color w:val="000000"/>
                <w:sz w:val="20"/>
                <w:szCs w:val="20"/>
                <w:lang w:eastAsia="uk-UA"/>
              </w:rPr>
            </w:pPr>
            <w:r w:rsidRPr="003D1BAE">
              <w:rPr>
                <w:rFonts w:ascii="Times New Roman" w:hAnsi="Times New Roman" w:cs="Times New Roman"/>
                <w:color w:val="000000"/>
                <w:sz w:val="20"/>
                <w:szCs w:val="20"/>
                <w:lang w:eastAsia="uk-UA"/>
              </w:rPr>
              <w:t>Інші субвенції</w:t>
            </w:r>
          </w:p>
        </w:tc>
        <w:tc>
          <w:tcPr>
            <w:tcW w:w="1041"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435,1</w:t>
            </w:r>
          </w:p>
        </w:tc>
        <w:tc>
          <w:tcPr>
            <w:tcW w:w="993"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1442,8</w:t>
            </w:r>
          </w:p>
        </w:tc>
        <w:tc>
          <w:tcPr>
            <w:tcW w:w="1049"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1007,7</w:t>
            </w:r>
          </w:p>
        </w:tc>
        <w:tc>
          <w:tcPr>
            <w:tcW w:w="79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bCs/>
                <w:color w:val="000000"/>
              </w:rPr>
            </w:pPr>
            <w:r w:rsidRPr="003D1BAE">
              <w:rPr>
                <w:rFonts w:ascii="Times New Roman" w:hAnsi="Times New Roman" w:cs="Times New Roman"/>
                <w:bCs/>
                <w:color w:val="000000"/>
              </w:rPr>
              <w:t>331,6</w:t>
            </w:r>
          </w:p>
        </w:tc>
        <w:tc>
          <w:tcPr>
            <w:tcW w:w="914" w:type="dxa"/>
            <w:shd w:val="clear" w:color="auto" w:fill="FFFFFF" w:themeFill="background1"/>
            <w:noWrap/>
            <w:vAlign w:val="center"/>
            <w:hideMark/>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733,0</w:t>
            </w:r>
          </w:p>
        </w:tc>
        <w:tc>
          <w:tcPr>
            <w:tcW w:w="1016"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-709,8</w:t>
            </w:r>
          </w:p>
        </w:tc>
        <w:tc>
          <w:tcPr>
            <w:tcW w:w="804" w:type="dxa"/>
            <w:shd w:val="clear" w:color="auto" w:fill="FFFFFF" w:themeFill="background1"/>
            <w:vAlign w:val="center"/>
          </w:tcPr>
          <w:p w:rsidR="003D1BAE" w:rsidRPr="003D1BAE" w:rsidRDefault="003D1BAE" w:rsidP="003D1BAE">
            <w:pPr>
              <w:spacing w:after="0"/>
              <w:jc w:val="right"/>
              <w:rPr>
                <w:rFonts w:ascii="Times New Roman" w:hAnsi="Times New Roman" w:cs="Times New Roman"/>
                <w:color w:val="000000"/>
              </w:rPr>
            </w:pPr>
            <w:r w:rsidRPr="003D1BAE">
              <w:rPr>
                <w:rFonts w:ascii="Times New Roman" w:hAnsi="Times New Roman" w:cs="Times New Roman"/>
                <w:color w:val="000000"/>
              </w:rPr>
              <w:t>50,8</w:t>
            </w:r>
          </w:p>
        </w:tc>
      </w:tr>
    </w:tbl>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4"/>
          <w:szCs w:val="24"/>
        </w:rPr>
      </w:pPr>
      <w:r w:rsidRPr="003D1BAE">
        <w:rPr>
          <w:rFonts w:ascii="Times New Roman" w:hAnsi="Times New Roman" w:cs="Times New Roman"/>
          <w:i/>
          <w:sz w:val="24"/>
          <w:szCs w:val="24"/>
        </w:rPr>
        <w:t>Джерело:</w:t>
      </w:r>
      <w:r w:rsidRPr="003D1BAE">
        <w:rPr>
          <w:rFonts w:ascii="Times New Roman" w:hAnsi="Times New Roman" w:cs="Times New Roman"/>
          <w:sz w:val="24"/>
          <w:szCs w:val="24"/>
        </w:rPr>
        <w:t xml:space="preserve"> побудовано за даними Чемеровецької селищної ради</w:t>
      </w:r>
    </w:p>
    <w:p w:rsidR="003D1BAE" w:rsidRPr="003D1BAE" w:rsidRDefault="003D1BAE" w:rsidP="003D1BAE">
      <w:pPr>
        <w:tabs>
          <w:tab w:val="left" w:pos="708"/>
        </w:tabs>
        <w:spacing w:after="0" w:line="360" w:lineRule="auto"/>
        <w:ind w:firstLine="720"/>
        <w:contextualSpacing/>
        <w:jc w:val="both"/>
        <w:rPr>
          <w:rFonts w:ascii="Times New Roman" w:hAnsi="Times New Roman" w:cs="Times New Roman"/>
          <w:sz w:val="28"/>
          <w:szCs w:val="28"/>
          <w:highlight w:val="yellow"/>
        </w:rPr>
      </w:pP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r w:rsidRPr="003D1BAE">
        <w:rPr>
          <w:rFonts w:ascii="Times New Roman" w:hAnsi="Times New Roman" w:cs="Times New Roman"/>
          <w:sz w:val="28"/>
          <w:szCs w:val="28"/>
        </w:rPr>
        <w:t xml:space="preserve">Зважаючи на незначні обсяги інших переданих субвенцій, вони не можуть слугувати підставою для висновку про недоліки в реалізації владною інституцією своїх повноважень. Так, у 2019 році із загального обсягу інших субвенцій в обсязі 1,4 млн грн понад 0,8 млн грн виділено на розвиток системи первинної медико-санітарної допомоги, 185,0 тис грн – на реабілітаційний центр, 147,0 тис грн – центральній районній лікарні (фінансувались із районного бюджету). У 2020 році в умовах епідемії </w:t>
      </w:r>
      <w:r w:rsidRPr="003D1BAE">
        <w:rPr>
          <w:rFonts w:ascii="Times New Roman" w:hAnsi="Times New Roman" w:cs="Times New Roman"/>
          <w:sz w:val="28"/>
          <w:szCs w:val="28"/>
          <w:lang w:val="en-US"/>
        </w:rPr>
        <w:t>COVID</w:t>
      </w:r>
      <w:r w:rsidRPr="003D1BAE">
        <w:rPr>
          <w:rFonts w:ascii="Times New Roman" w:hAnsi="Times New Roman" w:cs="Times New Roman"/>
          <w:sz w:val="28"/>
          <w:szCs w:val="28"/>
        </w:rPr>
        <w:t xml:space="preserve">-19 286,7 тис грн коштів селищного бюджету спрямовано до районного бюджету на придбання антиковідних засобів та інших матеріалів; 130,0 тис грн – на придбання препаратів інсуліну для центральної районної лікарні, на утримання районного центру реабілітації осіб з інвалідністю – 250,0 тис грн. Таким чином, передачу </w:t>
      </w:r>
      <w:r w:rsidRPr="003D1BAE">
        <w:rPr>
          <w:rFonts w:ascii="Times New Roman" w:hAnsi="Times New Roman" w:cs="Times New Roman"/>
          <w:sz w:val="28"/>
          <w:szCs w:val="28"/>
        </w:rPr>
        <w:lastRenderedPageBreak/>
        <w:t>цих коштів можна розглядати як об’єктивну необхідність, а не як свідчення управлінської неспроможності.</w:t>
      </w:r>
    </w:p>
    <w:p w:rsidR="003D1BAE" w:rsidRPr="003D1BAE" w:rsidRDefault="003D1BAE" w:rsidP="003D1BAE">
      <w:pPr>
        <w:tabs>
          <w:tab w:val="left" w:pos="1080"/>
        </w:tabs>
        <w:spacing w:after="0" w:line="360" w:lineRule="auto"/>
        <w:ind w:firstLine="720"/>
        <w:contextualSpacing/>
        <w:jc w:val="both"/>
        <w:rPr>
          <w:rFonts w:ascii="Times New Roman" w:hAnsi="Times New Roman" w:cs="Times New Roman"/>
          <w:sz w:val="28"/>
          <w:szCs w:val="28"/>
        </w:rPr>
      </w:pP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2</w:t>
      </w:r>
    </w:p>
    <w:p w:rsidR="003D1BAE" w:rsidRPr="003D1BAE" w:rsidRDefault="003D1BAE" w:rsidP="003D1BAE">
      <w:pPr>
        <w:spacing w:after="0" w:line="360" w:lineRule="auto"/>
        <w:rPr>
          <w:rFonts w:ascii="Times New Roman" w:hAnsi="Times New Roman" w:cs="Times New Roman"/>
          <w:sz w:val="28"/>
          <w:szCs w:val="28"/>
        </w:rPr>
      </w:pP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За результатами узагальнення аналізу практики реалізації бюджетної політики органів місцевої влади (на прикладі Чемеровецької селищної ради) можна зробити такі висновки:</w:t>
      </w:r>
    </w:p>
    <w:p w:rsidR="003D1BAE" w:rsidRPr="003D1BAE" w:rsidRDefault="003D1BAE" w:rsidP="003D1BAE">
      <w:pPr>
        <w:tabs>
          <w:tab w:val="left" w:pos="284"/>
        </w:tabs>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відповідно до змісту бюджетної політики формування доходів бюджету розроблено критерії оцінювання її ефективності, застосування яких вказало на належний рівень ефективності цієї політики на рівні обраної територіальної громади. Виявлено, що у 2020 році якість планування доходів бюджету значно підвищилась, що підтверджує зниження рівня відхилення показників при їх уточненні, а також виконанні. У</w:t>
      </w:r>
      <w:r w:rsidRPr="003D1BAE">
        <w:rPr>
          <w:rFonts w:ascii="Times New Roman" w:hAnsi="Times New Roman" w:cs="Times New Roman"/>
          <w:spacing w:val="-2"/>
          <w:sz w:val="28"/>
          <w:szCs w:val="28"/>
        </w:rPr>
        <w:t xml:space="preserve"> 2019 році рівень фактичного виконання уточненого плану формування податкових доходів Чемеровецького селищного бюджету становив 103,8%, у 2020 році – 99,7%. Значні відхилення показників спостерігались тільки по кількох фіскально незначних джерелах доходів. Так, потребує вдосконалення практика розрахунку надходжень рентної плати та екологічного податку, а також податку на прибуток комунальних підприємств;</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проаналізовано тенденції формування доходів селищного бюджету від місцевих податків та зборів засвідчили, що вони мають вагоме значення у їх структурі. З метою підвищення фіскальної віддачі цих податків та зборів у 2021 році були переглянуті ставки земельного податку, а також податку на нерухоме майно. Фактичний рівень виконання плану з находження місцевих податків та зборів у 2020 році становив 89,0%, що пояснюється зниженням надходжень від єдиного податку, що пояснюється дією податкових новацій, спрямованих на підтримку бізнесу в умовах карантину, а також спадом ділової активності. Оцінювання тенденцій формування доходів селищного бюджету засвідчило підвищення його фінансової незалежності, що виявляється у зростанні питомої ваги власних доходів;</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lastRenderedPageBreak/>
        <w:t xml:space="preserve">– </w:t>
      </w:r>
      <w:r w:rsidRPr="003D1BAE">
        <w:rPr>
          <w:rFonts w:ascii="Times New Roman" w:hAnsi="Times New Roman" w:cs="Times New Roman"/>
          <w:spacing w:val="-2"/>
          <w:sz w:val="28"/>
          <w:szCs w:val="28"/>
          <w:lang w:eastAsia="uk-UA"/>
        </w:rPr>
        <w:t>бюджетна політика органів місцевої влади у царині видатків бюджету полягає у забезпеченні їхнього планування з урахуванням пріоритетів розвитку громади, а також організації належного виконання бюджету за видатками з дотримання критерію максимізації його ефективності. Проведений аналіз засвідчив високу якість планування видатків бюджету, що підтвердили помірні значення розбіжності видатків за результатами внесення змін до рішення про селищний бюджет. Проаналізовано політику фінансування видатків селищного бюджету за функціональним підходом, що вказало на зміну структури видатків, зумовлену зменшенням надходження трансфертів інвестиційного призначення. Внаслідок цього видатки за усіма напрямами, крім економічної діяльності у 2020 році скоротились, що пояснюється перенесенням строків реалізації проектів розвитку;</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сформульоване власне бачення бюджетної політики міжбюджетних трансфертів відносно можливості органу місцевої влади впливати на їх обсяги та напрями використання коштів. Через особливості виконання державного бюджету в умовах епідемії коронавірусу у 2020 році обсяги трансфертів до селищного бюджету зменшились. На відміну від «безумовних» субвенцій (освітньої та медичної), обсяги субвенцій інвестиційного призначення значно відрізняються у розрізі років. Особливістю бюджетної політики селищної ради щодо міжбюджетних трансфертів є планомірне нарощування обсягів дотацій на фоні нестабільної динаміки залучення субвенцій. Це свідчить про зростання залежності органу місцевого самоврядування від фінансової допомоги з інших бюджетів. Проте, скорочення обсягів трансфертів, переданих з селищного бюджету до інших бюджетів вказує на розширення відповідальності органу місцевої влади за надання суспільних послуг та проведення самостійної бюджетної політики. </w:t>
      </w:r>
    </w:p>
    <w:p w:rsidR="003D1BAE" w:rsidRPr="003D1BAE" w:rsidRDefault="003D1BAE" w:rsidP="003D1BAE">
      <w:pPr>
        <w:tabs>
          <w:tab w:val="left" w:pos="1080"/>
        </w:tabs>
        <w:spacing w:after="0" w:line="240" w:lineRule="auto"/>
        <w:ind w:firstLine="720"/>
        <w:contextualSpacing/>
        <w:jc w:val="both"/>
        <w:rPr>
          <w:rFonts w:ascii="Times New Roman" w:hAnsi="Times New Roman" w:cs="Times New Roman"/>
          <w:sz w:val="28"/>
          <w:szCs w:val="28"/>
        </w:rPr>
      </w:pPr>
    </w:p>
    <w:p w:rsidR="003D1BAE" w:rsidRPr="003D1BAE" w:rsidRDefault="003D1BAE" w:rsidP="003D1BAE">
      <w:pPr>
        <w:pStyle w:val="a7"/>
        <w:tabs>
          <w:tab w:val="left" w:pos="1134"/>
        </w:tabs>
        <w:spacing w:line="360" w:lineRule="auto"/>
        <w:jc w:val="center"/>
        <w:rPr>
          <w:rFonts w:ascii="Times New Roman" w:hAnsi="Times New Roman"/>
          <w:b/>
          <w:sz w:val="28"/>
          <w:szCs w:val="28"/>
        </w:rPr>
      </w:pPr>
      <w:r w:rsidRPr="003D1BAE">
        <w:rPr>
          <w:rFonts w:ascii="Times New Roman" w:hAnsi="Times New Roman"/>
          <w:sz w:val="28"/>
          <w:szCs w:val="28"/>
        </w:rPr>
        <w:br w:type="column"/>
      </w:r>
      <w:r w:rsidRPr="003D1BAE">
        <w:rPr>
          <w:rFonts w:ascii="Times New Roman" w:hAnsi="Times New Roman"/>
          <w:b/>
          <w:sz w:val="28"/>
          <w:szCs w:val="28"/>
        </w:rPr>
        <w:lastRenderedPageBreak/>
        <w:t>Розділ 3</w:t>
      </w:r>
    </w:p>
    <w:p w:rsidR="003D1BAE" w:rsidRPr="003D1BAE" w:rsidRDefault="003D1BAE" w:rsidP="003D1BAE">
      <w:pPr>
        <w:pStyle w:val="a7"/>
        <w:tabs>
          <w:tab w:val="left" w:pos="1134"/>
        </w:tabs>
        <w:spacing w:line="360" w:lineRule="auto"/>
        <w:jc w:val="center"/>
        <w:rPr>
          <w:rFonts w:ascii="Times New Roman" w:hAnsi="Times New Roman"/>
          <w:b/>
          <w:caps/>
          <w:sz w:val="28"/>
          <w:szCs w:val="28"/>
        </w:rPr>
      </w:pPr>
      <w:r w:rsidRPr="003D1BAE">
        <w:rPr>
          <w:rFonts w:ascii="Times New Roman" w:hAnsi="Times New Roman"/>
          <w:b/>
          <w:caps/>
          <w:sz w:val="28"/>
          <w:szCs w:val="28"/>
        </w:rPr>
        <w:t>Перспективи підвищення ефективності бюджетної політики місцевих органів влади в сучасних умовах</w:t>
      </w:r>
    </w:p>
    <w:p w:rsidR="003D1BAE" w:rsidRPr="003D1BAE" w:rsidRDefault="003D1BAE" w:rsidP="003D1BAE">
      <w:pPr>
        <w:pStyle w:val="a7"/>
        <w:tabs>
          <w:tab w:val="left" w:pos="1134"/>
        </w:tabs>
        <w:spacing w:line="360" w:lineRule="auto"/>
        <w:ind w:firstLine="709"/>
        <w:jc w:val="both"/>
        <w:rPr>
          <w:rFonts w:ascii="Times New Roman" w:hAnsi="Times New Roman"/>
          <w:sz w:val="28"/>
          <w:szCs w:val="28"/>
        </w:rPr>
      </w:pPr>
    </w:p>
    <w:p w:rsidR="003D1BAE" w:rsidRPr="003D1BAE" w:rsidRDefault="003D1BAE" w:rsidP="003D1BAE">
      <w:pPr>
        <w:pStyle w:val="a7"/>
        <w:tabs>
          <w:tab w:val="left" w:pos="1134"/>
        </w:tabs>
        <w:spacing w:line="360" w:lineRule="auto"/>
        <w:ind w:firstLine="709"/>
        <w:jc w:val="both"/>
        <w:rPr>
          <w:rFonts w:ascii="Times New Roman" w:hAnsi="Times New Roman"/>
          <w:sz w:val="28"/>
          <w:szCs w:val="28"/>
        </w:rPr>
      </w:pPr>
    </w:p>
    <w:p w:rsidR="003D1BAE" w:rsidRPr="003D1BAE" w:rsidRDefault="003D1BAE" w:rsidP="003D1BAE">
      <w:pPr>
        <w:pStyle w:val="a7"/>
        <w:tabs>
          <w:tab w:val="left" w:pos="1134"/>
        </w:tabs>
        <w:spacing w:line="360" w:lineRule="auto"/>
        <w:ind w:firstLine="709"/>
        <w:jc w:val="both"/>
        <w:rPr>
          <w:rFonts w:ascii="Times New Roman" w:hAnsi="Times New Roman"/>
          <w:b/>
          <w:sz w:val="28"/>
          <w:szCs w:val="28"/>
        </w:rPr>
      </w:pPr>
      <w:r w:rsidRPr="003D1BAE">
        <w:rPr>
          <w:rFonts w:ascii="Times New Roman" w:hAnsi="Times New Roman"/>
          <w:b/>
          <w:sz w:val="28"/>
          <w:szCs w:val="28"/>
        </w:rPr>
        <w:t>3.1. Пріоритети вдосконалення бюджетної політики формування доходів місцевих бюджетів</w:t>
      </w:r>
    </w:p>
    <w:p w:rsidR="003D1BAE" w:rsidRPr="003D1BAE" w:rsidRDefault="003D1BAE" w:rsidP="003D1BAE">
      <w:pPr>
        <w:pStyle w:val="a7"/>
        <w:tabs>
          <w:tab w:val="left" w:pos="1134"/>
        </w:tabs>
        <w:spacing w:line="360" w:lineRule="auto"/>
        <w:ind w:firstLine="709"/>
        <w:jc w:val="both"/>
        <w:rPr>
          <w:rFonts w:ascii="Times New Roman" w:hAnsi="Times New Roman"/>
          <w:sz w:val="28"/>
          <w:szCs w:val="28"/>
        </w:rPr>
      </w:pPr>
    </w:p>
    <w:p w:rsidR="003D1BAE" w:rsidRPr="003D1BAE" w:rsidRDefault="003D1BAE" w:rsidP="003D1BAE">
      <w:pPr>
        <w:pStyle w:val="a7"/>
        <w:tabs>
          <w:tab w:val="left" w:pos="1134"/>
        </w:tabs>
        <w:spacing w:line="360" w:lineRule="auto"/>
        <w:ind w:firstLine="709"/>
        <w:jc w:val="both"/>
        <w:rPr>
          <w:rFonts w:ascii="Times New Roman" w:hAnsi="Times New Roman"/>
          <w:sz w:val="28"/>
          <w:szCs w:val="28"/>
        </w:rPr>
      </w:pPr>
      <w:r w:rsidRPr="003D1BAE">
        <w:rPr>
          <w:rFonts w:ascii="Times New Roman" w:hAnsi="Times New Roman"/>
          <w:sz w:val="28"/>
          <w:szCs w:val="28"/>
        </w:rPr>
        <w:t xml:space="preserve">Одним із ключових завдань реформи децентралізації є зміцнення ролі місцевих бюджетів як дієвого інструменту впливу на соціально-економічний розвиток територіальних громад, вирішення місцевих проблем та підвищення рівня життя населення. Проведення ефективної бюджетної політики органів місцевої влади у розрізі усіх її складових вимагає наповнення новим змістом теоретичних засад функціонування місцевих бюджетів в умовах децентралізації та утвердження ринкових умов господарювання, забезпечення збалансування інтересів усіх сторін суспільного діалогу при виробленні практичних рішень щодо формування і використання бюджетних ресурсів. </w:t>
      </w:r>
    </w:p>
    <w:p w:rsidR="003D1BAE" w:rsidRPr="003D1BAE" w:rsidRDefault="003D1BAE" w:rsidP="003D1BAE">
      <w:pPr>
        <w:pStyle w:val="a7"/>
        <w:tabs>
          <w:tab w:val="left" w:pos="1134"/>
        </w:tabs>
        <w:spacing w:line="360" w:lineRule="auto"/>
        <w:ind w:firstLine="709"/>
        <w:jc w:val="both"/>
        <w:rPr>
          <w:rFonts w:ascii="Times New Roman" w:hAnsi="Times New Roman"/>
          <w:sz w:val="28"/>
          <w:szCs w:val="28"/>
        </w:rPr>
      </w:pPr>
      <w:r w:rsidRPr="003D1BAE">
        <w:rPr>
          <w:rFonts w:ascii="Times New Roman" w:hAnsi="Times New Roman"/>
          <w:sz w:val="28"/>
          <w:szCs w:val="28"/>
        </w:rPr>
        <w:t xml:space="preserve">Забезпечення стабільного розвитку територіальних громад передусім потребує зміцнення фінансової основи діяльності органів місцевої влади. При цьому важливо, щоб нарощування ресурсів місцевого самоврядування було досягнуте не за рахунок збільшення масштабів перерозподілу міжбюджетних трансфертів та підвищення фінансової залежності місцевих бюджетів. В основу такого зростання має бути покладене задіяння внутрішніх резервів збільшення власних доходів місцевих бюджетів, що наповнюватиме поняття фінансової самостійності місцевого самоврядування реальним змістом. Попри значні успіхи у царині формування власних доходів місцевих бюджетів, проблема нестачі бюджетних ресурсів на місцевому рівні не втрачає актуальності, як і питання обмеженості можливостей органів місцевого самоврядування у реалізації власної бюджетної політики у сфері доходів бюджету.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lastRenderedPageBreak/>
        <w:t xml:space="preserve">Проведений аналіз засвідчив, що провідним джерелом доходів місцевих бюджетів від оподаткування є ПДФО, тому основні зусилля щодо підвищення ефективності бюджетної політики у царині бюджетних доходів мають бути спрямованими на вдосконалення його адміністрування та залучення резервів нарощування його сплати. У науковій літературі представлені значний масив </w:t>
      </w:r>
      <w:r w:rsidRPr="003D1BAE">
        <w:rPr>
          <w:rFonts w:ascii="Times New Roman" w:hAnsi="Times New Roman" w:cs="Times New Roman"/>
          <w:spacing w:val="-2"/>
          <w:sz w:val="28"/>
          <w:szCs w:val="28"/>
        </w:rPr>
        <w:t xml:space="preserve">публікацій, які містять рекомендації щодо вдосконалення оподаткування практики доходів населення в Україні. Вони стосуються повернення до прогресії ставок податку залежно від розміру оподатковуваного доходу, чи вирівнювання податкового навантаження на трудові та інші доходи, підвищення ефективності застосування соціальної податкової пільги та ін. Незважаючи на раціональність значної частини таких пропозицій, вони належать до компетенції центральних органів влади, а тому їх реалізація зусиллями органу місцевої влади неможлива. Між тим, органи місцевого самоврядування можуть вживати заходів для того, щоб вплинути на ефективність адміністрування податку, розширення бази його застосування, що матиме позитивний вплив на доходи місцевого бюджету.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Окреслюючи резерви нарощування надходжень від ПДФО, які можуть бути об’єктом уваги з боку органів місцевої влади, то їх доцільно розмежувати на стратегічні й тактичні. Стратегічний резерв збільшення надходжень ПДФО передбачає реалізацію комплексу заходів щодо сприяння розвитку місцевої економіки, збільшенню рівня оплати праці, залучення інвестицій, розвиток фінансового інвестування та ін. Завдяки цьому можна досягти стійкого росту реальних доходів населення, а отже збільшення бази оподаткування. Натомість, тактичні резерви зростання фіскальної віддачі ПДФО для місцевих бюджетів пов’язані із сприянням діяльності контролюючих органів, які слідкують за дотриманням законодавства про працю та протидіють поширеним у вітчизняній економіці явищам неофіційної трудової діяльності, виплати заробітної плати у «конверті» чи роботи за схемами цивільно-правових договорів з метою зниження фіскальних зобов’язань.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pacing w:val="-2"/>
          <w:sz w:val="28"/>
          <w:szCs w:val="28"/>
        </w:rPr>
        <w:t xml:space="preserve">Відповідно до положень </w:t>
      </w:r>
      <w:r w:rsidRPr="003D1BAE">
        <w:rPr>
          <w:rFonts w:ascii="Times New Roman" w:hAnsi="Times New Roman" w:cs="Times New Roman"/>
          <w:bCs/>
          <w:sz w:val="28"/>
          <w:szCs w:val="28"/>
        </w:rPr>
        <w:t>Закону України «Про внесення змін до деяких законодавчих актів України» від 06.12.2016 р. № 1774-</w:t>
      </w:r>
      <w:r w:rsidRPr="003D1BAE">
        <w:rPr>
          <w:rFonts w:ascii="Times New Roman" w:hAnsi="Times New Roman" w:cs="Times New Roman"/>
          <w:bCs/>
          <w:sz w:val="28"/>
          <w:szCs w:val="28"/>
          <w:lang w:val="en-US"/>
        </w:rPr>
        <w:t>VIII</w:t>
      </w:r>
      <w:r w:rsidRPr="003D1BAE">
        <w:rPr>
          <w:rFonts w:ascii="Times New Roman" w:hAnsi="Times New Roman" w:cs="Times New Roman"/>
          <w:bCs/>
          <w:sz w:val="28"/>
          <w:szCs w:val="28"/>
        </w:rPr>
        <w:t xml:space="preserve"> </w:t>
      </w:r>
      <w:r w:rsidRPr="003D1BAE">
        <w:rPr>
          <w:rFonts w:ascii="Times New Roman" w:hAnsi="Times New Roman" w:cs="Times New Roman"/>
          <w:bCs/>
          <w:sz w:val="28"/>
          <w:szCs w:val="28"/>
          <w:lang w:val="ru-RU"/>
        </w:rPr>
        <w:t>[60]</w:t>
      </w:r>
      <w:r w:rsidRPr="003D1BAE">
        <w:rPr>
          <w:rFonts w:ascii="Times New Roman" w:hAnsi="Times New Roman" w:cs="Times New Roman"/>
          <w:bCs/>
          <w:sz w:val="28"/>
          <w:szCs w:val="28"/>
        </w:rPr>
        <w:t xml:space="preserve">, до 2019 року </w:t>
      </w:r>
      <w:r w:rsidRPr="003D1BAE">
        <w:rPr>
          <w:rFonts w:ascii="Times New Roman" w:hAnsi="Times New Roman" w:cs="Times New Roman"/>
          <w:bCs/>
          <w:sz w:val="28"/>
          <w:szCs w:val="28"/>
        </w:rPr>
        <w:lastRenderedPageBreak/>
        <w:t xml:space="preserve">представники органів місцевого самоврядування мали право разом з фахівцями Державної служби зайнятості брати участь у контролі за дотриманням вимог трудового законодавства щодо стандартів оплати праці й оформлення трудових відносин. Проте, враховуючи численні випадки неправомірного тиску з боку контролюючих структур, невідповідність цих повноважень Конституції нашої країни та принципам розмежування влади, для підтримки бізнесу з 2020 року ці норми законодавства були скасовані. Таким чином, на теперішній час органи місцевої влади можуть тільки сприяти діяльності Державної служби зайнятості у проведенні контролюючих дій. Однак, зусилля місцевої влади можуть бути зосереджені на виробленні комплексу організаційно-економічних заходів для стимулювання добровільного виходу бізнесу з тіньового сегменту економіки та «відбілювання» фонду оплати праці. Ці заходи можуть стосуватись не тільки надання податкових пільг та преференцій для суб’єктів господарювання, які забезпечують високі стандарти оплати праці для своїх працівників, але й дії щодо морального стимулювання. Для прикладу, для суб’єктів підприємництва, які впродовж тривалого часу проявляють себе як сумлінні платники податків та роботодавці може бути запущений так званий «режим найбільшого сприяння», коли вони в першу чергу залучаються до різних заходів, які реалізує орган місцевого самоврядування, зокрема інвестиційних форумів, виставок та ін., отримують інформаційну підтримку з боку влади тощо. В умовах жорсткої ринкової конкуренції це може стати вагомим стимулом для підприємств вести відповідальну політику щодо сплати податків та працевлаштування.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Наведені рекомендації щодо залучення резервів зростання надходжень від ПДФО, за підходом С. Тажетдинова, мають інтенсивний характер. На його думку, інтенсивний підхід спостерігається тоді, коли збільшення податкових надходжень досягнуте за рахунок стимулювання розвитку місцевого бізнесу, підвищення бізнес-активності у територіальній громаді. Натомість, іншим способом досягти фіскального ефекту є «переманювання» до громади суб’єктів господарювання з інших громад та регіонів країни, що забезпечує екстенсивне (механічне) розширення кількості платників податків, а отже збільшення обсягу </w:t>
      </w:r>
      <w:r w:rsidRPr="003D1BAE">
        <w:rPr>
          <w:rFonts w:ascii="Times New Roman" w:hAnsi="Times New Roman" w:cs="Times New Roman"/>
          <w:sz w:val="28"/>
          <w:szCs w:val="28"/>
        </w:rPr>
        <w:lastRenderedPageBreak/>
        <w:t xml:space="preserve">доходів місцевого бюджету [75, с. 20]. У першому випадку, як вважає вчений, органи влади мають забезпечити зменшення бюрократичних бар’єрів для започаткування бізнесу, розвиток транспортної та ринкової інфраструктури. Для створення умов до застосування екстенсивного способу нарощування податкових надходжень необхідним є створення більш сприятливого ділового клімату, ніж в громадах-суперниках, в тому числі через надання податкових пільг, більш зрозумілих правил функціонування бізнес-структур. Разом з тим, такий підхід до розширення бази оподаткування потенційно конфліктний, оскільки може генерувати напруженість між суміжними територіальними громадами, а також потребує ретельного обґрунтування щодо його економічної доцільності за схемою «вигоди – витрати» (потенційний приріст надходжень порівняно із обсягом бюджетних втрат від надання податкових преференцій).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Заслуговує на увагу ініціатива Асоціації міст України щодо перегляду норм щодо пропорцій розщеплення надходжень ПДФО між бюджетами різного рівня. За цими пропозиціями, визначеними проектами </w:t>
      </w:r>
      <w:r w:rsidRPr="003D1BAE">
        <w:rPr>
          <w:rFonts w:ascii="Times New Roman" w:hAnsi="Times New Roman" w:cs="Times New Roman"/>
          <w:sz w:val="28"/>
          <w:szCs w:val="28"/>
          <w:lang w:eastAsia="uk-UA"/>
        </w:rPr>
        <w:t xml:space="preserve">законів України від 15.02.2021 р. № 5066 «Про внесення змін до Бюджетного кодексу України щодо подальшого зміцнення фінансової спроможності громад» та від 04.03.2021 р. №5066-1 «Про внесення змін до Бюджетного кодексу України щодо збільшення відсотку зарахування податку на доходи фізичних осіб до бюджетів місцевого самоврядування» [28] </w:t>
      </w:r>
      <w:r w:rsidRPr="003D1BAE">
        <w:rPr>
          <w:rFonts w:ascii="Times New Roman" w:hAnsi="Times New Roman" w:cs="Times New Roman"/>
          <w:sz w:val="28"/>
          <w:szCs w:val="28"/>
        </w:rPr>
        <w:t xml:space="preserve">підвищення питомої ваги зарахування ПДФО до бюджетів територіальних громад з 60% до 65% дасть можливість додатково мобілізувати до місцевих бюджетів у 2022 році 11,1 млрд грн. за оцінками фахівців Асоціації міст України, це дасть можливість фінансового забезпечити приріст видатків, який місцеві бюджети отримали від передачі на місця повноважень щодо утримання закладів професійно-технічної освіти, фінансування соціальних гарантій та ін. Зважаючи на це, зусилля органів місцевого самоврядування мають полягати у всебічному лобіюванні цієї ініціативи через представників територіальних громад у парламенті та органах державної виконавчої влади.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lastRenderedPageBreak/>
        <w:t xml:space="preserve">Нарощування бюджетних доходів органів місцевої влади потребує також підвищення фіскальної віддачі від місцевих податків та зборів, зокрема податку на майно. Проблеми функціонування цього податку можна розмежувати на такі, які піддаються впливу з точки зору органів місцевої влади й такі, що належать виключно до компетенції органів державної влади. У наукових колах до </w:t>
      </w:r>
      <w:r w:rsidRPr="003D1BAE">
        <w:rPr>
          <w:rFonts w:ascii="Times New Roman" w:hAnsi="Times New Roman" w:cs="Times New Roman"/>
          <w:spacing w:val="-2"/>
          <w:sz w:val="28"/>
          <w:szCs w:val="28"/>
        </w:rPr>
        <w:t xml:space="preserve">найважливіших негативних рис податку на нерухоме майно зараховують таку, як застосування кількісного підходу при визначенні бази оподаткування. Дійсно, якщо базою оподаткування виступає площа нерухомості, а не її вартість, тоді місце розташування об’єкта нерухомості та його ціна ніяк не впливають на суму податку, що суперечить економічній логіці та порушує принцип справедливості оподаткування. Очевидно, що перспективи господарського використання об’єкта нерухомого майна у центрі крупного населеного пункту та на його околиці, або у невеликому центрі територіальної громади абсолютно різні, як відрізняються і потенційні доходи від такого використання. Зважаючи на це, власники об’єктів нерухомості з високою вартістю перебувають у невиправдано більш виграшному становищі, порівняно з власниками застарілого житлового фонду на околиці населеного пункту. Тому перехід до вартісного принципу визначення бази оподаткування нерухомості не тільки сприятиме відновленню справедливості у цій сфері, але й матиме позитивний вплив на доходи місцевого бюджету. Втім, такі рішення належать до компетенції уряду й парламенту, а тому зусилля органів місцевої влади щодо практичної реалізації цієї ініціативи можуть полягати лише у її лобіюванні та усебічній підтримці.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Щодо проблем справляння податку на нерухоме майно, які піддаються впливу з боку органів місцевої влади, то вони полягають у недоліках обліку бази оподаткування. На сьогодні підставою для нарахування та сплати податку на нерухоме майно є наявність відповідних документів, які підтверджують право власності на об’єкт. Однак, у багатьох територіальних громадах з переважаючим сільським населенням значна частина власників об’єктів нерухомості не має актуалізованих документів на них, а тому з технічних причин не входять до кола платників податку. Проведення інвентаризації такої нерухомості, стимулювання </w:t>
      </w:r>
      <w:r w:rsidRPr="003D1BAE">
        <w:rPr>
          <w:rFonts w:ascii="Times New Roman" w:hAnsi="Times New Roman" w:cs="Times New Roman"/>
          <w:spacing w:val="-2"/>
          <w:sz w:val="28"/>
          <w:szCs w:val="28"/>
        </w:rPr>
        <w:lastRenderedPageBreak/>
        <w:t xml:space="preserve">її власників щодо належного оформлення документів може сприяти розширенню бази оподаткування податком на нерухоме майно. Для цього важливо проводити інформаційно-роз’яснювальну роботу щодо донесення до власників нерухомості ризиків відсутності актуалізованих документів на право власності та показувати зумовлені ними можливі втрати порівняно із обсягами податкового зобов’язання з податку на нерухомість. Крім цього, результатом інвентаризації нерухомості може стати виявлення «нічийних» об’єктів, які після проходження певної процедури можуть бути переведені у комунальну власність та стати джерелом генерування додаткових доходів бюджету.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Окремої умови у контексті реалізації власних компетенцій органів місцевої влади у бюджетній політиці є вирішення проблеми втрати бюджетних доходів від зловживань у сфері паркування автотранспорту. За даними аналітичних досліджень, фактичні обсяги надходжень збору за місця для припаркування автотранспорту занижені порівняно з потенційними у кілька разів. Причиною такої ситуації є високий рівень тінізації ринку паркувальних послуг, оскільки за орієнтовними оцінками, тільки у столиці України близько 2/3 усіх паркувальних майданчиків працюють нелегально, а з офіційних парковок фіскальна віддача перебуває на мінімумі [52]. Відповідно до звітності підприємств, відповідальних за експлуатацію паркувальних майданчиків, вони приносять в розрахунку на одне парко місце дохід, який співмірний із вартістю години паркування, тоді як робота цих майданчиків триває нерідко цілодобово. За рахунок цього міський бюджет Києва втрачає значний обсяг власних доходів.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Незважаючи на те, що масштаби ринку паркувальних послуг у дрібних територіальних громадах не можна порівняти зі столичним, однак проблема тінізації цих послуг загальна для усієї України. Відповідно, її вирішення може стати резервом для нарощування власних доходів бюджетів територіальних громад та свідченням ефективності бюджетної політики на локальному рівні. Серед варіантів вирішення проблеми – впровадження автоматизованої системи контролю за паркувальним простором та електронних сервісів оплати послуг. Значну частину бюджетних втрат від надання паркувальних послуг спричиняють </w:t>
      </w:r>
      <w:r w:rsidRPr="003D1BAE">
        <w:rPr>
          <w:rFonts w:ascii="Times New Roman" w:hAnsi="Times New Roman" w:cs="Times New Roman"/>
          <w:spacing w:val="-2"/>
          <w:sz w:val="28"/>
          <w:szCs w:val="28"/>
        </w:rPr>
        <w:lastRenderedPageBreak/>
        <w:t xml:space="preserve">зловживання самих працівників паркувальних майданчиків, які не обліковують отримані кошти та привласнюють їх. Повний перехід на безконтактні схеми оплати паркувальних послуг за допомогою мобільних гаджетів дадуть змогу вивести паркувальні послуги з «тіні» та збільшити доходи місцевого бюджету.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Поряд із реалізацією заходів щодо вдосконалення політики формування податкових надходжень місцевих бюджетів, бюджетна політика органів місцевої влади щодо зміцнення дохідної бази власної діяльності має охоплювати також зусилля щодо нарощування неподаткових надходжень. Пропозиції щодо змін до складу податків та внесення новацій у їхні елементи мають до певної міри концептуальний характер, оскільки за винятком місцевих податків та зборів не належать до компетенції місцевого самоврядування. Натомість, збільшення доходів бюджету від використання комунального майна може бути досягнуте за рахунок дій власне органу місцевого самоврядування.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До повноважень місцевих органів влади належить право на передачу об’єктів комунальної власності в оренду, а також його продаж. Проте, умови та процедурні аспекти такої діяльності недостатньо регламентовані у правовому полі, що створює умови для поширення корупційних дій та зловживань щодо використання комунальної власності. Для багатьох територіальних громад характерні такі явища, як винятково ліберальні умови передачі комунального майна в оренду, відчутність об’єктивних процедур відбору орендарів, а також широкий перелік тих установ та організацій, які мають певні преференції при виставленні об’єктів комунальної власності на здачу в оренду чи продаж. При цьому нерідко можна спостерігати конфлікт інтересів в операціях, пов’язаних передачею комунального майна в оренду, коли воно на пільгових умовах або безкоштовного передається у користування наближеним до владних інституцій комерційним структурам і є джерелом їхнього збагачення. Більш того, такі схеми передачі комунального майна у комерційне користування нерідко є першим кроком до його подальшої приватизації за тіньовими схемами. Для прикладу, в окремих територіальних громадах тримали застосування схеми, коли об’єкти комунальної власності невдовзі після їхньої передачі у користування створеним </w:t>
      </w:r>
      <w:r w:rsidRPr="003D1BAE">
        <w:rPr>
          <w:rFonts w:ascii="Times New Roman" w:hAnsi="Times New Roman" w:cs="Times New Roman"/>
          <w:spacing w:val="-2"/>
          <w:sz w:val="28"/>
          <w:szCs w:val="28"/>
        </w:rPr>
        <w:lastRenderedPageBreak/>
        <w:t>комунальним підприємствам відчужуються або відаються в суборенду іншим структурам, однак за реальну ринкову плату. Таким чином, місцевий бюджет втрачає значні обсяги доходів, які привласнюються наближеними до органів влади особами чи структурами.</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Однією із бюджетовтратних реалій сьогодення є використання тіньових схем приватизації землі, яка належить територіальній громаді. Використання так званих «гаражних» («студентських») схем, коли орган місцевого самоврядування передає кільком фізичним особам – мешканцям територіальної громад за їх зверненням земельні ділянки для будівництва гаражів чи ведення особистого підсобного господарства, однак у подальшому ці ділянки об’єднуються та проводиться зміна цільового призначення землі на житлове будівництво, за оцінками експертів, спричиняє втрати доходів місцевих бюджетів, які співмірні з їх інвестиційними бюджетами.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Вирішити проблему бюджетних втрат від застосування непрозорих схем використання комунального майна може запровадження у ці відносин принципу максимальної транспарентності. Зокрема, слід у правовому порядку передбачити використання виключно конкурентних процедур передачі комунального майна в оренду шляхом проведення відкритих конкурсів. При цьому важливо, щоб інформація про їхнє проведення була максимально доступною та поширювалась через усіх можливі канали комунікації. Іншим варіантом забезпечення високого рівня транспарентності конкурсних процедур передачі комунального майна в оренду є створення відповідної вкладки на веб-ресурсі органу місцевого самоврядування, де сконцентрована інформація про об’єкти, які уже передані в оренду, умови та строки закінчення оренди за цими договорами, а також об’єкти, які вакантні із зазначенням дати та умов проведення конкурсу за право взяття їх в оренду. Прецеденти створення таких сервісів окремими територіальними громадами є, тому варто масштабувати цей досвід по всій Україні.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Окремим моментом проведення конкурсних процедур передачі в оренду комунального майна має стати запровадження запобіжників, які унеможливлять заниження розмірів орендної плати у випадку, коли учасниками конкурсу будуть </w:t>
      </w:r>
      <w:r w:rsidRPr="003D1BAE">
        <w:rPr>
          <w:rFonts w:ascii="Times New Roman" w:hAnsi="Times New Roman" w:cs="Times New Roman"/>
          <w:spacing w:val="-2"/>
          <w:sz w:val="28"/>
          <w:szCs w:val="28"/>
        </w:rPr>
        <w:lastRenderedPageBreak/>
        <w:t xml:space="preserve">структури, кінцевим бенефіціаром яких є одна особа. Таким чином, конкурс перетворюється на своєрідну «виставу» переможці якої наперед відомі. Для уникнення цього доцільно передбачити, що розміри орендної плати мають визначатись за процедурою, яка прописана у законодавстві щодо операцій трансфертного ціноутворення. Тобто, в основу визначення розмірів орендної плати мають бути покладені ринкові ціни на оренду нерухомого майна, які спостерігаються у даному населеному пункті чи в територіальній громаді. У випадку відсутності таких прикладів, необхідно орієнтуватись на вартість оренди у подібних територіальних громадах. Для певності, усі пропоновані новації можуть бути закріплені у відповідному Положенні про процедуру передачі об’єктів комунальної власності в оренду або їх продаж, прийнятому місцевою радою. Завдяки цим новаціям, на наш погляд, можна буде радикально зменшити масштаби зловживань з використанням комунальної власності та збільшити доходи місцевих бюджетів.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Важливою проблемою, яка знижує находження місцевих бюджетів є також відсутність повної інформації про належну органам місцевого самоврядування землю та комунальну власність. У багатьох територіальних громадах ніколи не проводилась інвентаризація комунальної власності чи землі, що може стати об’єктом відносин оренди або продажу, а також приносити дохід у вигляді плати за землю. Однак, за оцінками експертів земельного ринку, площа не облікованих земельних ресурсів, які перебувають у господарському обігу, однак виведені з під оподаткування, сягають 5 млн га. Із загального земельного банку нашої країни, придатного для господарювання, на рівні 41 млн га лише 26 млн га відображені у податковій звітності. Таким чином, понад третину загальної площі земель господарського використання в Україні виведені з-під оподаткування. [39]. Таким чином, тільки проведення тотальної інвентаризації земельних ресурсів з метою подальшого оподаткування може збільшити надходження від земельного оподаткування більш, ніж на третину. В умовах запровадження ринку землі ці землі можуть бути оцінені та на умовах відкритих конкурсних </w:t>
      </w:r>
      <w:r w:rsidRPr="003D1BAE">
        <w:rPr>
          <w:rFonts w:ascii="Times New Roman" w:hAnsi="Times New Roman" w:cs="Times New Roman"/>
          <w:spacing w:val="-2"/>
          <w:sz w:val="28"/>
          <w:szCs w:val="28"/>
        </w:rPr>
        <w:lastRenderedPageBreak/>
        <w:t xml:space="preserve">процедур продані за ринковими цінами, що забезпечить надходження додаткових доходів за групою доходів від операцій з капіталом.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Окремої уваги потребує також практика використання лісових ресурсів. У часи планової економіки в Україні функціонувала ціла мережа радгоспів, тобто підприємств аграрної галузі, які перебували у державній власності. З переходом до ринку ці підприємства в більшості збанкрутували, тоді як лісові масиви, які перебували у їхньому користуванні (полезахисні лісосмуги) стали «нічийними». Ці лісові насадження виведені з офіційного господарського використання та не приносять жодної користі для територіальних громад. Більш того, у багатьох громадах ці лісові масиви використовуються комерційними структурами для отримання доходів, оминаючи сплату податкових зобов’язань. Проведення інвентаризації таких лісових ресурсів, введення їх до господарського обороту (через створення комунальних підприємств для їх експлуатації чи передачі на конкурсних умовах в управління) може забезпечити додатковий ресурс до місцевого бюджету, створити додаткові робочі місця. Додатковий ефект від таких заходів може полягати у забезпеченні благоустрою цих територій, які без господарського використання можуть «здичавіти», а також поліпшенні стану довкілля.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Іншим аспектом роботи органу місцевого самоврядування, який поєднує ознаки бюджетної політики та адміністративного управління є запровадження штрафних санкцій за порушення правил благоустрою та прояви неправомірної поведінки. Необхідно визнати, що на сьогодні можливості органів місцевої влади щодо провадження власної політики у царині адміністративних штрафів доволі обмежені, що має негативні наслідки, в том числі фіскального характеру. Так, чинне законодавство передбачає надто незначні розміри адміністративних санкцій за правопорушення, які мають масовий характер (вигулювання собак з порушенням вимог та у недозволених місцях, засмічування громадських місць, прояви хуліганської поведінки, нанесення графіті на житлові та громадські будівлі та ін.). Внаслідок цього, держава не тільки непрямо потурає цим видам правопорушень, що знижує загальний рівень культури вітчизняного суспільства, </w:t>
      </w:r>
      <w:r w:rsidRPr="003D1BAE">
        <w:rPr>
          <w:rFonts w:ascii="Times New Roman" w:hAnsi="Times New Roman" w:cs="Times New Roman"/>
          <w:spacing w:val="-2"/>
          <w:sz w:val="28"/>
          <w:szCs w:val="28"/>
        </w:rPr>
        <w:lastRenderedPageBreak/>
        <w:t xml:space="preserve">але й не дає можливості задіяти вагомий резерв для нарощування доходів місцевих бюджетів.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У світовій практиці компетенція щодо запровадження адміністративних санкцій за побутові правопорушення та визначення їхніх розмірів належить територіальним громадам, а кошти від сплати санкцій надходять до місцевих бюджетів. В Україні через складність процедури внесення змін до правових норм щодо накладання штрафних санкцій впродовж багатьох років ситуація у цій сфері залишається незмінною, а через консервацію розміру неоподатковуваного мінімуму суми штрафних санкцій під дією інфляції втратили свою реальну вартість та є необтяжливими. Незважаючи на наявність законодавчих ініціатив щодо підвищення розмірів штрафних санкцій за правопорушення побутового характеру і вчинені у громадських просторах </w:t>
      </w:r>
      <w:r w:rsidRPr="003D1BAE">
        <w:rPr>
          <w:rFonts w:ascii="Times New Roman" w:hAnsi="Times New Roman" w:cs="Times New Roman"/>
          <w:sz w:val="28"/>
          <w:szCs w:val="28"/>
          <w:lang w:val="ru-RU"/>
        </w:rPr>
        <w:t>[12]</w:t>
      </w:r>
      <w:r w:rsidRPr="003D1BAE">
        <w:rPr>
          <w:rFonts w:ascii="Times New Roman" w:hAnsi="Times New Roman" w:cs="Times New Roman"/>
          <w:sz w:val="28"/>
          <w:szCs w:val="28"/>
        </w:rPr>
        <w:t xml:space="preserve">, вони не вирішують проблеми загалом. Більш того, незрозумілим є сам принцип надмірної концентрації цих повноважень на найвищому рівні публічного управління. З огляду на зміст таких правопорушень, регулювання відповідальності за їх вчинення має бути віднесене до власних повноважень органу місцевого самоврядування. Розміри таких санкцій мають враховувати рівень розвитку територіальної громади, доходів її мешканців, а також гостроту проблеми поширення різних форм протиправної поведінки. Для усунення передумов для вчинення неправомірних дій при здійсненні контролю за правопорушеннями громадського характеру, а також накладанні штрафних санкцій, вони мають отримати закріплення у відповідних документах – Правилах поведінки у місцях громадського простору, Правилах благоустрою територіальної громади. Приклади прийняття таких документів на рівні територіальних громад є </w:t>
      </w:r>
      <w:r w:rsidRPr="003D1BAE">
        <w:rPr>
          <w:rFonts w:ascii="Times New Roman" w:hAnsi="Times New Roman" w:cs="Times New Roman"/>
          <w:sz w:val="28"/>
          <w:szCs w:val="28"/>
          <w:lang w:val="ru-RU"/>
        </w:rPr>
        <w:t>[85]</w:t>
      </w:r>
      <w:r w:rsidRPr="003D1BAE">
        <w:rPr>
          <w:rFonts w:ascii="Times New Roman" w:hAnsi="Times New Roman" w:cs="Times New Roman"/>
          <w:sz w:val="28"/>
          <w:szCs w:val="28"/>
        </w:rPr>
        <w:t xml:space="preserve">, однак їхнє масштабування на загальнодержавному рівні є вимогою часу.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Перспективним напрямом політики щодо формування доходів місцевого бюджету є активізація проектної діяльності, що передбачає залучення коштів суб’єктів господарювання, донорських організацій до реалізації важливих для територіальної громади проектів розвитку. На теперішній час в Україні діють низка програм фінансової підтримки розвитку територіальних громад, однак </w:t>
      </w:r>
      <w:r w:rsidRPr="003D1BAE">
        <w:rPr>
          <w:rFonts w:ascii="Times New Roman" w:hAnsi="Times New Roman" w:cs="Times New Roman"/>
          <w:spacing w:val="-2"/>
          <w:sz w:val="28"/>
          <w:szCs w:val="28"/>
        </w:rPr>
        <w:lastRenderedPageBreak/>
        <w:t xml:space="preserve">тільки невеликий сегмент органів місцевого самоврядування провадить реальну роботу щодо участі у цих програмах і залучення фінансових ресурсів. Основна причина такої ситуації полягає у відсутності у працівників апарату органів місцевого самоврядування необхідних знань та компетенцій, потрібних для розробки проектів розвитку та підготовки проектної документації для участі у конкурсах. Відповідно, більшість громад обмежуються участю у програмах надання субвенцій з Державного фонду регіонального розвитку та субвенцій на соціально-економічний розвиток окремих територій, де умови участі доволі формальні. Однак, в перспективі варто зосередити увагу на підвищенні рівня кваліфікації працівників апарату місцевих рад з підготовки проектів розвитку, які можуть брати участь у вітчизняних та міжнародних донорських програмах, що потенційно може стати вагомим резервом нарощування доходів місцевих бюджетів.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highlight w:val="yellow"/>
        </w:rPr>
      </w:pP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highlight w:val="yellow"/>
        </w:rPr>
      </w:pP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b/>
          <w:spacing w:val="-2"/>
          <w:sz w:val="28"/>
          <w:szCs w:val="28"/>
        </w:rPr>
      </w:pPr>
      <w:r w:rsidRPr="003D1BAE">
        <w:rPr>
          <w:rFonts w:ascii="Times New Roman" w:hAnsi="Times New Roman" w:cs="Times New Roman"/>
          <w:b/>
          <w:spacing w:val="-2"/>
          <w:sz w:val="28"/>
          <w:szCs w:val="28"/>
        </w:rPr>
        <w:t>3.2. Напрями підвищення ефективності бюджетної політики органів місцевої влади у сфері видатків</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Ключовим етапом бюджетного процесу на місцевому рівні, через який найповніше реалізується бюджетна політика органів місцевої влади є виконання місцевого бюджету за видатками. Від того, наскільки обґрунтованими є самі видатки бюджету, а також від стабільності їхнього виконання відповідно до розпису залежить якість надання життєво важливих суспільних послуг для населення громади, перспективи розвитку місцевої економіки, благоустрій території та інші питання.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Однак, підвищувати роль органів місцевої влади у соціально-економічному розвитку територій неможливо тільки за рахунок постійного нарощування видатків місцевих бюджетів, важливо також приділяти увагу питанням ефективного використання бюджетних коштів, покращення результатів діяльності організацій комунального сектора, закладів соціальної сфери. На </w:t>
      </w:r>
      <w:r w:rsidRPr="003D1BAE">
        <w:rPr>
          <w:rFonts w:ascii="Times New Roman" w:hAnsi="Times New Roman" w:cs="Times New Roman"/>
          <w:spacing w:val="-2"/>
          <w:sz w:val="28"/>
          <w:szCs w:val="28"/>
        </w:rPr>
        <w:lastRenderedPageBreak/>
        <w:t xml:space="preserve">думку О. Гуржій, необхідно забезпечити якісно нову, відкриту модель відносин між органами влади та громадськістю, за якої кожен індивід матиме можливість захистити свої права та свободи. Транспарентність відносин між владою та населення, відкритість бюджетного процесу та бюджету, на думку вченого, є визначальною умовою демократичного розвитку держави. Транспарентність бюджету створює передумови для того, щоб активна частина громадськості мала можливість впливати на формування альтернатив бюджетних рішень, завдання органів місцевого самоврядування з метою захисту своїх громадянських прав [15, с. 76].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Зважаючи на представлений у роботі підхід до тлумачення ефективності бюджетної політики, її вдосконалення у сфері видатків бюджету, крім посилення участі громадськості у прийнятті управлінських рішень має також передбачати підвищення об’єктивності планування видатків бюджету, забезпечення їхньої узгодженості зі стратегічними пріоритетами розвитку територіальної громади, запровадження ринкових конкурентних підходів при наданні суспільних послуг за рахунок коштів місцевого бюджету тощо.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Фундаментальною новацією останнього часу у бюджетній практиці стало запровадження програмно-цільового методу виконання бюджетів на усіх рівнях бюджетної системи. Ц створило передумови для посилення кореспонденції між цілями соціально-економічного розвитку громад та показниками місцевих бюджетів, підвищення ефективності використання бюджетних коштів на надання суспільних послуг. Незважаючи на тривалий підготовчий період до запровадження програмно-цільового методу на рівні місцевих бюджетів, у багатьох територіальних громадах дотепер актуальними є поширені проблеми його використання, пов’язані із низькою якістю розробки бюджетних програм, слабкою узгодженістю між завданнями, визначеними документами стратегічного планування на рівні громад та бюджетними програмами. Останні продовжують сприймати як відокремлені самостійні документи бюджетного процесу, які мають бути спрямованими на освоєння коштів, а не на реалізацію завдань, визначених у Стратегії чи програмі соціально-економічного розвитку. Попри </w:t>
      </w:r>
      <w:r w:rsidRPr="003D1BAE">
        <w:rPr>
          <w:rFonts w:ascii="Times New Roman" w:hAnsi="Times New Roman" w:cs="Times New Roman"/>
          <w:spacing w:val="-2"/>
          <w:sz w:val="28"/>
          <w:szCs w:val="28"/>
        </w:rPr>
        <w:lastRenderedPageBreak/>
        <w:t xml:space="preserve">значну організаційну роботу, не вирішене питання об’єктивного оцінювання ефективності виконання бюджетних програм, типовий склад цих індикаторів є об’єктом гострої критики з боку науковців та представників громадського сектору. На думку окремих науковців, причини недостатньої ефективності впровадження програмно-цільового методу на рівні місцевих бюджетів у тому, що прогресивні методи та інструменти бюджетного менеджменту застосовують вибірково, без розуміння їх комплексного характеру. Дуже часто органи місцевої влади не мають чіткого уявлення про те, якими повинні бути пріоритети їхньої діяльності як політичних та соціальних інститутів. Як зазначають Н. Татарин та В. Голік, в основі цього – недорозвиненість політичних інститутів, політичної культури в суспільстві, поширення лобізму, кумівства та інших екстрактивних політичних явищ, що ускладнює органам місцевого самоврядування належно реалізувати свої представницькі функції у відповідності з демократичними принципами </w:t>
      </w:r>
      <w:r w:rsidRPr="003D1BAE">
        <w:rPr>
          <w:rFonts w:ascii="Times New Roman" w:hAnsi="Times New Roman" w:cs="Times New Roman"/>
          <w:sz w:val="28"/>
          <w:szCs w:val="28"/>
        </w:rPr>
        <w:t>[77, с. 74].</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За оцінками експертів програми </w:t>
      </w:r>
      <w:r w:rsidRPr="003D1BAE">
        <w:rPr>
          <w:rFonts w:ascii="Times New Roman" w:hAnsi="Times New Roman" w:cs="Times New Roman"/>
          <w:spacing w:val="-2"/>
          <w:sz w:val="28"/>
          <w:szCs w:val="28"/>
          <w:lang w:val="en-US"/>
        </w:rPr>
        <w:t>DOBRE</w:t>
      </w:r>
      <w:r w:rsidRPr="003D1BAE">
        <w:rPr>
          <w:rFonts w:ascii="Times New Roman" w:hAnsi="Times New Roman" w:cs="Times New Roman"/>
          <w:spacing w:val="-2"/>
          <w:sz w:val="28"/>
          <w:szCs w:val="28"/>
        </w:rPr>
        <w:t xml:space="preserve">, найбільш складною і поширеною проблемою бюджетування на рівні місцевих органів влади є ігнорування цілей та завдань документів стратегічного розвитку територіальних громад, розвитку окремих галузей соціальної сфери при формулювання поточних пріоритетів бюджетної політики та розрахунку бюджетних показників. У питанні розробки стратегічних планувальних документів в Україні спостерігається значний рівень між територіальної диференціації – в багатьох адміністративно-територіальних одиницях на сьогодні уже розроблені стратегії розвитку як громади загалом, так і окремих галузей економіки (освіти, культури чи ін.), практикується складання програм соціально-економічного розвитку на дво- чи трирічний строк із ґрунтовною аргументацією завдань та деталізацією завдань.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Натомість, у значної частини територіальних громад робота стосовно розробки стратегічних планувальних документів взагалі не ведеться або має суто формальний характер та зумовлена вимогою наявності таких документів для отримання фінансування за інвестиційними програмами (фінансування проектів з Державного фонду регіонального розвитку) чи вимогами співпраці з </w:t>
      </w:r>
      <w:r w:rsidRPr="003D1BAE">
        <w:rPr>
          <w:rFonts w:ascii="Times New Roman" w:hAnsi="Times New Roman" w:cs="Times New Roman"/>
          <w:spacing w:val="-2"/>
          <w:sz w:val="28"/>
          <w:szCs w:val="28"/>
        </w:rPr>
        <w:lastRenderedPageBreak/>
        <w:t>донорськими організаціями (</w:t>
      </w:r>
      <w:r w:rsidRPr="003D1BAE">
        <w:rPr>
          <w:rFonts w:ascii="Times New Roman" w:hAnsi="Times New Roman" w:cs="Times New Roman"/>
          <w:spacing w:val="-2"/>
          <w:sz w:val="28"/>
          <w:szCs w:val="28"/>
          <w:lang w:val="en-US"/>
        </w:rPr>
        <w:t>DOBRE</w:t>
      </w:r>
      <w:r w:rsidRPr="003D1BAE">
        <w:rPr>
          <w:rFonts w:ascii="Times New Roman" w:hAnsi="Times New Roman" w:cs="Times New Roman"/>
          <w:spacing w:val="-2"/>
          <w:sz w:val="28"/>
          <w:szCs w:val="28"/>
        </w:rPr>
        <w:t xml:space="preserve">). Ускладнює проблему також відсутність навиків розробки таких документів, через що вони часто-густо абсолютно відірвані від реалій місцевого розвитку, а поставлені у них завдання утопічні та недосяжні. Так, у багатьох громадах стереотипно переоцінюють вигідність географічного розташування, трудоресурсний потенціал та інші чинники, а також серед пріоритетів розвитку визначають стимулювання туристичної галузі, що характерне навіть для типових сільськогосподарських громад, які позбавлені значимих природних чи історичних туристичних принад. Низька якість розробки стратегічних документів розвитку ускладнює можливості для їх кореспонденції у бюджетні програми, що нівелює саму ідею використання програмно-цільового методу бюджетування.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М. Тарасюк звертає увагу на іншу вагому проблему бюджетної політики на усіх рівнях публічного управління, а саме її значну залежність від політичної кон’юнктури. Негативним наслідком цього є радикальний перегляд структури фінансування інвестиційних проектів чи програм розвитку, у які раніше були вкладені значні кошти. Інформаційним підґрунтям для цього є нерідко слабкі результати виконання цільових та бюджетних програм, зумовлені не тільки проблемами непрофесійного їх розроблення, але й непослідовністю їхнього фінансування. Нерідко цільові програми передбачають відірвані від реалій обсяги фінансування, особливо в частині залучення зовнішніх ресурсів від донорських установ та бізнесу. Тому уже в процесі їх виконання виявляється, що єдиним вагомим джерелом фінансування передбачених програмами заходів є кошти бюджету. Недофінансування цих заходів через відсутність коштів стає причиною недосягнення визначених ними програмних результатів, а отже, ставить під сумнів доцільність самої її розробки та реалізації. Такий комплекс проблемних моментів практики розробки та фінансування цільових і бюджетних програм в Україні дає підстави противникам програмно-цільового методу вказувати на його неефективність. </w:t>
      </w:r>
    </w:p>
    <w:p w:rsidR="003D1BAE" w:rsidRPr="003D1BAE" w:rsidRDefault="003D1BAE" w:rsidP="003D1BAE">
      <w:pPr>
        <w:pStyle w:val="a7"/>
        <w:tabs>
          <w:tab w:val="left" w:pos="1134"/>
        </w:tabs>
        <w:spacing w:line="360" w:lineRule="auto"/>
        <w:ind w:firstLine="709"/>
        <w:jc w:val="both"/>
        <w:rPr>
          <w:rFonts w:ascii="Times New Roman" w:hAnsi="Times New Roman"/>
          <w:spacing w:val="-2"/>
          <w:sz w:val="28"/>
          <w:szCs w:val="28"/>
        </w:rPr>
      </w:pPr>
      <w:r w:rsidRPr="003D1BAE">
        <w:rPr>
          <w:rFonts w:ascii="Times New Roman" w:hAnsi="Times New Roman"/>
          <w:spacing w:val="-2"/>
          <w:sz w:val="28"/>
          <w:szCs w:val="28"/>
        </w:rPr>
        <w:t xml:space="preserve">Вирішити цю проблему, на думку М. Тарасюка, можна забезпеченням чіткої фіксації стратегічних пріоритетів розвитку у довгострокових програмах </w:t>
      </w:r>
      <w:r w:rsidRPr="003D1BAE">
        <w:rPr>
          <w:rFonts w:ascii="Times New Roman" w:hAnsi="Times New Roman"/>
          <w:spacing w:val="-2"/>
          <w:sz w:val="28"/>
          <w:szCs w:val="28"/>
        </w:rPr>
        <w:lastRenderedPageBreak/>
        <w:t xml:space="preserve">розвитку, що усуне їхню залежність від поточної політичної кон’юнктури та нівелює можливості маніпулювання бюджетними ресурсами в корисливих інтересах. Необхідним є чітке дотримання логічного ланцюга «стратегічні пріоритети розвитку – тактичні завдання діяльності органу влади – завдання бюджетних програм». Створення такої багаторівневої системи бюджетного планування, на думку вченого, дасть можливість забезпечити на належному рівні обґрунтування шляхів ефективного використання коштів місцевих бюджетів на програми та заходи економічного й соціального розвитку. «Багаторівневість бюджетного планування забезпечить умови для того, щоб конкретизувати усі стратегічні фінансові цілі територіальних громад» </w:t>
      </w:r>
      <w:r w:rsidRPr="003D1BAE">
        <w:rPr>
          <w:rFonts w:ascii="Times New Roman" w:hAnsi="Times New Roman"/>
          <w:spacing w:val="-2"/>
          <w:sz w:val="28"/>
          <w:szCs w:val="28"/>
          <w:lang w:val="ru-RU"/>
        </w:rPr>
        <w:t>[76</w:t>
      </w:r>
      <w:r w:rsidRPr="003D1BAE">
        <w:rPr>
          <w:rFonts w:ascii="Times New Roman" w:hAnsi="Times New Roman"/>
          <w:spacing w:val="-2"/>
          <w:sz w:val="28"/>
          <w:szCs w:val="28"/>
        </w:rPr>
        <w:t>, с. 25</w:t>
      </w:r>
      <w:r w:rsidRPr="003D1BAE">
        <w:rPr>
          <w:rFonts w:ascii="Times New Roman" w:hAnsi="Times New Roman"/>
          <w:spacing w:val="-2"/>
          <w:sz w:val="28"/>
          <w:szCs w:val="28"/>
          <w:lang w:val="ru-RU"/>
        </w:rPr>
        <w:t>]</w:t>
      </w:r>
      <w:r w:rsidRPr="003D1BAE">
        <w:rPr>
          <w:rFonts w:ascii="Times New Roman" w:hAnsi="Times New Roman"/>
          <w:spacing w:val="-2"/>
          <w:sz w:val="28"/>
          <w:szCs w:val="28"/>
        </w:rPr>
        <w:t>.</w:t>
      </w:r>
    </w:p>
    <w:p w:rsidR="003D1BAE" w:rsidRPr="003D1BAE" w:rsidRDefault="003D1BAE" w:rsidP="003D1BAE">
      <w:pPr>
        <w:pStyle w:val="a7"/>
        <w:tabs>
          <w:tab w:val="left" w:pos="1134"/>
        </w:tabs>
        <w:spacing w:line="360" w:lineRule="auto"/>
        <w:ind w:firstLine="709"/>
        <w:jc w:val="both"/>
        <w:rPr>
          <w:rFonts w:ascii="Times New Roman" w:hAnsi="Times New Roman"/>
          <w:spacing w:val="-2"/>
          <w:sz w:val="28"/>
          <w:szCs w:val="28"/>
        </w:rPr>
      </w:pPr>
      <w:r w:rsidRPr="003D1BAE">
        <w:rPr>
          <w:rFonts w:ascii="Times New Roman" w:hAnsi="Times New Roman"/>
          <w:spacing w:val="-2"/>
          <w:sz w:val="28"/>
          <w:szCs w:val="28"/>
        </w:rPr>
        <w:t xml:space="preserve">Актуальною потребою бюджетної практики в контексті підвищення її ефективності є перехід до середньострокового бюджетного планування. Воно полягає у складанні розпорядниками бюджетних коштів довгострокових планів власної діяльності, з розрахунком необхідного обсягу фінансування, який дозволить досягти намічених у них цілей. Середньострокове планування, як правило, передбачає складання плану-прогнозу діяльності на трирічний період, що дає можливість забезпечити його прийнятну реалістичність, заважаючи на високий динамізм економічної ситуації в Україні. В рамках такого планування важливо забезпечити узгодженість цілей та завдань середньострокових планів діяльності розпорядників коштів бюджету з відповідними цілями стратегії чи програми соціально-економічного розвитку громади. </w:t>
      </w:r>
    </w:p>
    <w:p w:rsidR="003D1BAE" w:rsidRPr="003D1BAE" w:rsidRDefault="003D1BAE" w:rsidP="003D1BAE">
      <w:pPr>
        <w:pStyle w:val="a7"/>
        <w:tabs>
          <w:tab w:val="left" w:pos="1134"/>
        </w:tabs>
        <w:spacing w:line="360" w:lineRule="auto"/>
        <w:ind w:firstLine="709"/>
        <w:jc w:val="both"/>
        <w:rPr>
          <w:rFonts w:ascii="Times New Roman" w:hAnsi="Times New Roman"/>
          <w:spacing w:val="-2"/>
          <w:sz w:val="28"/>
          <w:szCs w:val="28"/>
        </w:rPr>
      </w:pPr>
      <w:r w:rsidRPr="003D1BAE">
        <w:rPr>
          <w:rFonts w:ascii="Times New Roman" w:hAnsi="Times New Roman"/>
          <w:spacing w:val="-2"/>
          <w:sz w:val="28"/>
          <w:szCs w:val="28"/>
        </w:rPr>
        <w:t xml:space="preserve">Середньострокове бюджетне планування створює умови для посилення стратегічної зорієнтованості оперативних бюджетних планів, які складаються строком на один бюджетний період. Як зазначає Л. Карамушка, така модель планування бюджету, коли показники середньострокового бюджетного плану «лягають» в основу розробки нового проекту річного бюджету, забезпечує стабільність та прогнозованість бюджетної політики, своєчасність урахування змін економічної, політичної, соціальної ситуації в країні, дає можливість перегрупувати видатки для їх більш повної відповідності новим пріоритетам бюджетної політики. Таким чином, органи місцевої влади приділяють більшу </w:t>
      </w:r>
      <w:r w:rsidRPr="003D1BAE">
        <w:rPr>
          <w:rFonts w:ascii="Times New Roman" w:hAnsi="Times New Roman"/>
          <w:spacing w:val="-2"/>
          <w:sz w:val="28"/>
          <w:szCs w:val="28"/>
        </w:rPr>
        <w:lastRenderedPageBreak/>
        <w:t xml:space="preserve">увагу довгостроковим цілям розвитку, не забуваючи при цьому про поточні завдання </w:t>
      </w:r>
      <w:r w:rsidRPr="003D1BAE">
        <w:rPr>
          <w:rFonts w:ascii="Times New Roman" w:hAnsi="Times New Roman"/>
          <w:spacing w:val="-2"/>
          <w:sz w:val="28"/>
          <w:szCs w:val="28"/>
          <w:lang w:val="ru-RU"/>
        </w:rPr>
        <w:t>[31</w:t>
      </w:r>
      <w:r w:rsidRPr="003D1BAE">
        <w:rPr>
          <w:rFonts w:ascii="Times New Roman" w:hAnsi="Times New Roman"/>
          <w:spacing w:val="-2"/>
          <w:sz w:val="28"/>
          <w:szCs w:val="28"/>
        </w:rPr>
        <w:t>, с. 87-88</w:t>
      </w:r>
      <w:r w:rsidRPr="003D1BAE">
        <w:rPr>
          <w:rFonts w:ascii="Times New Roman" w:hAnsi="Times New Roman"/>
          <w:spacing w:val="-2"/>
          <w:sz w:val="28"/>
          <w:szCs w:val="28"/>
          <w:lang w:val="ru-RU"/>
        </w:rPr>
        <w:t>]</w:t>
      </w:r>
      <w:r w:rsidRPr="003D1BAE">
        <w:rPr>
          <w:rFonts w:ascii="Times New Roman" w:hAnsi="Times New Roman"/>
          <w:spacing w:val="-2"/>
          <w:sz w:val="28"/>
          <w:szCs w:val="28"/>
        </w:rPr>
        <w:t>.</w:t>
      </w:r>
    </w:p>
    <w:p w:rsidR="003D1BAE" w:rsidRPr="003D1BAE" w:rsidRDefault="003D1BAE" w:rsidP="003D1BAE">
      <w:pPr>
        <w:pStyle w:val="a7"/>
        <w:tabs>
          <w:tab w:val="left" w:pos="1134"/>
        </w:tabs>
        <w:spacing w:line="360" w:lineRule="auto"/>
        <w:ind w:firstLine="709"/>
        <w:jc w:val="both"/>
        <w:rPr>
          <w:rFonts w:ascii="Times New Roman" w:hAnsi="Times New Roman"/>
          <w:spacing w:val="-2"/>
          <w:sz w:val="28"/>
          <w:szCs w:val="28"/>
        </w:rPr>
      </w:pPr>
      <w:r w:rsidRPr="003D1BAE">
        <w:rPr>
          <w:rFonts w:ascii="Times New Roman" w:hAnsi="Times New Roman"/>
          <w:spacing w:val="-2"/>
          <w:sz w:val="28"/>
          <w:szCs w:val="28"/>
        </w:rPr>
        <w:t xml:space="preserve">Передумовою для повноцінного впровадження на рівні територіальних громад середньострокового бюджетного планування є оптимізація видатків місцевих бюджетів із збільшенням їх інвестиційної складової. Характерною рисою місцевих бюджетів в Україні є домінування у їхній структурі видатків соціального призначення, пов’язаних із фінансовим забезпеченням надання суспільних послуг. Раціоналізація цих видатків дає можливість не тільки спрямувати додаткові кошти на зміцнення матеріальної бази закладів освіти, медицини чи соціального забезпечення, але й започаткувати додаткові проекти розвитку. Інформаційну основу для такої оптимізації формують результати аналізу видатків на соціальну сферу в подушному вираженні. Зазвичай, такий аналіз свідчить про наявність значної диференціації показників видатків в розрахунку на одного споживача у розрізі окремих закладів освіти, медицини чи культури. Для прикладу, наявність закладів освіти з низькою наповнюваністю та високими витратами на утримання можна розглядати як прояв марнотратства, оскільки це не тільки порушує принцип справедливості при розподілі коштів бюджету, але й, я правило, при високих витратах якість цих послуг низька. Проте, прийняття рішення про закриття неефективних закладів соціальної сфери політично «некомфортне», оскільки може спричинити спротив у населення, яке традиційно дотримується утриманських стереотипів. Тому оптимізація мережі закладів соціальної сфери – це питання не тільки економічної доцільності, але й політичної волі з боку органів місцевої влади. Це також потребує вироблення компенсаторних механізмів для забезпечення доступності суспільних послуг й недопущення обмеження прав мешканців окремих населених пунктів </w:t>
      </w:r>
      <w:r w:rsidRPr="003D1BAE">
        <w:rPr>
          <w:rFonts w:ascii="Times New Roman" w:hAnsi="Times New Roman"/>
          <w:sz w:val="28"/>
          <w:szCs w:val="28"/>
        </w:rPr>
        <w:t>[66].</w:t>
      </w:r>
    </w:p>
    <w:p w:rsidR="003D1BAE" w:rsidRPr="003D1BAE" w:rsidRDefault="003D1BAE" w:rsidP="003D1BAE">
      <w:pPr>
        <w:tabs>
          <w:tab w:val="left" w:pos="1080"/>
        </w:tabs>
        <w:spacing w:after="0" w:line="360" w:lineRule="auto"/>
        <w:ind w:firstLine="720"/>
        <w:jc w:val="both"/>
        <w:rPr>
          <w:rFonts w:ascii="Times New Roman" w:hAnsi="Times New Roman" w:cs="Times New Roman"/>
          <w:sz w:val="28"/>
          <w:szCs w:val="28"/>
        </w:rPr>
      </w:pPr>
      <w:r w:rsidRPr="003D1BAE">
        <w:rPr>
          <w:rFonts w:ascii="Times New Roman" w:hAnsi="Times New Roman" w:cs="Times New Roman"/>
          <w:spacing w:val="-2"/>
          <w:sz w:val="28"/>
          <w:szCs w:val="28"/>
        </w:rPr>
        <w:t xml:space="preserve">Проте, оптимізація мережі закладів соціальної сфери не є єдиним способом підвищення ефективності використання бюджетних коштів на надання послуг у галузях соціальної сфери. У науковій літературі все більш активно дискутують про переваги застосування аутсорсингу і соціального замовлення при організації надання суспільних послуг, як технологій, що втілюють конкурсний підхід до </w:t>
      </w:r>
      <w:r w:rsidRPr="003D1BAE">
        <w:rPr>
          <w:rFonts w:ascii="Times New Roman" w:hAnsi="Times New Roman" w:cs="Times New Roman"/>
          <w:spacing w:val="-2"/>
          <w:sz w:val="28"/>
          <w:szCs w:val="28"/>
        </w:rPr>
        <w:lastRenderedPageBreak/>
        <w:t xml:space="preserve">вибору надавача послуг. Поняття аутсорсингу </w:t>
      </w:r>
      <w:r w:rsidRPr="003D1BAE">
        <w:rPr>
          <w:rStyle w:val="fontstyle33"/>
          <w:rFonts w:ascii="Times New Roman" w:hAnsi="Times New Roman" w:cs="Times New Roman"/>
          <w:sz w:val="28"/>
          <w:szCs w:val="28"/>
        </w:rPr>
        <w:t xml:space="preserve">(outsourcing, англ. – зовнішнє першоджерело, залучення зовнішніх ресурсів) означає передачу на умовах договору певних непрофільних функцій розпорядника (одержувача) бюджетних коштів іншим структурам, які мають досвід та ресурсне забезпечення для їх належного виконання. Використання технології аутсорсингу дає можливість розпоряднику (одержувачу) бюджетних коштів зосередити свою увагу на профільних напрямах діяльності, відкинувши, як правило, супутні сервісні функції, передати їх на виконання приватних структур. Аутсорсинг, на думку С. Кондратюка, є «…випробуваним способом управління коштами бюджету, що здатний вирішувати проблеми їх економного та ефективного використання» </w:t>
      </w:r>
      <w:r w:rsidRPr="003D1BAE">
        <w:rPr>
          <w:rStyle w:val="fontstyle33"/>
          <w:rFonts w:ascii="Times New Roman" w:hAnsi="Times New Roman" w:cs="Times New Roman"/>
          <w:sz w:val="28"/>
          <w:szCs w:val="28"/>
          <w:lang w:val="ru-RU"/>
        </w:rPr>
        <w:t>[34</w:t>
      </w:r>
      <w:r w:rsidRPr="003D1BAE">
        <w:rPr>
          <w:rStyle w:val="fontstyle33"/>
          <w:rFonts w:ascii="Times New Roman" w:hAnsi="Times New Roman" w:cs="Times New Roman"/>
          <w:sz w:val="28"/>
          <w:szCs w:val="28"/>
        </w:rPr>
        <w:t>, с. 367</w:t>
      </w:r>
      <w:r w:rsidRPr="003D1BAE">
        <w:rPr>
          <w:rStyle w:val="fontstyle33"/>
          <w:rFonts w:ascii="Times New Roman" w:hAnsi="Times New Roman" w:cs="Times New Roman"/>
          <w:sz w:val="28"/>
          <w:szCs w:val="28"/>
          <w:lang w:val="ru-RU"/>
        </w:rPr>
        <w:t>]</w:t>
      </w:r>
      <w:r w:rsidRPr="003D1BAE">
        <w:rPr>
          <w:rStyle w:val="fontstyle33"/>
          <w:rFonts w:ascii="Times New Roman" w:hAnsi="Times New Roman" w:cs="Times New Roman"/>
          <w:sz w:val="28"/>
          <w:szCs w:val="28"/>
        </w:rPr>
        <w:t>.</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Ключовою перевагою конкурсної моделі відбору суб’єкта надання суспільних послуг в тому, що розпорядки бюджетних коштів у цьому випадку виступає у ролі замовника та має можливість сконцентрувати увагу на формулювання кількісних та якісних вимог до їхнього надання. Конкуруючи між собою за отримання замовлення, потенційні надавачі цих послуг пропонують найбільш прийнятні умови їхнього продукування та вартість. В угоді між замовником та підрядником закріплюються кількісні та якісні параметри об’єкта закупівлі – відповідної суспільної послуги, відповідальність за їх недотримання та інші умови. </w:t>
      </w:r>
    </w:p>
    <w:p w:rsidR="003D1BAE" w:rsidRPr="003D1BAE" w:rsidRDefault="003D1BAE" w:rsidP="003D1BAE">
      <w:pPr>
        <w:spacing w:after="0" w:line="360" w:lineRule="auto"/>
        <w:ind w:firstLine="709"/>
        <w:jc w:val="both"/>
        <w:rPr>
          <w:rStyle w:val="fontstyle33"/>
          <w:rFonts w:ascii="Times New Roman" w:hAnsi="Times New Roman" w:cs="Times New Roman"/>
          <w:sz w:val="28"/>
          <w:szCs w:val="28"/>
        </w:rPr>
      </w:pPr>
      <w:r w:rsidRPr="003D1BAE">
        <w:rPr>
          <w:rStyle w:val="fontstyle33"/>
          <w:rFonts w:ascii="Times New Roman" w:hAnsi="Times New Roman" w:cs="Times New Roman"/>
          <w:sz w:val="28"/>
          <w:szCs w:val="28"/>
        </w:rPr>
        <w:t xml:space="preserve">Як зазначає Ю. Загуменна, у зарубіжній практиці на аутсорсинг прийнято передавати різні види послуг, які умовно можуть бути розмежовані на три групи: по-перше, сервісні послуги, які не вимагають високого рівня кваліфікації виконавців та не пов’язані з основним профілем діяльності бюджетної установи чи органу влади (клінінгові послуги, охоронні послуги, організація харчування та ін.); по-друге, сервісні послуги, які вимагають високого рівня кваліфікації виконавців (ведення бухгалтерського обліку та звітності, обслуговування комп’ютерних мереж, юридичні послуги, послуги планування, рекрутингу та ін.); послуги, які відображають основні функціональні повноваження органу влади чи бюджетної установи </w:t>
      </w:r>
      <w:r w:rsidRPr="003D1BAE">
        <w:rPr>
          <w:rFonts w:ascii="Times New Roman" w:hAnsi="Times New Roman" w:cs="Times New Roman"/>
          <w:spacing w:val="-2"/>
          <w:sz w:val="28"/>
          <w:szCs w:val="28"/>
        </w:rPr>
        <w:t xml:space="preserve">[25, с. 81]. Відносини щодо передачі на </w:t>
      </w:r>
      <w:r w:rsidRPr="003D1BAE">
        <w:rPr>
          <w:rFonts w:ascii="Times New Roman" w:hAnsi="Times New Roman" w:cs="Times New Roman"/>
          <w:spacing w:val="-2"/>
          <w:sz w:val="28"/>
          <w:szCs w:val="28"/>
        </w:rPr>
        <w:lastRenderedPageBreak/>
        <w:t>аутсорсинг послуг, які пов’язані із основним профілем діяльності розпорядника бюджетних коштів у науковій літературі характеризують як функціональна приватизація. У зарубіжній практиці така форма аутсорсингу отримала широке розповсюдження у публічному секторі економіки Великобританії, Канади, Австралії, США в рамках утвердження інноваційної концепції «доброго урядування» (</w:t>
      </w:r>
      <w:r w:rsidRPr="003D1BAE">
        <w:rPr>
          <w:rFonts w:ascii="Times New Roman" w:hAnsi="Times New Roman" w:cs="Times New Roman"/>
          <w:spacing w:val="-2"/>
          <w:sz w:val="28"/>
          <w:szCs w:val="28"/>
          <w:lang w:val="en-US"/>
        </w:rPr>
        <w:t>New</w:t>
      </w:r>
      <w:r w:rsidRPr="003D1BAE">
        <w:rPr>
          <w:rFonts w:ascii="Times New Roman" w:hAnsi="Times New Roman" w:cs="Times New Roman"/>
          <w:spacing w:val="-2"/>
          <w:sz w:val="28"/>
          <w:szCs w:val="28"/>
        </w:rPr>
        <w:t xml:space="preserve"> </w:t>
      </w:r>
      <w:r w:rsidRPr="003D1BAE">
        <w:rPr>
          <w:rFonts w:ascii="Times New Roman" w:hAnsi="Times New Roman" w:cs="Times New Roman"/>
          <w:spacing w:val="-2"/>
          <w:sz w:val="28"/>
          <w:szCs w:val="28"/>
          <w:lang w:val="en-US"/>
        </w:rPr>
        <w:t>Public</w:t>
      </w:r>
      <w:r w:rsidRPr="003D1BAE">
        <w:rPr>
          <w:rFonts w:ascii="Times New Roman" w:hAnsi="Times New Roman" w:cs="Times New Roman"/>
          <w:spacing w:val="-2"/>
          <w:sz w:val="28"/>
          <w:szCs w:val="28"/>
        </w:rPr>
        <w:t xml:space="preserve"> </w:t>
      </w:r>
      <w:r w:rsidRPr="003D1BAE">
        <w:rPr>
          <w:rFonts w:ascii="Times New Roman" w:hAnsi="Times New Roman" w:cs="Times New Roman"/>
          <w:spacing w:val="-2"/>
          <w:sz w:val="28"/>
          <w:szCs w:val="28"/>
          <w:lang w:val="en-US"/>
        </w:rPr>
        <w:t>Management</w:t>
      </w:r>
      <w:r w:rsidRPr="003D1BAE">
        <w:rPr>
          <w:rFonts w:ascii="Times New Roman" w:hAnsi="Times New Roman" w:cs="Times New Roman"/>
          <w:spacing w:val="-2"/>
          <w:sz w:val="28"/>
          <w:szCs w:val="28"/>
        </w:rPr>
        <w:t xml:space="preserve">). Сферами застосування такої форми аутсорсингу є послуги освіти, медичного обслуговування, транспортні та соціальні послуги. В нашій країні технологія аутсорсингу отримала застосування при організації транспортних перевезень міським громадським транспортом та житлово-комунальних послуг (вивезення твердих побутових відходів, прибирання громадських просторів та ін.), однак у галузях соціальної сфери вона практично відсутня. </w:t>
      </w:r>
    </w:p>
    <w:p w:rsidR="003D1BAE" w:rsidRPr="003D1BAE" w:rsidRDefault="003D1BAE" w:rsidP="003D1BAE">
      <w:pPr>
        <w:spacing w:after="0" w:line="360" w:lineRule="auto"/>
        <w:ind w:firstLine="709"/>
        <w:jc w:val="both"/>
        <w:rPr>
          <w:rStyle w:val="fontstyle33"/>
          <w:rFonts w:ascii="Times New Roman" w:hAnsi="Times New Roman" w:cs="Times New Roman"/>
          <w:sz w:val="28"/>
          <w:szCs w:val="28"/>
        </w:rPr>
      </w:pPr>
      <w:r w:rsidRPr="003D1BAE">
        <w:rPr>
          <w:rStyle w:val="fontstyle33"/>
          <w:rFonts w:ascii="Times New Roman" w:hAnsi="Times New Roman" w:cs="Times New Roman"/>
          <w:sz w:val="28"/>
          <w:szCs w:val="28"/>
        </w:rPr>
        <w:t xml:space="preserve">Зважаючи на зростання затребуваності соціальних послуг, перспективи застосування технології аутсорсингу у цій сфері досить значні. Функціональна приватизація як форма аутсорсингу впроваджується при наданні соціальних послуг в рамках механізму соціального замовлення. У зарубіжній практиці використовують кілька інтерпретацій поняття «соціального замовлення»: як </w:t>
      </w:r>
      <w:r w:rsidRPr="003D1BAE">
        <w:rPr>
          <w:rFonts w:ascii="Times New Roman" w:hAnsi="Times New Roman" w:cs="Times New Roman"/>
          <w:sz w:val="28"/>
          <w:szCs w:val="28"/>
        </w:rPr>
        <w:t xml:space="preserve">«social contracting» (укладання угод між органами влади та постачальниками соціальних послуг, коли владна інституція як замовник не тільки фінансує їх надання приватними структурами, благодійними і громадськими організаціями, але й має право контролювати цей процес); «social order» (форма соціального замовлення, коли держава фінансово підтримує громадські організації та інші інститути громадянського суспільства, основний профіль діяльності яких пов’язаних із наданням соціальних послуг та іншими суспільно корисними функціями); «social commissioning» (взаємодія органу влади з безпосередніми споживачами соціальних послуг з метою аналізу потреби у цих послугах, визначення їх найбільш пріоритетних видів, контролю за формуванням ціни на ці послуги, а також результатів їхнього надання). Таким чином, формою аутсорсингу можна визначити лише «social contracting» (соціальний контракт), тоді як «social order» реалізується у фінансуванні статутної діяльності окремих </w:t>
      </w:r>
      <w:r w:rsidRPr="003D1BAE">
        <w:rPr>
          <w:rFonts w:ascii="Times New Roman" w:hAnsi="Times New Roman" w:cs="Times New Roman"/>
          <w:sz w:val="28"/>
          <w:szCs w:val="28"/>
        </w:rPr>
        <w:lastRenderedPageBreak/>
        <w:t xml:space="preserve">громадських організацій, а «social commissioning» являє собою аналітичну діяльність. </w:t>
      </w:r>
    </w:p>
    <w:p w:rsidR="003D1BAE" w:rsidRPr="003D1BAE" w:rsidRDefault="003D1BAE" w:rsidP="003D1BAE">
      <w:pPr>
        <w:spacing w:after="0" w:line="360" w:lineRule="auto"/>
        <w:ind w:firstLine="709"/>
        <w:jc w:val="both"/>
        <w:rPr>
          <w:rStyle w:val="fontstyle33"/>
          <w:rFonts w:ascii="Times New Roman" w:hAnsi="Times New Roman" w:cs="Times New Roman"/>
          <w:sz w:val="28"/>
          <w:szCs w:val="28"/>
        </w:rPr>
      </w:pPr>
      <w:r w:rsidRPr="003D1BAE">
        <w:rPr>
          <w:rStyle w:val="fontstyle33"/>
          <w:rFonts w:ascii="Times New Roman" w:hAnsi="Times New Roman" w:cs="Times New Roman"/>
          <w:sz w:val="28"/>
          <w:szCs w:val="28"/>
        </w:rPr>
        <w:t xml:space="preserve">Незважаючи на переваги аутсорсингу при наданні соціальних послуг, він практично не поширений в Україні. Причини цього у недоліках вітчизняного соціального законодавства, а також стереотипному ставленні органів влади до можливості замовлення послуг у приватних структур. Чинне законодавство суттєво обмежує коло суб’єктів соціального замовлення, обмежуючи його лише інституціями громадського суспільства (громадські організації). Натомість, у зарубіжній практиці брати участь у конкурсах на право надавати соціальні послуги за рахунок бюджетних коштів мають також комерційні структури, за умови виконання ними усіх вимог договору. Таким чином, в Україні приватні структури не мають можливості виступати безпосередніми виконавцями за угодами про надання соціальних послуг й змушені залучати до цього інститути громадянського суспільства, які виступають стороною соціального контракту. Це негативно впливає на вартість соціальних послуг та створює передумови для диктату громадськими організаціями умов співпраці. Вирішення цієї проблеми дасть можливість створити умови для забезпечення високої якості соціальних послуг за рахунок бюджетних коштів, але й активізувати процеси соціальної відповідальності бізнесу. </w:t>
      </w:r>
    </w:p>
    <w:p w:rsidR="003D1BAE" w:rsidRPr="003D1BAE" w:rsidRDefault="003D1BAE" w:rsidP="003D1BAE">
      <w:pPr>
        <w:spacing w:after="0" w:line="360" w:lineRule="auto"/>
        <w:ind w:firstLine="709"/>
        <w:jc w:val="both"/>
        <w:rPr>
          <w:rStyle w:val="fontstyle33"/>
          <w:rFonts w:ascii="Times New Roman" w:hAnsi="Times New Roman" w:cs="Times New Roman"/>
          <w:sz w:val="28"/>
          <w:szCs w:val="28"/>
        </w:rPr>
      </w:pPr>
    </w:p>
    <w:p w:rsidR="003D1BAE" w:rsidRPr="003D1BAE" w:rsidRDefault="003D1BAE" w:rsidP="003D1BAE">
      <w:pPr>
        <w:spacing w:after="0" w:line="360" w:lineRule="auto"/>
        <w:jc w:val="center"/>
        <w:rPr>
          <w:rFonts w:ascii="Times New Roman" w:hAnsi="Times New Roman" w:cs="Times New Roman"/>
          <w:b/>
          <w:sz w:val="28"/>
          <w:szCs w:val="28"/>
        </w:rPr>
      </w:pPr>
      <w:r w:rsidRPr="003D1BAE">
        <w:rPr>
          <w:rFonts w:ascii="Times New Roman" w:hAnsi="Times New Roman" w:cs="Times New Roman"/>
          <w:b/>
          <w:sz w:val="28"/>
          <w:szCs w:val="28"/>
        </w:rPr>
        <w:t>Висновки до розділу 3</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Узагальнення результатів дослідження перспектив підвищення ефективності бюджетної політики органів місцевої влади дало можливість зробити такі висновки:</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забезпечення стабільного розвитку територіальних громад потребує зміцнення фінансової основи діяльності органів місцевої влади. Важливо, щоб нарощування ресурсів місцевого самоврядування було досягнуте не за рахунок збільшення масштабів перерозподілу міжбюджетних трансфертів, а за рахунок активізації внутрішніх резервів. Можливості органів місцевої влади щодо проведення власної бюджетної політики у сфері доходів бюджету обмежені. У </w:t>
      </w:r>
      <w:r w:rsidRPr="003D1BAE">
        <w:rPr>
          <w:rFonts w:ascii="Times New Roman" w:hAnsi="Times New Roman" w:cs="Times New Roman"/>
          <w:sz w:val="28"/>
          <w:szCs w:val="28"/>
        </w:rPr>
        <w:lastRenderedPageBreak/>
        <w:t>питанні нарощування надходжень від ПДФО зусилля мають спрямовуватись на вдосконалення його адміністрування та контроль за сплатою. Стратегічні резерви збільшення надходжень ПДФО пов’язані із розвитком економіки та підвищенням рівня доходів населення, тактичні резерви – із протидією тіньовій зайнятості та заходами для сприяння детінізації економічних відносин;</w:t>
      </w:r>
    </w:p>
    <w:p w:rsidR="003D1BAE" w:rsidRPr="003D1BAE" w:rsidRDefault="003D1BAE" w:rsidP="003D1BAE">
      <w:pPr>
        <w:tabs>
          <w:tab w:val="left" w:pos="284"/>
        </w:tabs>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 резерви збільшення доходів бюджету від податку на майно пов’язані із забезпеченням належного обліку бази оподаткування, сприянням оформленню документації на право власності на нерухоме майно, а також інвентаризацією безхазяйного майна. Потребує вирішення проблема втрати доходів бюджету від зловживань </w:t>
      </w:r>
      <w:r w:rsidRPr="003D1BAE">
        <w:rPr>
          <w:rFonts w:ascii="Times New Roman" w:hAnsi="Times New Roman" w:cs="Times New Roman"/>
          <w:spacing w:val="-2"/>
          <w:sz w:val="28"/>
          <w:szCs w:val="28"/>
        </w:rPr>
        <w:t>у сфері паркування автотранспорту, для чого запропоновано перейти до безконтактних способів оплати паркування і протидіяти роботі нелегальних паркувальних майданчиків;</w:t>
      </w:r>
    </w:p>
    <w:p w:rsidR="003D1BAE" w:rsidRPr="003D1BAE" w:rsidRDefault="003D1BAE" w:rsidP="003D1BAE">
      <w:pPr>
        <w:tabs>
          <w:tab w:val="left" w:pos="284"/>
        </w:tabs>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 підвищення ефективності політики формування неподаткових доходів бюджету пов’язані з вдосконаленням практики розпорядження комунальним майном, що полягають у ліквідації тіньових схем приватизації комунальної власності та непрозорих процедур передачі його в оренду. Запропоновано у </w:t>
      </w:r>
      <w:r w:rsidRPr="003D1BAE">
        <w:rPr>
          <w:rFonts w:ascii="Times New Roman" w:hAnsi="Times New Roman" w:cs="Times New Roman"/>
          <w:spacing w:val="-2"/>
          <w:sz w:val="28"/>
          <w:szCs w:val="28"/>
        </w:rPr>
        <w:t>правовому порядку передбачити використання виключно конкурентних процедур передачі комунального майна в оренду шляхом проведення відкритих конкурсів, а також забезпечити високий рівень транспарентності інформації про їх проведення через веб-ресурси органу місцевого самоврядування. Відповідні норми запропоновано закріпити у Положенні про процедуру передачі об’єктів комунальної власності в оренду або їх продаж;</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 обґрунтовано, що </w:t>
      </w:r>
      <w:r w:rsidRPr="003D1BAE">
        <w:rPr>
          <w:rFonts w:ascii="Times New Roman" w:hAnsi="Times New Roman" w:cs="Times New Roman"/>
          <w:spacing w:val="-2"/>
          <w:sz w:val="28"/>
          <w:szCs w:val="28"/>
        </w:rPr>
        <w:t>вдосконалення бюджетної політики у сфері видатків бюджету, крім посилення участі громадськості у прийнятті управлінських рішень має також передбачати підвищення об’єктивності планування видатків, забезпечення їхньої узгодженості зі стратегічними пріоритетами розвитку територіальної громади, запровадження ринкових конкурентних підходів при наданні суспільних послуг за рахунок коштів місцевого бюджету тощо. у відповідності до цього, розроблено низку рекомендацій для реалізації цих ініціатив у практичній діяльності органів місцевої влади.</w:t>
      </w: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b/>
          <w:caps/>
          <w:sz w:val="28"/>
          <w:szCs w:val="28"/>
        </w:rPr>
        <w:lastRenderedPageBreak/>
        <w:t>Висновки</w:t>
      </w:r>
    </w:p>
    <w:p w:rsidR="003D1BAE" w:rsidRPr="003D1BAE" w:rsidRDefault="003D1BAE" w:rsidP="003D1BAE">
      <w:pPr>
        <w:spacing w:after="0" w:line="360" w:lineRule="auto"/>
        <w:jc w:val="both"/>
        <w:rPr>
          <w:rFonts w:ascii="Times New Roman" w:hAnsi="Times New Roman" w:cs="Times New Roman"/>
          <w:sz w:val="28"/>
          <w:szCs w:val="28"/>
          <w:lang w:val="ru-RU"/>
        </w:rPr>
      </w:pP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В </w:t>
      </w:r>
      <w:r w:rsidRPr="003D1BAE">
        <w:rPr>
          <w:rFonts w:ascii="Times New Roman" w:hAnsi="Times New Roman" w:cs="Times New Roman"/>
          <w:spacing w:val="-2"/>
          <w:sz w:val="28"/>
          <w:szCs w:val="28"/>
        </w:rPr>
        <w:t xml:space="preserve">умовах проведення демократичних реформ актуальність питання щодо проведення науково-обґрунтованої і стратегічно виваженої бюджетної політики на усіх рівнях публічного управління. У зв’язку із реформуванням системи місцевого самоврядування, розширення повноважень органів місцевої влади та фінансових ресурсів, які надходять у їхнє розпорядження виникає необхідність у ґрунтовному дослідженні теоретичних засад та практики розробки і реалізації ними бюджетної політики.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Теоретичні засади бюджетної політики є одним із найбільш досліджуваних напрямів наукових пошуків фінансового спрямування. Вона характеризується різноманітністю підходів до тлумачення сутності бюджетної політики, завдань та принципів її функціонування, підходів до класифікації й визначення структурних складових. Узагальнення цих наукових напрацювань дозволило сформулювати власне бачення бюджетної політики органів місцевої влади, виділити її суб’єктів, сформулювати завдання та напрями реалізації. Важливими умовами успішності розробки і реалізації бюджетної політики місцевих органів влади є забезпечення її послідовності, комплексного характеру, формування належного правового і організаційного забезпечення. В умовах децентралізації відбуваються зміни у складі суб’єктів бюджетної політики на місцевому рівні, адже спостерігається розширення повноважень місцевого самоврядування та звуження компетенції територіальних органів державної виконавчої влади, а розвиток інструментів участі збільшує значення бізнес-структур, інститутів громадянського суспільства та мешканців громад як суб’єктів бюджетної політики.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Бюджетну політику прийнято розмежовувати за різними класифікаційними ознаками: за характером дії, рівнями публічного управління, змістом діяльності. Відповідно до характеру дії у бюджетній політиці органів місцевої влади виокремлено бюджетну стратегію і бюджетну тактику, охарактеризовано їхній зміст. Застосовуючи змістовний критерій класифікації виокремлено бюджету політику формування доходів, бюджету політику у сфері видатків та політику </w:t>
      </w:r>
      <w:r w:rsidRPr="003D1BAE">
        <w:rPr>
          <w:rFonts w:ascii="Times New Roman" w:hAnsi="Times New Roman" w:cs="Times New Roman"/>
          <w:spacing w:val="-2"/>
          <w:sz w:val="28"/>
          <w:szCs w:val="28"/>
        </w:rPr>
        <w:lastRenderedPageBreak/>
        <w:t>міжбюджетних відносин (міжбюджетних трансфертів). Такий підхід покладено в основу розмежування напрямів оцінювання ефективності бюджетної політики. У науковому середовищі спостерігається розбіжність поглядів на зміст та методику оцінювання ефективності бюджетної політики. Їх узагальнення дало можливість як охарактеризувати окремі напрями оцінювання ефективності, так і визначити сукупність відповідних критеріїв та показників.</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Бюджетна політика формування доходів є вихідною складовою бюджетної політики органів місцевої влади та являє собою цілеспрямовану діяльність щодо визначення пріоритетів формування доходів бюджету, розробку відповідного нормативно-правового забезпечення, організацію виконання місцевого бюджету за доходами. Проведений аналіз ефективності бюджетної політики формування доходів місцевого бюджету на прикладі Чемеровецької територіальної громади дав змогу констатувати, що якість планування бюджетних показників поступово підвищується. Про це свідчить зменшення розбіжності між показниками плану надходжень при внесенні змін до рішення про місцевий бюджет та зменшення відхилень при його виконанні. На рівні селищного бюджету помітні відхилення фактичних і запланованих показників спостерігались щодо незначних за обсягом джерел доходів бюджету. Для підвищення фіскальної віддачі місцевих податків і зборів у 2021 році селищною радою було суттєво підвищено ставки земельного податку та податку на нерухоме майно для фізичних осіб, однак для реалізації соціально-спрямованої бюджетної політики визначено перелік платників, яким надано пільги зі сплати податку на нерухомість.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Оцінка динаміки та структури виконання селищного бюджету за доходами вказали, що значний вплив на них справляють тенденції економічного розвитку держави, а також новітні загрози суспільному розвитку. В умовах поширення епідемії коронавірусу зменшились обсяги міжбюджетних трансфертів місцевим бюджетам з державного бюджету, внаслідок чого загальні доходи селищного бюджету також зменшились. Зменшення також спостерігалось по надходженні місцевих податків та зборів, що пояснюється податковими новаціями у їх сплаті, спрямованими на підтримку малого і середнього бізнесу в умовах карантину. </w:t>
      </w:r>
      <w:r w:rsidRPr="003D1BAE">
        <w:rPr>
          <w:rFonts w:ascii="Times New Roman" w:hAnsi="Times New Roman" w:cs="Times New Roman"/>
          <w:spacing w:val="-2"/>
          <w:sz w:val="28"/>
          <w:szCs w:val="28"/>
        </w:rPr>
        <w:lastRenderedPageBreak/>
        <w:t>Негативна динаміка спостерігалась також по неподаткових надходженнях, що пояснюється скороченням обсягів надання адміністративних послуг, а також відкладенням на пізніше планів щодо продажу активів комунальної власності.</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О</w:t>
      </w:r>
      <w:r w:rsidRPr="003D1BAE">
        <w:rPr>
          <w:rFonts w:ascii="Times New Roman" w:hAnsi="Times New Roman" w:cs="Times New Roman"/>
          <w:spacing w:val="-2"/>
          <w:sz w:val="28"/>
          <w:szCs w:val="28"/>
          <w:lang w:eastAsia="uk-UA"/>
        </w:rPr>
        <w:t xml:space="preserve">цінюючи динаміку та структуру видатків бюджету у розрізі їх напрямів можна зробити висновок про пріоритети розвитку, ефективність використання бюджетних коштів та рівень організації бюджетної політики. Індикаторами ефективності бюджетної політики у сфері видатків бюджету є рівень розбіжності при порівнянні початкового та уточненого плану, а також показники загальної ефективності використання бюджетних коштів у відповідності із пріоритетами соціально-економічного розвитку, послідовності фінансування найважливіших суспільних послуг. Проведений аналіз планових показників селищного бюджету дав можливість вказати на достатньо високу якість планування видатків. Проте, зменшення доходів бюджету відповідно позначилось на видатках селищного бюджету, у якому зменшились майже усі складові, крім видатків на економічну діяльність. Така ситуація зумовлена звуженням інвестиційної складової видатків через скорочення обсягів залучених інвестиційний субвенцій та відкладення низки інвестиційних проектів на більш пізній період. Зростання видатків мало місце тільки щодо фінансування благоустрою, ремонтних робіт у комунальному господарстві, а також за програмою будівництва та ремонту автошляхів. </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3D1BAE">
        <w:rPr>
          <w:rFonts w:ascii="Times New Roman" w:hAnsi="Times New Roman" w:cs="Times New Roman"/>
          <w:sz w:val="28"/>
          <w:szCs w:val="28"/>
        </w:rPr>
        <w:t xml:space="preserve">Відповідно до можливості органу місцевої влади впливати на обсяги та напрями використання міжбюджетних трансфертів їх розмежовано на умовні та безумовні. Проведений аналіз політики міжбюджетних трансфертів засвідчив, що в умовах кризи державних фінансів обсяги залученої фінансової допомоги зменшились, однак таке зменшення стосувалось лише субвенцій інвестиційного призначення. У 2020 році спостерігалось зниження активності органу місцевої влади щодо залучення зовнішніх ресурсів для фінансування проектів розвитку і також зменшення обсягів медичної субвенції, зумовлене проведенням реформи фінансування охорони здоров’я. Скорочення обсягів трансфертів, переданих з селищного бюджету до інших бюджетів вказує на розширення відповідальності </w:t>
      </w:r>
      <w:r w:rsidRPr="003D1BAE">
        <w:rPr>
          <w:rFonts w:ascii="Times New Roman" w:hAnsi="Times New Roman" w:cs="Times New Roman"/>
          <w:sz w:val="28"/>
          <w:szCs w:val="28"/>
        </w:rPr>
        <w:lastRenderedPageBreak/>
        <w:t>органу місцевої влади за надання суспільних послуг та проведення самостійної бюджетної політики.</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Зважаючи на необхідність зміцнення фінансового потенціалу місцевого самоврядування, у роботі вироблено рекомендації щодо вдосконалення процесу формування доходів місцевих бюджетів. Оскільки можливості місцевої влади у проведенні самостійної бюджетної політики у сфері доходів обмежені, то дії у питанні нарощування надходжень від ПДФО зусилля мають спрямовуватись на вдосконалення його адміністрування та контроль за сплатою. Резерви зростання доходів бюджету від податку на майно пов’язані із забезпеченням належного обліку бази оподаткування, сприянням оформленню документації на право власності на нерухоме майно, а також інвентаризацією безхазяйного майна. Для зниження втрат бюджетних доходів від зловживань </w:t>
      </w:r>
      <w:r w:rsidRPr="003D1BAE">
        <w:rPr>
          <w:rFonts w:ascii="Times New Roman" w:hAnsi="Times New Roman" w:cs="Times New Roman"/>
          <w:spacing w:val="-2"/>
          <w:sz w:val="28"/>
          <w:szCs w:val="28"/>
        </w:rPr>
        <w:t xml:space="preserve">у сфері паркувальних послуг запропоновано перейти до безконтактних способів оплати паркування і протидіяти роботі нелегальних паркувальних майданчиків. Необхідно також вирішити питання ліквідації </w:t>
      </w:r>
      <w:r w:rsidRPr="003D1BAE">
        <w:rPr>
          <w:rFonts w:ascii="Times New Roman" w:hAnsi="Times New Roman" w:cs="Times New Roman"/>
          <w:sz w:val="28"/>
          <w:szCs w:val="28"/>
        </w:rPr>
        <w:t xml:space="preserve">тіньових схем приватизації комунальної власності та непрозорих процедур передачі його в оренду, для чого доцільно </w:t>
      </w:r>
      <w:r w:rsidRPr="003D1BAE">
        <w:rPr>
          <w:rFonts w:ascii="Times New Roman" w:hAnsi="Times New Roman" w:cs="Times New Roman"/>
          <w:spacing w:val="-2"/>
          <w:sz w:val="28"/>
          <w:szCs w:val="28"/>
        </w:rPr>
        <w:t>передбачити використання виключно конкурентних процедур передачі комунального майна в оренду шляхом проведення відкритих конкурсів, а також забезпечити високий рівень транспарентності інформації про їх проведення через веб-ресурси органу місцевого самоврядування.</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highlight w:val="yellow"/>
        </w:rPr>
      </w:pPr>
      <w:r w:rsidRPr="003D1BAE">
        <w:rPr>
          <w:rFonts w:ascii="Times New Roman" w:hAnsi="Times New Roman" w:cs="Times New Roman"/>
          <w:sz w:val="28"/>
          <w:szCs w:val="28"/>
        </w:rPr>
        <w:t>В</w:t>
      </w:r>
      <w:r w:rsidRPr="003D1BAE">
        <w:rPr>
          <w:rFonts w:ascii="Times New Roman" w:hAnsi="Times New Roman" w:cs="Times New Roman"/>
          <w:spacing w:val="-2"/>
          <w:sz w:val="28"/>
          <w:szCs w:val="28"/>
        </w:rPr>
        <w:t xml:space="preserve">досконалення бюджетної політики у сфері видатків бюджету, крім посилення участі громадськості у прийнятті управлінських рішень має також передбачати підвищення об’єктивності планування видатків, забезпечення їхньої узгодженості зі стратегічними пріоритетами розвитку територіальної громади, запровадження ринкових конкурентних підходів при наданні суспільних послуг за рахунок коштів місцевого бюджету тощо. </w:t>
      </w:r>
    </w:p>
    <w:p w:rsidR="003D1BAE" w:rsidRPr="003D1BAE" w:rsidRDefault="003D1BAE" w:rsidP="003D1BAE">
      <w:pPr>
        <w:spacing w:after="0" w:line="360" w:lineRule="auto"/>
        <w:ind w:firstLine="709"/>
        <w:jc w:val="both"/>
        <w:rPr>
          <w:rFonts w:ascii="Times New Roman" w:hAnsi="Times New Roman" w:cs="Times New Roman"/>
          <w:spacing w:val="-2"/>
          <w:sz w:val="28"/>
          <w:szCs w:val="28"/>
        </w:rPr>
      </w:pPr>
    </w:p>
    <w:p w:rsidR="003D1BAE" w:rsidRPr="003D1BAE" w:rsidRDefault="003D1BAE" w:rsidP="003D1BAE">
      <w:pPr>
        <w:spacing w:after="0" w:line="360" w:lineRule="auto"/>
        <w:jc w:val="center"/>
        <w:rPr>
          <w:rFonts w:ascii="Times New Roman" w:hAnsi="Times New Roman" w:cs="Times New Roman"/>
          <w:b/>
          <w:caps/>
          <w:sz w:val="28"/>
          <w:szCs w:val="28"/>
        </w:rPr>
      </w:pPr>
      <w:r w:rsidRPr="003D1BAE">
        <w:rPr>
          <w:rFonts w:ascii="Times New Roman" w:hAnsi="Times New Roman" w:cs="Times New Roman"/>
          <w:sz w:val="28"/>
          <w:szCs w:val="28"/>
          <w:highlight w:val="yellow"/>
        </w:rPr>
        <w:br w:type="column"/>
      </w:r>
      <w:r w:rsidRPr="003D1BAE">
        <w:rPr>
          <w:rFonts w:ascii="Times New Roman" w:hAnsi="Times New Roman" w:cs="Times New Roman"/>
          <w:b/>
          <w:caps/>
          <w:sz w:val="28"/>
          <w:szCs w:val="28"/>
        </w:rPr>
        <w:lastRenderedPageBreak/>
        <w:t>Список використаної літератури</w:t>
      </w:r>
    </w:p>
    <w:p w:rsidR="003D1BAE" w:rsidRPr="003D1BAE" w:rsidRDefault="003D1BAE" w:rsidP="003D1BAE">
      <w:pPr>
        <w:spacing w:after="0" w:line="360" w:lineRule="auto"/>
        <w:ind w:left="567" w:hanging="567"/>
        <w:rPr>
          <w:rFonts w:ascii="Times New Roman" w:hAnsi="Times New Roman" w:cs="Times New Roman"/>
          <w:sz w:val="28"/>
          <w:szCs w:val="28"/>
        </w:rPr>
      </w:pP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Адаменко І. П. Формування видатків бюджету в умовах інституційної модернізації економіки.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2018. № 5. С. 303-312.</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rPr>
        <w:t xml:space="preserve">Богач Ю. Г. До питання про економічну доцільність та ефективність оподаткування нерухомого майна. </w:t>
      </w:r>
      <w:r w:rsidRPr="003D1BAE">
        <w:rPr>
          <w:rFonts w:ascii="Times New Roman" w:hAnsi="Times New Roman" w:cs="Times New Roman"/>
          <w:i/>
          <w:sz w:val="28"/>
          <w:szCs w:val="28"/>
        </w:rPr>
        <w:t>Актуальні питання фінансової теорії та практики</w:t>
      </w:r>
      <w:r w:rsidRPr="003D1BAE">
        <w:rPr>
          <w:rFonts w:ascii="Times New Roman" w:hAnsi="Times New Roman" w:cs="Times New Roman"/>
          <w:sz w:val="28"/>
          <w:szCs w:val="28"/>
        </w:rPr>
        <w:t>: збірн. матер. Восьмої заоч.-дистанц. конф. студ. і мол. вч., м. Тернопіль, 20 травня 2021 р. Тернопіль: ЗУНУ, 2021. С. 10-13.</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Богач Ю. Г. Пріоритети вдосконалення бюджетної політики формування доходів місцевих бюджетів.</w:t>
      </w:r>
      <w:r w:rsidRPr="003D1BAE">
        <w:rPr>
          <w:rFonts w:ascii="Times New Roman" w:hAnsi="Times New Roman" w:cs="Times New Roman"/>
          <w:i/>
          <w:iCs/>
          <w:color w:val="222222"/>
          <w:sz w:val="28"/>
          <w:szCs w:val="28"/>
        </w:rPr>
        <w:t xml:space="preserve"> Фінансове забезпечення сталого розвитку</w:t>
      </w:r>
      <w:r w:rsidRPr="003D1BAE">
        <w:rPr>
          <w:rFonts w:ascii="Times New Roman" w:hAnsi="Times New Roman" w:cs="Times New Roman"/>
          <w:color w:val="000000"/>
          <w:sz w:val="28"/>
          <w:szCs w:val="28"/>
        </w:rPr>
        <w:t xml:space="preserve">: збірн. </w:t>
      </w:r>
      <w:r w:rsidRPr="003D1BAE">
        <w:rPr>
          <w:rFonts w:ascii="Times New Roman" w:hAnsi="Times New Roman" w:cs="Times New Roman"/>
          <w:color w:val="222222"/>
          <w:sz w:val="28"/>
          <w:szCs w:val="28"/>
        </w:rPr>
        <w:t xml:space="preserve">наук. праць кафедри фінансів ім. С. І. Юрія Західноукраїнського національного університету. Вип. 1. </w:t>
      </w:r>
      <w:r w:rsidRPr="003D1BAE">
        <w:rPr>
          <w:rFonts w:ascii="Times New Roman" w:hAnsi="Times New Roman" w:cs="Times New Roman"/>
          <w:color w:val="000000"/>
          <w:sz w:val="28"/>
          <w:szCs w:val="28"/>
        </w:rPr>
        <w:t>Тернопіль: ЗУНУ, 2021.</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Борисов А.</w:t>
      </w:r>
      <w:r w:rsidRPr="003D1BAE">
        <w:rPr>
          <w:rFonts w:ascii="Times New Roman" w:hAnsi="Times New Roman" w:cs="Times New Roman"/>
          <w:sz w:val="28"/>
          <w:szCs w:val="28"/>
          <w:lang w:val="en-US"/>
        </w:rPr>
        <w:t> </w:t>
      </w:r>
      <w:r w:rsidRPr="003D1BAE">
        <w:rPr>
          <w:rFonts w:ascii="Times New Roman" w:hAnsi="Times New Roman" w:cs="Times New Roman"/>
          <w:sz w:val="28"/>
          <w:szCs w:val="28"/>
        </w:rPr>
        <w:t>Б. Большой Экономический словарь. М.: Книжный мир, 2001. 895 с.</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spacing w:val="0"/>
          <w:sz w:val="28"/>
          <w:szCs w:val="28"/>
        </w:rPr>
      </w:pPr>
      <w:r w:rsidRPr="003D1BAE">
        <w:rPr>
          <w:color w:val="000000"/>
          <w:spacing w:val="0"/>
          <w:sz w:val="28"/>
          <w:szCs w:val="28"/>
          <w:lang w:eastAsia="uk-UA" w:bidi="uk-UA"/>
        </w:rPr>
        <w:t>Бюджетна політика у контексті стратегії соціально-економічного розвитку України: У 6</w:t>
      </w:r>
      <w:r w:rsidRPr="003D1BAE">
        <w:rPr>
          <w:color w:val="000000"/>
          <w:spacing w:val="0"/>
          <w:sz w:val="28"/>
          <w:szCs w:val="28"/>
          <w:lang w:val="en-US" w:eastAsia="uk-UA" w:bidi="uk-UA"/>
        </w:rPr>
        <w:t> </w:t>
      </w:r>
      <w:r w:rsidRPr="003D1BAE">
        <w:rPr>
          <w:color w:val="000000"/>
          <w:spacing w:val="0"/>
          <w:sz w:val="28"/>
          <w:szCs w:val="28"/>
          <w:lang w:eastAsia="uk-UA" w:bidi="uk-UA"/>
        </w:rPr>
        <w:t xml:space="preserve">т. Т 1: Пріоритети бюджетної політики та економічне зростання в Україні / Ярошенко Ф., Геєць В. (кер. </w:t>
      </w:r>
      <w:r w:rsidRPr="003D1BAE">
        <w:rPr>
          <w:color w:val="000000"/>
          <w:spacing w:val="0"/>
          <w:sz w:val="28"/>
          <w:szCs w:val="28"/>
          <w:lang w:eastAsia="ru-RU" w:bidi="ru-RU"/>
        </w:rPr>
        <w:t xml:space="preserve">авт. </w:t>
      </w:r>
      <w:r w:rsidRPr="003D1BAE">
        <w:rPr>
          <w:color w:val="000000"/>
          <w:spacing w:val="0"/>
          <w:sz w:val="28"/>
          <w:szCs w:val="28"/>
          <w:lang w:eastAsia="uk-UA" w:bidi="uk-UA"/>
        </w:rPr>
        <w:t>кол.) та ін.; за ред. М. Азарова та ін. К</w:t>
      </w:r>
      <w:r w:rsidRPr="003D1BAE">
        <w:rPr>
          <w:color w:val="000000"/>
          <w:spacing w:val="0"/>
          <w:sz w:val="28"/>
          <w:szCs w:val="28"/>
          <w:lang w:eastAsia="de-DE" w:bidi="de-DE"/>
        </w:rPr>
        <w:t>.: Н</w:t>
      </w:r>
      <w:r w:rsidRPr="003D1BAE">
        <w:rPr>
          <w:color w:val="000000"/>
          <w:spacing w:val="0"/>
          <w:sz w:val="28"/>
          <w:szCs w:val="28"/>
          <w:lang w:eastAsia="uk-UA" w:bidi="uk-UA"/>
        </w:rPr>
        <w:t>ДФІ, 2004. 640 с.</w:t>
      </w:r>
    </w:p>
    <w:p w:rsidR="003D1BAE" w:rsidRPr="003D1BAE" w:rsidRDefault="003D1BAE" w:rsidP="003D1BAE">
      <w:pPr>
        <w:pStyle w:val="a3"/>
        <w:numPr>
          <w:ilvl w:val="0"/>
          <w:numId w:val="1"/>
        </w:numPr>
        <w:tabs>
          <w:tab w:val="left" w:pos="708"/>
        </w:tabs>
        <w:spacing w:after="0" w:line="360" w:lineRule="auto"/>
        <w:ind w:left="567" w:hanging="567"/>
        <w:jc w:val="both"/>
        <w:rPr>
          <w:rFonts w:ascii="Times New Roman" w:hAnsi="Times New Roman" w:cs="Times New Roman"/>
          <w:sz w:val="28"/>
          <w:szCs w:val="28"/>
        </w:rPr>
      </w:pPr>
      <w:r w:rsidRPr="003D1BAE">
        <w:rPr>
          <w:rStyle w:val="rvts0"/>
          <w:rFonts w:ascii="Times New Roman" w:hAnsi="Times New Roman" w:cs="Times New Roman"/>
          <w:sz w:val="28"/>
          <w:szCs w:val="28"/>
        </w:rPr>
        <w:t>Бюджетний кодекс: Закон України від 08.07.2010 р. № 2456-</w:t>
      </w:r>
      <w:r w:rsidRPr="003D1BAE">
        <w:rPr>
          <w:rStyle w:val="rvts0"/>
          <w:rFonts w:ascii="Times New Roman" w:hAnsi="Times New Roman" w:cs="Times New Roman"/>
          <w:sz w:val="28"/>
          <w:szCs w:val="28"/>
          <w:lang w:val="en-US"/>
        </w:rPr>
        <w:t>VI</w:t>
      </w:r>
      <w:r w:rsidRPr="003D1BAE">
        <w:rPr>
          <w:rStyle w:val="rvts0"/>
          <w:rFonts w:ascii="Times New Roman" w:hAnsi="Times New Roman" w:cs="Times New Roman"/>
          <w:sz w:val="28"/>
          <w:szCs w:val="28"/>
          <w:lang w:val="ru-RU"/>
        </w:rPr>
        <w:t xml:space="preserve">. </w:t>
      </w:r>
      <w:r w:rsidRPr="003D1BAE">
        <w:rPr>
          <w:rStyle w:val="rvts0"/>
          <w:rFonts w:ascii="Times New Roman" w:hAnsi="Times New Roman" w:cs="Times New Roman"/>
          <w:sz w:val="28"/>
          <w:szCs w:val="28"/>
          <w:lang w:val="pl-PL"/>
        </w:rPr>
        <w:t>URL</w:t>
      </w:r>
      <w:r w:rsidRPr="003D1BAE">
        <w:rPr>
          <w:rStyle w:val="rvts0"/>
          <w:rFonts w:ascii="Times New Roman" w:hAnsi="Times New Roman" w:cs="Times New Roman"/>
          <w:sz w:val="28"/>
          <w:szCs w:val="28"/>
        </w:rPr>
        <w:t>: http://zakon.rada.gov.ua/laws/show/2456-17</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Валуйський І. А. Шляхи удосконалення сучасної бюджетної політики України. </w:t>
      </w:r>
      <w:r w:rsidRPr="003D1BAE">
        <w:rPr>
          <w:rFonts w:ascii="Times New Roman" w:hAnsi="Times New Roman" w:cs="Times New Roman"/>
          <w:i/>
          <w:sz w:val="28"/>
          <w:szCs w:val="28"/>
          <w:lang w:eastAsia="uk-UA"/>
        </w:rPr>
        <w:t>Збірник наукових праць Таврійського державного агротехнологічного університету</w:t>
      </w:r>
      <w:r w:rsidRPr="003D1BAE">
        <w:rPr>
          <w:rFonts w:ascii="Times New Roman" w:hAnsi="Times New Roman" w:cs="Times New Roman"/>
          <w:sz w:val="28"/>
          <w:szCs w:val="28"/>
          <w:lang w:eastAsia="uk-UA"/>
        </w:rPr>
        <w:t xml:space="preserve"> (економічні науки). 2018. № 1. С. 133-139. URL: http://nbuv.gov.ua/UJRN/znptdau_2018_1_20</w:t>
      </w:r>
    </w:p>
    <w:p w:rsidR="003D1BAE" w:rsidRPr="003D1BAE" w:rsidRDefault="003D1BAE" w:rsidP="003D1BAE">
      <w:pPr>
        <w:pStyle w:val="af"/>
        <w:numPr>
          <w:ilvl w:val="0"/>
          <w:numId w:val="1"/>
        </w:numPr>
        <w:spacing w:line="360" w:lineRule="auto"/>
        <w:ind w:left="567" w:hanging="567"/>
        <w:jc w:val="both"/>
        <w:rPr>
          <w:rFonts w:ascii="Times New Roman" w:hAnsi="Times New Roman"/>
          <w:sz w:val="28"/>
          <w:szCs w:val="28"/>
        </w:rPr>
      </w:pPr>
      <w:r w:rsidRPr="003D1BAE">
        <w:rPr>
          <w:rFonts w:ascii="Times New Roman" w:hAnsi="Times New Roman"/>
          <w:sz w:val="28"/>
          <w:szCs w:val="28"/>
        </w:rPr>
        <w:t>Василик О. Д., Павлюк К. В. Бюджетна система України: Підручник. К.: Центр навчальної літератури, 2004. 544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Васильєва Т. А. Транспарентність бюджетної політики України, сучасні проблеми. </w:t>
      </w:r>
      <w:r w:rsidRPr="003D1BAE">
        <w:rPr>
          <w:rFonts w:ascii="Times New Roman" w:hAnsi="Times New Roman" w:cs="Times New Roman"/>
          <w:i/>
          <w:sz w:val="28"/>
          <w:szCs w:val="28"/>
          <w:lang w:eastAsia="uk-UA"/>
        </w:rPr>
        <w:t>Фінансові дослідження</w:t>
      </w:r>
      <w:r w:rsidRPr="003D1BAE">
        <w:rPr>
          <w:rFonts w:ascii="Times New Roman" w:hAnsi="Times New Roman" w:cs="Times New Roman"/>
          <w:sz w:val="28"/>
          <w:szCs w:val="28"/>
          <w:lang w:eastAsia="uk-UA"/>
        </w:rPr>
        <w:t>. 2018. № 1. URL: http://nbuv.gov.ua/UJRN/find_2018_1_6</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lastRenderedPageBreak/>
        <w:t xml:space="preserve">Вінницька О. А. Суть та фундаментальні напрями розвитку бюджетної політики на локальному рівні. </w:t>
      </w:r>
      <w:r w:rsidRPr="003D1BAE">
        <w:rPr>
          <w:rFonts w:ascii="Times New Roman" w:hAnsi="Times New Roman" w:cs="Times New Roman"/>
          <w:i/>
          <w:sz w:val="28"/>
          <w:szCs w:val="28"/>
          <w:lang w:eastAsia="uk-UA"/>
        </w:rPr>
        <w:t>Економіка. Фінанси. Право</w:t>
      </w:r>
      <w:r w:rsidRPr="003D1BAE">
        <w:rPr>
          <w:rFonts w:ascii="Times New Roman" w:hAnsi="Times New Roman" w:cs="Times New Roman"/>
          <w:sz w:val="28"/>
          <w:szCs w:val="28"/>
          <w:lang w:eastAsia="uk-UA"/>
        </w:rPr>
        <w:t>. 2018. № 3. С. 38-41. URL: http://nbuv.gov.ua/UJRN/ecfipr_2018_3_10</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Возняк Г. В. Бюджетна політика регіонів України у фокусі реформи фінансової децентралізації: концептуалізація та напрями вдосконалення.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2019. № 1. С. 170-177. URL: http://nbuv.gov.ua/UJRN/binf_2019_1_25</w:t>
      </w:r>
    </w:p>
    <w:p w:rsidR="003D1BAE" w:rsidRPr="003D1BAE" w:rsidRDefault="003D1BAE" w:rsidP="003D1BAE">
      <w:pPr>
        <w:pStyle w:val="a7"/>
        <w:numPr>
          <w:ilvl w:val="0"/>
          <w:numId w:val="1"/>
        </w:numPr>
        <w:tabs>
          <w:tab w:val="left" w:pos="1134"/>
        </w:tabs>
        <w:spacing w:line="360" w:lineRule="auto"/>
        <w:ind w:left="567" w:hanging="567"/>
        <w:jc w:val="both"/>
        <w:rPr>
          <w:rFonts w:ascii="Times New Roman" w:hAnsi="Times New Roman"/>
          <w:sz w:val="28"/>
          <w:szCs w:val="28"/>
        </w:rPr>
      </w:pPr>
      <w:r w:rsidRPr="003D1BAE">
        <w:rPr>
          <w:rFonts w:ascii="Times New Roman" w:hAnsi="Times New Roman"/>
          <w:sz w:val="28"/>
          <w:szCs w:val="28"/>
        </w:rPr>
        <w:t xml:space="preserve">Габдрахімов Д. </w:t>
      </w:r>
      <w:r w:rsidRPr="003D1BAE">
        <w:rPr>
          <w:rFonts w:ascii="Times New Roman" w:hAnsi="Times New Roman"/>
          <w:bCs/>
          <w:kern w:val="36"/>
          <w:sz w:val="28"/>
          <w:szCs w:val="28"/>
          <w:lang w:eastAsia="uk-UA"/>
        </w:rPr>
        <w:t xml:space="preserve">Парламенту пропонують штрафувати нелегальних гранітників. УНН. </w:t>
      </w:r>
      <w:r w:rsidRPr="003D1BAE">
        <w:rPr>
          <w:rFonts w:ascii="Times New Roman" w:hAnsi="Times New Roman"/>
          <w:bCs/>
          <w:kern w:val="36"/>
          <w:sz w:val="28"/>
          <w:szCs w:val="28"/>
          <w:lang w:val="pl-PL" w:eastAsia="uk-UA"/>
        </w:rPr>
        <w:t>URL</w:t>
      </w:r>
      <w:r w:rsidRPr="003D1BAE">
        <w:rPr>
          <w:rFonts w:ascii="Times New Roman" w:hAnsi="Times New Roman"/>
          <w:bCs/>
          <w:kern w:val="36"/>
          <w:sz w:val="28"/>
          <w:szCs w:val="28"/>
          <w:lang w:eastAsia="uk-UA"/>
        </w:rPr>
        <w:t xml:space="preserve">: </w:t>
      </w:r>
      <w:r w:rsidRPr="003D1BAE">
        <w:rPr>
          <w:rFonts w:ascii="Times New Roman" w:hAnsi="Times New Roman"/>
          <w:sz w:val="28"/>
          <w:szCs w:val="28"/>
        </w:rPr>
        <w:t>https://www.unn.com.ua/uk/news/688297-parlamentu-proponuyut-shtrafuvati-nelegalnih-grafitnikiv</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Гарбар Ж. В. Бюджетна політика як інструмент соціально-економічного розвитку країни. </w:t>
      </w:r>
      <w:r w:rsidRPr="003D1BAE">
        <w:rPr>
          <w:rFonts w:ascii="Times New Roman" w:hAnsi="Times New Roman" w:cs="Times New Roman"/>
          <w:i/>
          <w:sz w:val="28"/>
          <w:szCs w:val="28"/>
          <w:lang w:eastAsia="uk-UA"/>
        </w:rPr>
        <w:t>Економіка. Фінанси. Менеджмент: актуальні питання науки і практики</w:t>
      </w:r>
      <w:r w:rsidRPr="003D1BAE">
        <w:rPr>
          <w:rFonts w:ascii="Times New Roman" w:hAnsi="Times New Roman" w:cs="Times New Roman"/>
          <w:sz w:val="28"/>
          <w:szCs w:val="28"/>
          <w:lang w:eastAsia="uk-UA"/>
        </w:rPr>
        <w:t>. 2019. № 1. С. 96-111. URL: http://nbuv.gov.ua/UJRN/efmapnp_2019_1_10</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Гузар Б. С. Сучасний стан та напрями удосконалення бюджетного менеджменту в Україні. </w:t>
      </w:r>
      <w:r w:rsidRPr="003D1BAE">
        <w:rPr>
          <w:rFonts w:ascii="Times New Roman" w:hAnsi="Times New Roman" w:cs="Times New Roman"/>
          <w:i/>
          <w:sz w:val="28"/>
          <w:szCs w:val="28"/>
        </w:rPr>
        <w:t>Ефективна економіка</w:t>
      </w:r>
      <w:r w:rsidRPr="003D1BAE">
        <w:rPr>
          <w:rFonts w:ascii="Times New Roman" w:hAnsi="Times New Roman" w:cs="Times New Roman"/>
          <w:sz w:val="28"/>
          <w:szCs w:val="28"/>
        </w:rPr>
        <w:t>. 2021. № 7. URL: http://www.economy.nayka.com.ua</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spacing w:val="-2"/>
          <w:sz w:val="28"/>
          <w:szCs w:val="28"/>
        </w:rPr>
      </w:pPr>
      <w:r w:rsidRPr="003D1BAE">
        <w:rPr>
          <w:rFonts w:ascii="Times New Roman" w:hAnsi="Times New Roman" w:cs="Times New Roman"/>
          <w:sz w:val="28"/>
          <w:szCs w:val="28"/>
        </w:rPr>
        <w:t xml:space="preserve">Гуржій О. В. Механізми формування та удосконалення місцевих бюджетів в умовах становлення громадянського суспільства. </w:t>
      </w:r>
      <w:r w:rsidRPr="003D1BAE">
        <w:rPr>
          <w:rFonts w:ascii="Times New Roman" w:hAnsi="Times New Roman" w:cs="Times New Roman"/>
          <w:i/>
          <w:sz w:val="28"/>
          <w:szCs w:val="28"/>
        </w:rPr>
        <w:t>Публічне управління та митне адміністрування</w:t>
      </w:r>
      <w:r w:rsidRPr="003D1BAE">
        <w:rPr>
          <w:rFonts w:ascii="Times New Roman" w:hAnsi="Times New Roman" w:cs="Times New Roman"/>
          <w:sz w:val="28"/>
          <w:szCs w:val="28"/>
        </w:rPr>
        <w:t>. 2021. № 1 (28). С. 73-86.</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Гусаревич Н. В., Адаменко І. П. Особливості формування дохідної частини державного бюджету у країнах ЄС з розвинутою економікою. </w:t>
      </w:r>
      <w:r w:rsidRPr="003D1BAE">
        <w:rPr>
          <w:rFonts w:ascii="Times New Roman" w:hAnsi="Times New Roman" w:cs="Times New Roman"/>
          <w:i/>
          <w:sz w:val="28"/>
          <w:szCs w:val="28"/>
          <w:lang w:eastAsia="uk-UA"/>
        </w:rPr>
        <w:t>Інвестиції: практика та досвід.</w:t>
      </w:r>
      <w:r w:rsidRPr="003D1BAE">
        <w:rPr>
          <w:rFonts w:ascii="Times New Roman" w:hAnsi="Times New Roman" w:cs="Times New Roman"/>
          <w:sz w:val="28"/>
          <w:szCs w:val="28"/>
          <w:lang w:eastAsia="uk-UA"/>
        </w:rPr>
        <w:t xml:space="preserve"> 2018. № 12. С. 11-15. </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Давиденко Н. М. Середньострокове планування у поліпшенні бюджетної політики в Україні. </w:t>
      </w:r>
      <w:r w:rsidRPr="003D1BAE">
        <w:rPr>
          <w:rFonts w:ascii="Times New Roman" w:hAnsi="Times New Roman" w:cs="Times New Roman"/>
          <w:i/>
          <w:sz w:val="28"/>
          <w:szCs w:val="28"/>
          <w:lang w:eastAsia="uk-UA"/>
        </w:rPr>
        <w:t>Науковий вісник Міжнародного гуманітарного університету</w:t>
      </w:r>
      <w:r w:rsidRPr="003D1BAE">
        <w:rPr>
          <w:rFonts w:ascii="Times New Roman" w:hAnsi="Times New Roman" w:cs="Times New Roman"/>
          <w:sz w:val="28"/>
          <w:szCs w:val="28"/>
          <w:lang w:eastAsia="uk-UA"/>
        </w:rPr>
        <w:t>. Серія: Економіка і менеджмент. 2019. Вип. 38. С. 54-59. URL: http://nbuv.gov.ua/UJRN/Nvmgu_eim_2019_38_8</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Далєвська Т. А. Оптимізація бюджетної політики та її орієнтири. </w:t>
      </w:r>
      <w:r w:rsidRPr="003D1BAE">
        <w:rPr>
          <w:rFonts w:ascii="Times New Roman" w:hAnsi="Times New Roman" w:cs="Times New Roman"/>
          <w:i/>
          <w:sz w:val="28"/>
          <w:szCs w:val="28"/>
          <w:lang w:eastAsia="uk-UA"/>
        </w:rPr>
        <w:t xml:space="preserve">Вісник Хмельницького національного університету. </w:t>
      </w:r>
      <w:r w:rsidRPr="003D1BAE">
        <w:rPr>
          <w:rFonts w:ascii="Times New Roman" w:hAnsi="Times New Roman" w:cs="Times New Roman"/>
          <w:sz w:val="28"/>
          <w:szCs w:val="28"/>
          <w:lang w:eastAsia="uk-UA"/>
        </w:rPr>
        <w:t>Економічні науки. 2016. № 6. С. 265-270. URL: http://nbuv.gov.ua/UJRN/Vchnu_ekon_2016_6_53</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color w:val="000000"/>
          <w:spacing w:val="0"/>
          <w:sz w:val="28"/>
          <w:szCs w:val="28"/>
          <w:lang w:eastAsia="uk-UA" w:bidi="uk-UA"/>
        </w:rPr>
      </w:pPr>
      <w:r w:rsidRPr="003D1BAE">
        <w:rPr>
          <w:color w:val="000000"/>
          <w:spacing w:val="0"/>
          <w:sz w:val="28"/>
          <w:szCs w:val="28"/>
          <w:lang w:eastAsia="uk-UA" w:bidi="uk-UA"/>
        </w:rPr>
        <w:lastRenderedPageBreak/>
        <w:t xml:space="preserve">Дем’янишин В. Г. Ефективність бюджетної політики та шляхи її підвищення в сучасних умовах. </w:t>
      </w:r>
      <w:r w:rsidRPr="003D1BAE">
        <w:rPr>
          <w:i/>
          <w:color w:val="000000"/>
          <w:spacing w:val="0"/>
          <w:sz w:val="28"/>
          <w:szCs w:val="28"/>
          <w:lang w:eastAsia="uk-UA" w:bidi="uk-UA"/>
        </w:rPr>
        <w:t>Фінансова система України:</w:t>
      </w:r>
      <w:r w:rsidRPr="003D1BAE">
        <w:rPr>
          <w:color w:val="000000"/>
          <w:spacing w:val="0"/>
          <w:sz w:val="28"/>
          <w:szCs w:val="28"/>
          <w:lang w:eastAsia="uk-UA" w:bidi="uk-UA"/>
        </w:rPr>
        <w:t xml:space="preserve"> збірник наукових праць / відп. ред. І. Пасічник. Острог: В-во НУ «Острозька академія», 2007. Вип. 9. Ч. 1. С. 72-83.</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Дем’янишин В. Г. Теоретичні засади бюджетної політики. </w:t>
      </w:r>
      <w:r w:rsidRPr="003D1BAE">
        <w:rPr>
          <w:rFonts w:ascii="Times New Roman" w:hAnsi="Times New Roman" w:cs="Times New Roman"/>
          <w:i/>
          <w:sz w:val="28"/>
          <w:szCs w:val="28"/>
        </w:rPr>
        <w:t>Світ фінансів</w:t>
      </w:r>
      <w:r w:rsidRPr="003D1BAE">
        <w:rPr>
          <w:rFonts w:ascii="Times New Roman" w:hAnsi="Times New Roman" w:cs="Times New Roman"/>
          <w:sz w:val="28"/>
          <w:szCs w:val="28"/>
        </w:rPr>
        <w:t>. 2007. Вип. 1 (10). С. 19-34.</w:t>
      </w:r>
    </w:p>
    <w:p w:rsidR="003D1BAE" w:rsidRPr="003D1BAE" w:rsidRDefault="003D1BAE" w:rsidP="003D1BAE">
      <w:pPr>
        <w:pStyle w:val="af"/>
        <w:numPr>
          <w:ilvl w:val="0"/>
          <w:numId w:val="1"/>
        </w:numPr>
        <w:spacing w:line="360" w:lineRule="auto"/>
        <w:ind w:left="567" w:hanging="567"/>
        <w:jc w:val="both"/>
        <w:rPr>
          <w:rFonts w:ascii="Times New Roman" w:hAnsi="Times New Roman"/>
          <w:sz w:val="28"/>
          <w:szCs w:val="28"/>
        </w:rPr>
      </w:pPr>
      <w:r w:rsidRPr="003D1BAE">
        <w:rPr>
          <w:rFonts w:ascii="Times New Roman" w:hAnsi="Times New Roman"/>
          <w:sz w:val="28"/>
          <w:szCs w:val="28"/>
        </w:rPr>
        <w:t>Державна фінансова політика та прогнозування доходів бюджету / Азаров М., Ярошенко Ф., Єфименко Т. та ін. К.: НДФІ, 2004. 712 с.</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color w:val="000000"/>
          <w:spacing w:val="0"/>
          <w:sz w:val="28"/>
          <w:szCs w:val="28"/>
          <w:lang w:eastAsia="uk-UA" w:bidi="uk-UA"/>
        </w:rPr>
      </w:pPr>
      <w:r w:rsidRPr="003D1BAE">
        <w:rPr>
          <w:color w:val="000000"/>
          <w:spacing w:val="0"/>
          <w:sz w:val="28"/>
          <w:szCs w:val="28"/>
          <w:lang w:eastAsia="uk-UA" w:bidi="uk-UA"/>
        </w:rPr>
        <w:t xml:space="preserve">Економічна енциклопедія: У трьох томах. </w:t>
      </w:r>
      <w:r w:rsidRPr="003D1BAE">
        <w:rPr>
          <w:color w:val="000000"/>
          <w:spacing w:val="0"/>
          <w:sz w:val="28"/>
          <w:szCs w:val="28"/>
          <w:lang w:eastAsia="ru-RU" w:bidi="ru-RU"/>
        </w:rPr>
        <w:t>Т. </w:t>
      </w:r>
      <w:r w:rsidRPr="003D1BAE">
        <w:rPr>
          <w:color w:val="000000"/>
          <w:spacing w:val="0"/>
          <w:sz w:val="28"/>
          <w:szCs w:val="28"/>
          <w:lang w:eastAsia="uk-UA" w:bidi="uk-UA"/>
        </w:rPr>
        <w:t>1 / Редкол.: С. В. Мочерний (відп. ред.) та ін. К.</w:t>
      </w:r>
      <w:r w:rsidRPr="003D1BAE">
        <w:rPr>
          <w:color w:val="000000"/>
          <w:spacing w:val="0"/>
          <w:sz w:val="28"/>
          <w:szCs w:val="28"/>
          <w:lang w:eastAsia="de-DE" w:bidi="de-DE"/>
        </w:rPr>
        <w:t xml:space="preserve">: </w:t>
      </w:r>
      <w:r w:rsidRPr="003D1BAE">
        <w:rPr>
          <w:color w:val="000000"/>
          <w:spacing w:val="0"/>
          <w:sz w:val="28"/>
          <w:szCs w:val="28"/>
          <w:lang w:eastAsia="uk-UA" w:bidi="uk-UA"/>
        </w:rPr>
        <w:t>Видавничий центр «Академія», 2000. 864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Економічна енциклопедія: у трьох томах. Т. 2 / Редкол.: С. В. Мочерний (відп. ред.) та ін. К.: Видавничий центр «Академія», 2001. 848 с.</w:t>
      </w:r>
    </w:p>
    <w:p w:rsidR="003D1BAE" w:rsidRPr="003D1BAE" w:rsidRDefault="003D1BAE" w:rsidP="003D1BAE">
      <w:pPr>
        <w:pStyle w:val="af"/>
        <w:numPr>
          <w:ilvl w:val="0"/>
          <w:numId w:val="1"/>
        </w:numPr>
        <w:spacing w:line="360" w:lineRule="auto"/>
        <w:ind w:left="567" w:hanging="567"/>
        <w:jc w:val="both"/>
        <w:rPr>
          <w:rFonts w:ascii="Times New Roman" w:hAnsi="Times New Roman"/>
          <w:sz w:val="28"/>
          <w:szCs w:val="28"/>
        </w:rPr>
      </w:pPr>
      <w:r w:rsidRPr="003D1BAE">
        <w:rPr>
          <w:rFonts w:ascii="Times New Roman" w:hAnsi="Times New Roman"/>
          <w:sz w:val="28"/>
          <w:szCs w:val="28"/>
        </w:rPr>
        <w:t xml:space="preserve">Жаліло Я. Економічна стратегія як категорія економічної науки. </w:t>
      </w:r>
      <w:r w:rsidRPr="003D1BAE">
        <w:rPr>
          <w:rFonts w:ascii="Times New Roman" w:hAnsi="Times New Roman"/>
          <w:i/>
          <w:sz w:val="28"/>
          <w:szCs w:val="28"/>
        </w:rPr>
        <w:t>Економіка України</w:t>
      </w:r>
      <w:r w:rsidRPr="003D1BAE">
        <w:rPr>
          <w:rFonts w:ascii="Times New Roman" w:hAnsi="Times New Roman"/>
          <w:sz w:val="28"/>
          <w:szCs w:val="28"/>
        </w:rPr>
        <w:t>. 2005. № 7. С. 19-27.</w:t>
      </w:r>
    </w:p>
    <w:p w:rsidR="003D1BAE" w:rsidRPr="003D1BAE" w:rsidRDefault="003D1BAE" w:rsidP="003D1BAE">
      <w:pPr>
        <w:pStyle w:val="a3"/>
        <w:numPr>
          <w:ilvl w:val="0"/>
          <w:numId w:val="1"/>
        </w:numPr>
        <w:tabs>
          <w:tab w:val="left" w:pos="1080"/>
        </w:tabs>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Загуменна Ю. О. Аутсорсинг державних функцій у контексті завдань реформування державного управління: зарубіжний досвід. </w:t>
      </w:r>
      <w:r w:rsidRPr="003D1BAE">
        <w:rPr>
          <w:rFonts w:ascii="Times New Roman" w:hAnsi="Times New Roman" w:cs="Times New Roman"/>
          <w:i/>
          <w:sz w:val="28"/>
          <w:szCs w:val="28"/>
        </w:rPr>
        <w:t>Правоохоронна функція держави: теоретико-методологічні та історико-правові проблеми</w:t>
      </w:r>
      <w:r w:rsidRPr="003D1BAE">
        <w:rPr>
          <w:rFonts w:ascii="Times New Roman" w:hAnsi="Times New Roman" w:cs="Times New Roman"/>
          <w:sz w:val="28"/>
          <w:szCs w:val="28"/>
        </w:rPr>
        <w:t>: Збірн. матер. круглого столу. 2017. № 27. С. 79-82.</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Засади формування бюджетної політики держави: монографія / Єрмошенко М. та ін.; за наук. ред. д.е.н., проф. М. Єрмошенка. К.: НАУ, 2003. 284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Затонацька Т. Пріоритети бюджетної політики України порівняно із загальноєвропейськими тенденціями. </w:t>
      </w:r>
      <w:r w:rsidRPr="003D1BAE">
        <w:rPr>
          <w:rFonts w:ascii="Times New Roman" w:hAnsi="Times New Roman" w:cs="Times New Roman"/>
          <w:i/>
          <w:sz w:val="28"/>
          <w:szCs w:val="28"/>
          <w:lang w:eastAsia="uk-UA"/>
        </w:rPr>
        <w:t>Світ фінансів</w:t>
      </w:r>
      <w:r w:rsidRPr="003D1BAE">
        <w:rPr>
          <w:rFonts w:ascii="Times New Roman" w:hAnsi="Times New Roman" w:cs="Times New Roman"/>
          <w:sz w:val="28"/>
          <w:szCs w:val="28"/>
          <w:lang w:eastAsia="uk-UA"/>
        </w:rPr>
        <w:t>. 2016. Вип. 1. С. 140-148. URL: http://nbuv.gov.ua/UJRN/svitfin_2016_1_15</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bCs/>
          <w:sz w:val="28"/>
          <w:szCs w:val="28"/>
          <w:lang w:eastAsia="uk-UA"/>
        </w:rPr>
      </w:pPr>
      <w:r w:rsidRPr="003D1BAE">
        <w:rPr>
          <w:rFonts w:ascii="Times New Roman" w:hAnsi="Times New Roman" w:cs="Times New Roman"/>
          <w:bCs/>
          <w:sz w:val="28"/>
          <w:szCs w:val="28"/>
          <w:lang w:eastAsia="uk-UA"/>
        </w:rPr>
        <w:t xml:space="preserve">Зміцнення фінансової спроможності громад – пріоритет розвитку місцевих фінансів. </w:t>
      </w:r>
      <w:r w:rsidRPr="003D1BAE">
        <w:rPr>
          <w:rFonts w:ascii="Times New Roman" w:hAnsi="Times New Roman" w:cs="Times New Roman"/>
          <w:bCs/>
          <w:sz w:val="28"/>
          <w:szCs w:val="28"/>
          <w:lang w:val="pl-PL" w:eastAsia="uk-UA"/>
        </w:rPr>
        <w:t>URL</w:t>
      </w:r>
      <w:r w:rsidRPr="003D1BAE">
        <w:rPr>
          <w:rFonts w:ascii="Times New Roman" w:hAnsi="Times New Roman" w:cs="Times New Roman"/>
          <w:bCs/>
          <w:sz w:val="28"/>
          <w:szCs w:val="28"/>
          <w:lang w:eastAsia="uk-UA"/>
        </w:rPr>
        <w:t>: https://auc.org.ua/novyna/zmicnennya-finansovoyi-spromozhnosti-gromad-priorytet-rozvytku-miscevyh-finansiv</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Канєва Т. В. Методологічні засади бюджетної політики.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2019. № 6. С. 218-226. URL: http://nbuv.gov.ua/UJRN/binf_2019_6_31</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lastRenderedPageBreak/>
        <w:t xml:space="preserve">Канєва Т. В., Думікян А. К. Вплив видатків бюджетних установ на економічне зростання.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xml:space="preserve"> 2018. № 3. С. 141-148.</w:t>
      </w:r>
    </w:p>
    <w:p w:rsidR="003D1BAE" w:rsidRPr="003D1BAE" w:rsidRDefault="003D1BAE" w:rsidP="003D1BAE">
      <w:pPr>
        <w:pStyle w:val="a7"/>
        <w:numPr>
          <w:ilvl w:val="0"/>
          <w:numId w:val="1"/>
        </w:numPr>
        <w:tabs>
          <w:tab w:val="left" w:pos="1134"/>
        </w:tabs>
        <w:spacing w:line="360" w:lineRule="auto"/>
        <w:ind w:left="567" w:hanging="567"/>
        <w:jc w:val="both"/>
        <w:rPr>
          <w:rFonts w:ascii="Times New Roman" w:hAnsi="Times New Roman"/>
          <w:spacing w:val="-2"/>
          <w:sz w:val="28"/>
          <w:szCs w:val="28"/>
        </w:rPr>
      </w:pPr>
      <w:r w:rsidRPr="003D1BAE">
        <w:rPr>
          <w:rFonts w:ascii="Times New Roman" w:hAnsi="Times New Roman"/>
          <w:spacing w:val="-2"/>
          <w:sz w:val="28"/>
          <w:szCs w:val="28"/>
        </w:rPr>
        <w:t xml:space="preserve">Карамушка Л. Середньострокове планування видатків місцевих бюджетів. </w:t>
      </w:r>
      <w:r w:rsidRPr="003D1BAE">
        <w:rPr>
          <w:rFonts w:ascii="Times New Roman" w:hAnsi="Times New Roman"/>
          <w:i/>
          <w:spacing w:val="-2"/>
          <w:sz w:val="28"/>
          <w:szCs w:val="28"/>
        </w:rPr>
        <w:t>Вісник КНТЕУ</w:t>
      </w:r>
      <w:r w:rsidRPr="003D1BAE">
        <w:rPr>
          <w:rFonts w:ascii="Times New Roman" w:hAnsi="Times New Roman"/>
          <w:spacing w:val="-2"/>
          <w:sz w:val="28"/>
          <w:szCs w:val="28"/>
        </w:rPr>
        <w:t>. 2015. № 2. С. 85-95.</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Кізима Т. Проблеми вдосконалення бюджетної політики держави в контексті фіскальної децентралізації. </w:t>
      </w:r>
      <w:r w:rsidRPr="003D1BAE">
        <w:rPr>
          <w:rFonts w:ascii="Times New Roman" w:hAnsi="Times New Roman" w:cs="Times New Roman"/>
          <w:i/>
          <w:sz w:val="28"/>
          <w:szCs w:val="28"/>
          <w:lang w:eastAsia="uk-UA"/>
        </w:rPr>
        <w:t>Світ фінансів</w:t>
      </w:r>
      <w:r w:rsidRPr="003D1BAE">
        <w:rPr>
          <w:rFonts w:ascii="Times New Roman" w:hAnsi="Times New Roman" w:cs="Times New Roman"/>
          <w:sz w:val="28"/>
          <w:szCs w:val="28"/>
          <w:lang w:eastAsia="uk-UA"/>
        </w:rPr>
        <w:t>. 2016. Вип. 4. С. 7-19. URL: http://nbuv.gov.ua/UJRN/svitfin_2016_4_3</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Клець Л. Є. Бюджетний менеджмент: навчальний посібник. Центр учбової літератури, 2010. 640с.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Style w:val="fontstyle38"/>
          <w:rFonts w:ascii="Times New Roman" w:hAnsi="Times New Roman" w:cs="Times New Roman"/>
          <w:sz w:val="28"/>
          <w:szCs w:val="28"/>
        </w:rPr>
        <w:t xml:space="preserve">Кондратюк С. Я. Аутсорсинг як спосіб боротьби з неефективністю в бюджетних закладах держави мережевого типу. </w:t>
      </w:r>
      <w:r w:rsidRPr="003D1BAE">
        <w:rPr>
          <w:rFonts w:ascii="Times New Roman" w:hAnsi="Times New Roman" w:cs="Times New Roman"/>
          <w:i/>
          <w:sz w:val="28"/>
          <w:szCs w:val="28"/>
        </w:rPr>
        <w:t>Фінанси, облік і аудит</w:t>
      </w:r>
      <w:r w:rsidRPr="003D1BAE">
        <w:rPr>
          <w:rFonts w:ascii="Times New Roman" w:hAnsi="Times New Roman" w:cs="Times New Roman"/>
          <w:sz w:val="28"/>
          <w:szCs w:val="28"/>
        </w:rPr>
        <w:t>. 2012. Вип. 28. С. 367-375.</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Кудряшов В. П. Фіскальні правила та коригування бюджетної політики. </w:t>
      </w:r>
      <w:r w:rsidRPr="003D1BAE">
        <w:rPr>
          <w:rFonts w:ascii="Times New Roman" w:hAnsi="Times New Roman" w:cs="Times New Roman"/>
          <w:i/>
          <w:sz w:val="28"/>
          <w:szCs w:val="28"/>
          <w:lang w:eastAsia="uk-UA"/>
        </w:rPr>
        <w:t>Економіка України</w:t>
      </w:r>
      <w:r w:rsidRPr="003D1BAE">
        <w:rPr>
          <w:rFonts w:ascii="Times New Roman" w:hAnsi="Times New Roman" w:cs="Times New Roman"/>
          <w:sz w:val="28"/>
          <w:szCs w:val="28"/>
          <w:lang w:eastAsia="uk-UA"/>
        </w:rPr>
        <w:t>. 2018. № 11-12. С. 47-59. URL: http://nbuv.gov.ua/UJRN/EkUk_2018_11-12_5</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Куценко Т. Ф. Бюджетно-податкова політика: Навч.-метод. посібник для самост. вивч. дисц. К.: КНЕУ, 2002. 256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Кучер Г. В. Державні фінансові ресурси: монографія. Київ: Київ. нац. торг.-екон. ун-т, 2018. 608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Лазор О. Д., Лазор О. Я. Місцеве управління: поняття, терміни, визначення: словн.-довідн.; наук. ред. М. Д. Лесечко. Львів: ЛРІДУ УАДУ, 2003. 124 с.</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Ландшафтний парк «Трахтемирів» – мішень для рейдерів землі, чи звичайний конфлікт інтересів»? </w:t>
      </w:r>
      <w:r w:rsidRPr="003D1BAE">
        <w:rPr>
          <w:rFonts w:ascii="Times New Roman" w:hAnsi="Times New Roman" w:cs="Times New Roman"/>
          <w:spacing w:val="-2"/>
          <w:sz w:val="28"/>
          <w:szCs w:val="28"/>
          <w:lang w:val="pl-PL"/>
        </w:rPr>
        <w:t>URL</w:t>
      </w:r>
      <w:r w:rsidRPr="003D1BAE">
        <w:rPr>
          <w:rFonts w:ascii="Times New Roman" w:hAnsi="Times New Roman" w:cs="Times New Roman"/>
          <w:spacing w:val="-2"/>
          <w:sz w:val="28"/>
          <w:szCs w:val="28"/>
        </w:rPr>
        <w:t>: http://nikorupciji.org/2018/08/31/landshaftnyj-park-trahtemyriv-mishen-dlya-rejderiv-zemli-chy-zvychajnyj-konflikt-interesiv/</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color w:val="000000"/>
          <w:spacing w:val="-2"/>
          <w:sz w:val="28"/>
          <w:szCs w:val="28"/>
          <w:lang w:eastAsia="uk-UA" w:bidi="uk-UA"/>
        </w:rPr>
      </w:pPr>
      <w:r w:rsidRPr="003D1BAE">
        <w:rPr>
          <w:color w:val="000000"/>
          <w:spacing w:val="-2"/>
          <w:sz w:val="28"/>
          <w:szCs w:val="28"/>
          <w:lang w:eastAsia="uk-UA" w:bidi="uk-UA"/>
        </w:rPr>
        <w:t xml:space="preserve">Лисяк Л. Теоретичні засади оцінки ефективності бюджетної політики. </w:t>
      </w:r>
      <w:r w:rsidRPr="003D1BAE">
        <w:rPr>
          <w:i/>
          <w:color w:val="000000"/>
          <w:spacing w:val="-2"/>
          <w:sz w:val="28"/>
          <w:szCs w:val="28"/>
          <w:lang w:eastAsia="uk-UA" w:bidi="uk-UA"/>
        </w:rPr>
        <w:t>Світ фінансів</w:t>
      </w:r>
      <w:r w:rsidRPr="003D1BAE">
        <w:rPr>
          <w:color w:val="000000"/>
          <w:spacing w:val="-2"/>
          <w:sz w:val="28"/>
          <w:szCs w:val="28"/>
          <w:lang w:eastAsia="uk-UA" w:bidi="uk-UA"/>
        </w:rPr>
        <w:t>. 2007. Вип. 3 (12). С. 50-57.</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Ліснічук О. А. Бюджетно-податкова політика: українські реалії та зарубіжний досвід. </w:t>
      </w:r>
      <w:r w:rsidRPr="003D1BAE">
        <w:rPr>
          <w:rFonts w:ascii="Times New Roman" w:hAnsi="Times New Roman" w:cs="Times New Roman"/>
          <w:i/>
          <w:sz w:val="28"/>
          <w:szCs w:val="28"/>
          <w:lang w:eastAsia="uk-UA"/>
        </w:rPr>
        <w:t>Вісник Одеського національного університету</w:t>
      </w:r>
      <w:r w:rsidRPr="003D1BAE">
        <w:rPr>
          <w:rFonts w:ascii="Times New Roman" w:hAnsi="Times New Roman" w:cs="Times New Roman"/>
          <w:sz w:val="28"/>
          <w:szCs w:val="28"/>
          <w:lang w:eastAsia="uk-UA"/>
        </w:rPr>
        <w:t xml:space="preserve">. Серія: </w:t>
      </w:r>
      <w:r w:rsidRPr="003D1BAE">
        <w:rPr>
          <w:rFonts w:ascii="Times New Roman" w:hAnsi="Times New Roman" w:cs="Times New Roman"/>
          <w:sz w:val="28"/>
          <w:szCs w:val="28"/>
          <w:lang w:eastAsia="uk-UA"/>
        </w:rPr>
        <w:lastRenderedPageBreak/>
        <w:t>Економіка. 2019. Т. 24, Вип. 5. С. 118-123. URL: http://nbuv.gov.ua/UJRN/Vonu_econ_2019_24_5_23</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Макогон В. Д. Бюджетна політика в умовах інституційних перетворень. </w:t>
      </w:r>
      <w:r w:rsidRPr="003D1BAE">
        <w:rPr>
          <w:rFonts w:ascii="Times New Roman" w:hAnsi="Times New Roman" w:cs="Times New Roman"/>
          <w:i/>
          <w:sz w:val="28"/>
          <w:szCs w:val="28"/>
          <w:lang w:eastAsia="uk-UA"/>
        </w:rPr>
        <w:t>Формування ринкових відносин в Україні</w:t>
      </w:r>
      <w:r w:rsidRPr="003D1BAE">
        <w:rPr>
          <w:rFonts w:ascii="Times New Roman" w:hAnsi="Times New Roman" w:cs="Times New Roman"/>
          <w:sz w:val="28"/>
          <w:szCs w:val="28"/>
          <w:lang w:eastAsia="uk-UA"/>
        </w:rPr>
        <w:t>. 2020. № 5. С. 18-25. URL: http://nbuv.gov.ua/UJRN/frvu_2020_5_4</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Макогон В. Д. Бюджетна стратегія держави: монографія. Київ: Київ. нац. торг.-екон. ун-т. 2018. 364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Макогон В. Д. Вплив податково-бюджетної політики на рівень економічного зростання. </w:t>
      </w:r>
      <w:r w:rsidRPr="003D1BAE">
        <w:rPr>
          <w:rFonts w:ascii="Times New Roman" w:hAnsi="Times New Roman" w:cs="Times New Roman"/>
          <w:i/>
          <w:sz w:val="28"/>
          <w:szCs w:val="28"/>
          <w:lang w:eastAsia="uk-UA"/>
        </w:rPr>
        <w:t>Економічний вісник університету</w:t>
      </w:r>
      <w:r w:rsidRPr="003D1BAE">
        <w:rPr>
          <w:rFonts w:ascii="Times New Roman" w:hAnsi="Times New Roman" w:cs="Times New Roman"/>
          <w:sz w:val="28"/>
          <w:szCs w:val="28"/>
          <w:lang w:eastAsia="uk-UA"/>
        </w:rPr>
        <w:t>. 2020. Вип. 44. С. 179-187. URL: http://nbuv.gov.ua/UJRN/ecvu_2020_44_27</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Малишко В. В. Розвиток фінансової політики та зміцнення бюджетної безпеки України. </w:t>
      </w:r>
      <w:r w:rsidRPr="003D1BAE">
        <w:rPr>
          <w:rFonts w:ascii="Times New Roman" w:hAnsi="Times New Roman" w:cs="Times New Roman"/>
          <w:i/>
          <w:sz w:val="28"/>
          <w:szCs w:val="28"/>
          <w:lang w:eastAsia="uk-UA"/>
        </w:rPr>
        <w:t>Проблеми системного підходу в економіці</w:t>
      </w:r>
      <w:r w:rsidRPr="003D1BAE">
        <w:rPr>
          <w:rFonts w:ascii="Times New Roman" w:hAnsi="Times New Roman" w:cs="Times New Roman"/>
          <w:sz w:val="28"/>
          <w:szCs w:val="28"/>
          <w:lang w:eastAsia="uk-UA"/>
        </w:rPr>
        <w:t>. 2019. Вип. 3 (2). С. 148-154. URL: http://nbuv.gov.ua/UJRN/PSPE_print_2019_3(2)_24</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Маркуц Ю. І., Гусаревич Н. В. Ефективність формування доходів бюджету в умовах економічних перетворень. </w:t>
      </w:r>
      <w:r w:rsidRPr="003D1BAE">
        <w:rPr>
          <w:rFonts w:ascii="Times New Roman" w:hAnsi="Times New Roman" w:cs="Times New Roman"/>
          <w:i/>
          <w:sz w:val="28"/>
          <w:szCs w:val="28"/>
          <w:lang w:eastAsia="uk-UA"/>
        </w:rPr>
        <w:t>Економіка та держава</w:t>
      </w:r>
      <w:r w:rsidRPr="003D1BAE">
        <w:rPr>
          <w:rFonts w:ascii="Times New Roman" w:hAnsi="Times New Roman" w:cs="Times New Roman"/>
          <w:sz w:val="28"/>
          <w:szCs w:val="28"/>
          <w:lang w:eastAsia="uk-UA"/>
        </w:rPr>
        <w:t>. 2018. № 8. С. 31-34.</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Мацелюх Н. П. Імперативи соціалізації бюджетної політики: теоретичний аспект. </w:t>
      </w:r>
      <w:r w:rsidRPr="003D1BAE">
        <w:rPr>
          <w:rFonts w:ascii="Times New Roman" w:hAnsi="Times New Roman" w:cs="Times New Roman"/>
          <w:i/>
          <w:sz w:val="28"/>
          <w:szCs w:val="28"/>
          <w:lang w:eastAsia="uk-UA"/>
        </w:rPr>
        <w:t>Modern economics</w:t>
      </w:r>
      <w:r w:rsidRPr="003D1BAE">
        <w:rPr>
          <w:rFonts w:ascii="Times New Roman" w:hAnsi="Times New Roman" w:cs="Times New Roman"/>
          <w:sz w:val="28"/>
          <w:szCs w:val="28"/>
          <w:lang w:eastAsia="uk-UA"/>
        </w:rPr>
        <w:t>. 2019. № 14. С. 147-152. URL: http://nbuv.gov.ua/UJRN/modecon_2019_14_26</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Мейш А. В. Бюджетна політика України як основа макроекономічної стабільності. </w:t>
      </w:r>
      <w:r w:rsidRPr="003D1BAE">
        <w:rPr>
          <w:rFonts w:ascii="Times New Roman" w:hAnsi="Times New Roman" w:cs="Times New Roman"/>
          <w:i/>
          <w:sz w:val="28"/>
          <w:szCs w:val="28"/>
          <w:lang w:eastAsia="uk-UA"/>
        </w:rPr>
        <w:t>Вісник Хмельницького національного університету.</w:t>
      </w:r>
      <w:r w:rsidRPr="003D1BAE">
        <w:rPr>
          <w:rFonts w:ascii="Times New Roman" w:hAnsi="Times New Roman" w:cs="Times New Roman"/>
          <w:sz w:val="28"/>
          <w:szCs w:val="28"/>
          <w:lang w:eastAsia="uk-UA"/>
        </w:rPr>
        <w:t xml:space="preserve"> Економічні науки. 2019. № 3. С. 122-127. URL: http://nbuv.gov.ua/UJRN/Vchnu_ekon_2019_3_27</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Мельник В. М. Бюджетна політика в системі фінансової безпеки держави. </w:t>
      </w:r>
      <w:r w:rsidRPr="003D1BAE">
        <w:rPr>
          <w:rFonts w:ascii="Times New Roman" w:hAnsi="Times New Roman" w:cs="Times New Roman"/>
          <w:i/>
          <w:sz w:val="28"/>
          <w:szCs w:val="28"/>
          <w:lang w:eastAsia="uk-UA"/>
        </w:rPr>
        <w:t>Науковий вісник Національної академії статистики, обліку та аудиту</w:t>
      </w:r>
      <w:r w:rsidRPr="003D1BAE">
        <w:rPr>
          <w:rFonts w:ascii="Times New Roman" w:hAnsi="Times New Roman" w:cs="Times New Roman"/>
          <w:sz w:val="28"/>
          <w:szCs w:val="28"/>
          <w:lang w:eastAsia="uk-UA"/>
        </w:rPr>
        <w:t>. 2020. № 1-2. С. 73-80. URL: http://nbuv.gov.ua/UJRN/nvhastat_2020_1-2_10</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Моргун В. В. Удосконалення фінансової основи місцевого самоврядування в контексті децентралізації, реалізації бюджетної та податкової політики </w:t>
      </w:r>
      <w:r w:rsidRPr="003D1BAE">
        <w:rPr>
          <w:rFonts w:ascii="Times New Roman" w:hAnsi="Times New Roman" w:cs="Times New Roman"/>
          <w:sz w:val="28"/>
          <w:szCs w:val="28"/>
          <w:lang w:eastAsia="uk-UA"/>
        </w:rPr>
        <w:lastRenderedPageBreak/>
        <w:t xml:space="preserve">держави. </w:t>
      </w:r>
      <w:r w:rsidRPr="003D1BAE">
        <w:rPr>
          <w:rFonts w:ascii="Times New Roman" w:hAnsi="Times New Roman" w:cs="Times New Roman"/>
          <w:i/>
          <w:sz w:val="28"/>
          <w:szCs w:val="28"/>
          <w:lang w:eastAsia="uk-UA"/>
        </w:rPr>
        <w:t>Юридичний часопис Національної академії внутрішніх справ</w:t>
      </w:r>
      <w:r w:rsidRPr="003D1BAE">
        <w:rPr>
          <w:rFonts w:ascii="Times New Roman" w:hAnsi="Times New Roman" w:cs="Times New Roman"/>
          <w:sz w:val="28"/>
          <w:szCs w:val="28"/>
          <w:lang w:eastAsia="uk-UA"/>
        </w:rPr>
        <w:t>. 2020. № 1. С. 25-32. URL: http://nbuv.gov.ua/UJRN/aymvs_2020_1_5</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spacing w:val="0"/>
          <w:sz w:val="28"/>
          <w:szCs w:val="28"/>
        </w:rPr>
      </w:pPr>
      <w:r w:rsidRPr="003D1BAE">
        <w:rPr>
          <w:color w:val="000000"/>
          <w:spacing w:val="0"/>
          <w:sz w:val="28"/>
          <w:szCs w:val="28"/>
          <w:lang w:eastAsia="uk-UA" w:bidi="uk-UA"/>
        </w:rPr>
        <w:t>Мочерний С., Ларіна Я., Устенко О., Юрій </w:t>
      </w:r>
      <w:r w:rsidRPr="003D1BAE">
        <w:rPr>
          <w:color w:val="000000"/>
          <w:spacing w:val="0"/>
          <w:sz w:val="28"/>
          <w:szCs w:val="28"/>
          <w:lang w:val="de-DE" w:eastAsia="de-DE" w:bidi="de-DE"/>
        </w:rPr>
        <w:t>C</w:t>
      </w:r>
      <w:r w:rsidRPr="003D1BAE">
        <w:rPr>
          <w:color w:val="000000"/>
          <w:spacing w:val="0"/>
          <w:sz w:val="28"/>
          <w:szCs w:val="28"/>
          <w:lang w:val="ru-RU" w:eastAsia="de-DE" w:bidi="de-DE"/>
        </w:rPr>
        <w:t>.</w:t>
      </w:r>
      <w:r w:rsidRPr="003D1BAE">
        <w:rPr>
          <w:color w:val="000000"/>
          <w:spacing w:val="0"/>
          <w:sz w:val="28"/>
          <w:szCs w:val="28"/>
          <w:lang w:eastAsia="uk-UA" w:bidi="uk-UA"/>
        </w:rPr>
        <w:t xml:space="preserve"> Економічний енциклопедичний словник: У 2 </w:t>
      </w:r>
      <w:r w:rsidRPr="003D1BAE">
        <w:rPr>
          <w:color w:val="000000"/>
          <w:spacing w:val="0"/>
          <w:sz w:val="28"/>
          <w:szCs w:val="28"/>
          <w:lang w:val="ru-RU" w:eastAsia="ru-RU" w:bidi="ru-RU"/>
        </w:rPr>
        <w:t xml:space="preserve">т. Т. </w:t>
      </w:r>
      <w:r w:rsidRPr="003D1BAE">
        <w:rPr>
          <w:color w:val="000000"/>
          <w:spacing w:val="0"/>
          <w:sz w:val="28"/>
          <w:szCs w:val="28"/>
          <w:lang w:eastAsia="uk-UA" w:bidi="uk-UA"/>
        </w:rPr>
        <w:t>1 / За ред. С. Мочерного. Львів: Світ, 2005. 616 с.</w:t>
      </w:r>
    </w:p>
    <w:p w:rsidR="003D1BAE" w:rsidRPr="003D1BAE" w:rsidRDefault="003D1BAE" w:rsidP="003D1BAE">
      <w:pPr>
        <w:pStyle w:val="a3"/>
        <w:numPr>
          <w:ilvl w:val="0"/>
          <w:numId w:val="1"/>
        </w:numPr>
        <w:tabs>
          <w:tab w:val="left" w:pos="1260"/>
        </w:tabs>
        <w:autoSpaceDE w:val="0"/>
        <w:autoSpaceDN w:val="0"/>
        <w:adjustRightInd w:val="0"/>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Новицька В. Столичний парксервіс: боротьба корупції з законом. </w:t>
      </w:r>
      <w:r w:rsidRPr="003D1BAE">
        <w:rPr>
          <w:rFonts w:ascii="Times New Roman" w:hAnsi="Times New Roman" w:cs="Times New Roman"/>
          <w:sz w:val="28"/>
          <w:szCs w:val="28"/>
          <w:lang w:val="pl-PL"/>
        </w:rPr>
        <w:t>URL</w:t>
      </w:r>
      <w:r w:rsidRPr="003D1BAE">
        <w:rPr>
          <w:rFonts w:ascii="Times New Roman" w:hAnsi="Times New Roman" w:cs="Times New Roman"/>
          <w:sz w:val="28"/>
          <w:szCs w:val="28"/>
        </w:rPr>
        <w:t>: http://nikorupciji.org/2016/12/01/stolychnyj-parkservis-borotba-koruptsiji-z-zakonom/</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Огонь Ц. Г. Доходи бюджету України: теорія та практика: Монографія. К.: Київ. нац. торг.-екон. ун-т, 2003. 503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Пасічний М. Д. Бюджетна політика та економічний розвиток. </w:t>
      </w:r>
      <w:r w:rsidRPr="003D1BAE">
        <w:rPr>
          <w:rFonts w:ascii="Times New Roman" w:hAnsi="Times New Roman" w:cs="Times New Roman"/>
          <w:i/>
          <w:sz w:val="28"/>
          <w:szCs w:val="28"/>
          <w:lang w:eastAsia="uk-UA"/>
        </w:rPr>
        <w:t>Економічний вісник університету</w:t>
      </w:r>
      <w:r w:rsidRPr="003D1BAE">
        <w:rPr>
          <w:rFonts w:ascii="Times New Roman" w:hAnsi="Times New Roman" w:cs="Times New Roman"/>
          <w:sz w:val="28"/>
          <w:szCs w:val="28"/>
          <w:lang w:eastAsia="uk-UA"/>
        </w:rPr>
        <w:t>. 2020. Вип. 44. С. 153-164. URL: http://nbuv.gov.ua/UJRN/ecvu_2020_44_24</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Пасічний М. Д. Формування і реалізація бюджетної політики в умовах кризових трансформацій економіки.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2018. № 8. С. 171–177.</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Пасічник Ю. В. Бюджетний потенціал економічного зростання в Україні: Монографія. Донецьк: ТОВ «Юго-Восток, ЛТД», 2005. 642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Пелехатий А. О. Інституційне забезпечення бюджетної політики розвитку територій. </w:t>
      </w:r>
      <w:r w:rsidRPr="003D1BAE">
        <w:rPr>
          <w:rFonts w:ascii="Times New Roman" w:hAnsi="Times New Roman" w:cs="Times New Roman"/>
          <w:i/>
          <w:sz w:val="28"/>
          <w:szCs w:val="28"/>
          <w:lang w:eastAsia="uk-UA"/>
        </w:rPr>
        <w:t>Вісник Сумського національного аграрного університету</w:t>
      </w:r>
      <w:r w:rsidRPr="003D1BAE">
        <w:rPr>
          <w:rFonts w:ascii="Times New Roman" w:hAnsi="Times New Roman" w:cs="Times New Roman"/>
          <w:sz w:val="28"/>
          <w:szCs w:val="28"/>
          <w:lang w:eastAsia="uk-UA"/>
        </w:rPr>
        <w:t>. Серія: Економіка і менеджмент. 2019. Вип. 4. С. 15-21. URL: http://nbuv.gov.ua/UJRN/Vsna_ekon_2019_4_5</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Пелехатий А. О. Методологічні засади управління процесами формування та реалізації бюджетної політики розвитку територій. </w:t>
      </w:r>
      <w:r w:rsidRPr="003D1BAE">
        <w:rPr>
          <w:rFonts w:ascii="Times New Roman" w:hAnsi="Times New Roman" w:cs="Times New Roman"/>
          <w:i/>
          <w:sz w:val="28"/>
          <w:szCs w:val="28"/>
          <w:lang w:eastAsia="uk-UA"/>
        </w:rPr>
        <w:t>Вісник Сумського національного аграрного університету</w:t>
      </w:r>
      <w:r w:rsidRPr="003D1BAE">
        <w:rPr>
          <w:rFonts w:ascii="Times New Roman" w:hAnsi="Times New Roman" w:cs="Times New Roman"/>
          <w:sz w:val="28"/>
          <w:szCs w:val="28"/>
          <w:lang w:eastAsia="uk-UA"/>
        </w:rPr>
        <w:t>. Серія: Економіка і менеджмент. 2019. Вип. 3. С. 64-70. URL: http://nbuv.gov.ua/UJRN/Vsna_ekon_2019_3_12</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Про внесення змін до деяких законодавчих актів України, спрямованих на запобігання виникнення і поширення коронавірусної хвороби (</w:t>
      </w:r>
      <w:r w:rsidRPr="003D1BAE">
        <w:rPr>
          <w:rFonts w:ascii="Times New Roman" w:hAnsi="Times New Roman" w:cs="Times New Roman"/>
          <w:sz w:val="28"/>
          <w:szCs w:val="28"/>
          <w:lang w:val="en-US" w:eastAsia="uk-UA"/>
        </w:rPr>
        <w:t>COVID</w:t>
      </w:r>
      <w:r w:rsidRPr="003D1BAE">
        <w:rPr>
          <w:rFonts w:ascii="Times New Roman" w:hAnsi="Times New Roman" w:cs="Times New Roman"/>
          <w:sz w:val="28"/>
          <w:szCs w:val="28"/>
          <w:lang w:eastAsia="uk-UA"/>
        </w:rPr>
        <w:t>-19): Закон України від 17.03.2020 р. № 530-</w:t>
      </w:r>
      <w:r w:rsidRPr="003D1BAE">
        <w:rPr>
          <w:rFonts w:ascii="Times New Roman" w:hAnsi="Times New Roman" w:cs="Times New Roman"/>
          <w:sz w:val="28"/>
          <w:szCs w:val="28"/>
          <w:lang w:val="en-US" w:eastAsia="uk-UA"/>
        </w:rPr>
        <w:t>IX</w:t>
      </w:r>
      <w:r w:rsidRPr="003D1BAE">
        <w:rPr>
          <w:rFonts w:ascii="Times New Roman" w:hAnsi="Times New Roman" w:cs="Times New Roman"/>
          <w:sz w:val="28"/>
          <w:szCs w:val="28"/>
          <w:lang w:eastAsia="uk-UA"/>
        </w:rPr>
        <w:t xml:space="preserve">. </w:t>
      </w:r>
      <w:r w:rsidRPr="003D1BAE">
        <w:rPr>
          <w:rFonts w:ascii="Times New Roman" w:hAnsi="Times New Roman" w:cs="Times New Roman"/>
          <w:sz w:val="28"/>
          <w:szCs w:val="28"/>
          <w:lang w:val="en-US" w:eastAsia="uk-UA"/>
        </w:rPr>
        <w:t>URL</w:t>
      </w:r>
      <w:r w:rsidRPr="003D1BAE">
        <w:rPr>
          <w:rFonts w:ascii="Times New Roman" w:hAnsi="Times New Roman" w:cs="Times New Roman"/>
          <w:sz w:val="28"/>
          <w:szCs w:val="28"/>
          <w:lang w:eastAsia="uk-UA"/>
        </w:rPr>
        <w:t>: https://zakon.rada.gov.ua/laws/show/530-20#Text</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bCs/>
          <w:sz w:val="28"/>
          <w:szCs w:val="28"/>
        </w:rPr>
        <w:lastRenderedPageBreak/>
        <w:t>Про внесення змін до деяких законодавчих актів України: Закон України від 06.12.2016 р. № 1774-</w:t>
      </w:r>
      <w:r w:rsidRPr="003D1BAE">
        <w:rPr>
          <w:rFonts w:ascii="Times New Roman" w:hAnsi="Times New Roman" w:cs="Times New Roman"/>
          <w:bCs/>
          <w:sz w:val="28"/>
          <w:szCs w:val="28"/>
          <w:lang w:val="en-US"/>
        </w:rPr>
        <w:t>VIII</w:t>
      </w:r>
      <w:r w:rsidRPr="003D1BAE">
        <w:rPr>
          <w:rFonts w:ascii="Times New Roman" w:hAnsi="Times New Roman" w:cs="Times New Roman"/>
          <w:bCs/>
          <w:sz w:val="28"/>
          <w:szCs w:val="28"/>
        </w:rPr>
        <w:t xml:space="preserve">. </w:t>
      </w:r>
      <w:r w:rsidRPr="003D1BAE">
        <w:rPr>
          <w:rFonts w:ascii="Times New Roman" w:hAnsi="Times New Roman" w:cs="Times New Roman"/>
          <w:bCs/>
          <w:sz w:val="28"/>
          <w:szCs w:val="28"/>
          <w:lang w:val="en-US"/>
        </w:rPr>
        <w:t>URL</w:t>
      </w:r>
      <w:r w:rsidRPr="003D1BAE">
        <w:rPr>
          <w:rFonts w:ascii="Times New Roman" w:hAnsi="Times New Roman" w:cs="Times New Roman"/>
          <w:bCs/>
          <w:sz w:val="28"/>
          <w:szCs w:val="28"/>
        </w:rPr>
        <w:t xml:space="preserve">: </w:t>
      </w:r>
      <w:r w:rsidRPr="003D1BAE">
        <w:rPr>
          <w:rFonts w:ascii="Times New Roman" w:hAnsi="Times New Roman" w:cs="Times New Roman"/>
          <w:sz w:val="28"/>
          <w:szCs w:val="28"/>
        </w:rPr>
        <w:t>http://zakon.rada.gov.ua/laws/show/1774-19</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виникнення і поширення коронавірусної хвороби (</w:t>
      </w:r>
      <w:r w:rsidRPr="003D1BAE">
        <w:rPr>
          <w:rFonts w:ascii="Times New Roman" w:hAnsi="Times New Roman" w:cs="Times New Roman"/>
          <w:sz w:val="28"/>
          <w:szCs w:val="28"/>
          <w:lang w:val="en-US" w:eastAsia="uk-UA"/>
        </w:rPr>
        <w:t>COVID</w:t>
      </w:r>
      <w:r w:rsidRPr="003D1BAE">
        <w:rPr>
          <w:rFonts w:ascii="Times New Roman" w:hAnsi="Times New Roman" w:cs="Times New Roman"/>
          <w:sz w:val="28"/>
          <w:szCs w:val="28"/>
          <w:lang w:eastAsia="uk-UA"/>
        </w:rPr>
        <w:t xml:space="preserve">-19): Закон України від 17.03.2020 р. № 533-ХІ. </w:t>
      </w:r>
      <w:r w:rsidRPr="003D1BAE">
        <w:rPr>
          <w:rFonts w:ascii="Times New Roman" w:hAnsi="Times New Roman" w:cs="Times New Roman"/>
          <w:sz w:val="28"/>
          <w:szCs w:val="28"/>
          <w:lang w:val="en-US" w:eastAsia="uk-UA"/>
        </w:rPr>
        <w:t>URL</w:t>
      </w:r>
      <w:r w:rsidRPr="003D1BAE">
        <w:rPr>
          <w:rFonts w:ascii="Times New Roman" w:hAnsi="Times New Roman" w:cs="Times New Roman"/>
          <w:sz w:val="28"/>
          <w:szCs w:val="28"/>
          <w:lang w:eastAsia="uk-UA"/>
        </w:rPr>
        <w:t xml:space="preserve">: </w:t>
      </w:r>
      <w:r w:rsidRPr="003D1BAE">
        <w:rPr>
          <w:rFonts w:ascii="Times New Roman" w:hAnsi="Times New Roman" w:cs="Times New Roman"/>
          <w:sz w:val="28"/>
          <w:szCs w:val="28"/>
          <w:lang w:val="en-US" w:eastAsia="uk-UA"/>
        </w:rPr>
        <w:t>https</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zakon</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rada</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gov</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ua</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laws</w:t>
      </w:r>
      <w:r w:rsidRPr="003D1BAE">
        <w:rPr>
          <w:rFonts w:ascii="Times New Roman" w:hAnsi="Times New Roman" w:cs="Times New Roman"/>
          <w:sz w:val="28"/>
          <w:szCs w:val="28"/>
          <w:lang w:eastAsia="uk-UA"/>
        </w:rPr>
        <w:t>/</w:t>
      </w:r>
      <w:r w:rsidRPr="003D1BAE">
        <w:rPr>
          <w:rFonts w:ascii="Times New Roman" w:hAnsi="Times New Roman" w:cs="Times New Roman"/>
          <w:sz w:val="28"/>
          <w:szCs w:val="28"/>
          <w:lang w:val="en-US" w:eastAsia="uk-UA"/>
        </w:rPr>
        <w:t>show</w:t>
      </w:r>
      <w:r w:rsidRPr="003D1BAE">
        <w:rPr>
          <w:rFonts w:ascii="Times New Roman" w:hAnsi="Times New Roman" w:cs="Times New Roman"/>
          <w:sz w:val="28"/>
          <w:szCs w:val="28"/>
          <w:lang w:eastAsia="uk-UA"/>
        </w:rPr>
        <w:t>/533-20#</w:t>
      </w:r>
      <w:r w:rsidRPr="003D1BAE">
        <w:rPr>
          <w:rFonts w:ascii="Times New Roman" w:hAnsi="Times New Roman" w:cs="Times New Roman"/>
          <w:sz w:val="28"/>
          <w:szCs w:val="28"/>
          <w:lang w:val="en-US" w:eastAsia="uk-UA"/>
        </w:rPr>
        <w:t>Text</w:t>
      </w:r>
    </w:p>
    <w:p w:rsidR="003D1BAE" w:rsidRPr="003D1BAE" w:rsidRDefault="003D1BAE" w:rsidP="003D1BAE">
      <w:pPr>
        <w:pStyle w:val="a3"/>
        <w:numPr>
          <w:ilvl w:val="0"/>
          <w:numId w:val="1"/>
        </w:numPr>
        <w:tabs>
          <w:tab w:val="left" w:pos="1080"/>
        </w:tabs>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Про внесення змін до рішення восьмої сесії VIII скликання Чемеровецької селищної ради від 11.06.2021 р. № 3-8/2021 «Про встановлення єдиного податку для першої та другої груп платників на території Чемеровецької селищної ради»: Рішення Чемеровецької селищної ради від 06.08.2021 р. №6-10/2021. </w:t>
      </w:r>
      <w:r w:rsidRPr="003D1BAE">
        <w:rPr>
          <w:rFonts w:ascii="Times New Roman" w:hAnsi="Times New Roman" w:cs="Times New Roman"/>
          <w:sz w:val="28"/>
          <w:szCs w:val="28"/>
          <w:lang w:val="en-US"/>
        </w:rPr>
        <w:t>URL</w:t>
      </w:r>
      <w:r w:rsidRPr="003D1BAE">
        <w:rPr>
          <w:rFonts w:ascii="Times New Roman" w:hAnsi="Times New Roman" w:cs="Times New Roman"/>
          <w:sz w:val="28"/>
          <w:szCs w:val="28"/>
        </w:rPr>
        <w:t xml:space="preserve">: </w:t>
      </w:r>
      <w:r w:rsidRPr="003D1BAE">
        <w:rPr>
          <w:rFonts w:ascii="Times New Roman" w:hAnsi="Times New Roman" w:cs="Times New Roman"/>
          <w:sz w:val="28"/>
          <w:szCs w:val="28"/>
          <w:lang w:val="en-US"/>
        </w:rPr>
        <w:t>https</w:t>
      </w:r>
      <w:r w:rsidRPr="003D1BAE">
        <w:rPr>
          <w:rFonts w:ascii="Times New Roman" w:hAnsi="Times New Roman" w:cs="Times New Roman"/>
          <w:sz w:val="28"/>
          <w:szCs w:val="28"/>
        </w:rPr>
        <w:t>://</w:t>
      </w:r>
      <w:r w:rsidRPr="003D1BAE">
        <w:rPr>
          <w:rFonts w:ascii="Times New Roman" w:hAnsi="Times New Roman" w:cs="Times New Roman"/>
          <w:sz w:val="28"/>
          <w:szCs w:val="28"/>
          <w:lang w:val="en-US"/>
        </w:rPr>
        <w:t>chemerovecka</w:t>
      </w:r>
      <w:r w:rsidRPr="003D1BAE">
        <w:rPr>
          <w:rFonts w:ascii="Times New Roman" w:hAnsi="Times New Roman" w:cs="Times New Roman"/>
          <w:sz w:val="28"/>
          <w:szCs w:val="28"/>
        </w:rPr>
        <w:t>-</w:t>
      </w:r>
      <w:r w:rsidRPr="003D1BAE">
        <w:rPr>
          <w:rFonts w:ascii="Times New Roman" w:hAnsi="Times New Roman" w:cs="Times New Roman"/>
          <w:sz w:val="28"/>
          <w:szCs w:val="28"/>
          <w:lang w:val="en-US"/>
        </w:rPr>
        <w:t>gromada</w:t>
      </w:r>
      <w:r w:rsidRPr="003D1BAE">
        <w:rPr>
          <w:rFonts w:ascii="Times New Roman" w:hAnsi="Times New Roman" w:cs="Times New Roman"/>
          <w:sz w:val="28"/>
          <w:szCs w:val="28"/>
        </w:rPr>
        <w:t>.</w:t>
      </w:r>
      <w:r w:rsidRPr="003D1BAE">
        <w:rPr>
          <w:rFonts w:ascii="Times New Roman" w:hAnsi="Times New Roman" w:cs="Times New Roman"/>
          <w:sz w:val="28"/>
          <w:szCs w:val="28"/>
          <w:lang w:val="en-US"/>
        </w:rPr>
        <w:t>gov</w:t>
      </w:r>
      <w:r w:rsidRPr="003D1BAE">
        <w:rPr>
          <w:rFonts w:ascii="Times New Roman" w:hAnsi="Times New Roman" w:cs="Times New Roman"/>
          <w:sz w:val="28"/>
          <w:szCs w:val="28"/>
        </w:rPr>
        <w:t>.</w:t>
      </w:r>
      <w:r w:rsidRPr="003D1BAE">
        <w:rPr>
          <w:rFonts w:ascii="Times New Roman" w:hAnsi="Times New Roman" w:cs="Times New Roman"/>
          <w:sz w:val="28"/>
          <w:szCs w:val="28"/>
          <w:lang w:val="en-US"/>
        </w:rPr>
        <w:t>ua</w:t>
      </w:r>
      <w:r w:rsidRPr="003D1BAE">
        <w:rPr>
          <w:rFonts w:ascii="Times New Roman" w:hAnsi="Times New Roman" w:cs="Times New Roman"/>
          <w:sz w:val="28"/>
          <w:szCs w:val="28"/>
        </w:rPr>
        <w:t>/</w:t>
      </w:r>
      <w:r w:rsidRPr="003D1BAE">
        <w:rPr>
          <w:rFonts w:ascii="Times New Roman" w:hAnsi="Times New Roman" w:cs="Times New Roman"/>
          <w:sz w:val="28"/>
          <w:szCs w:val="28"/>
          <w:lang w:val="en-US"/>
        </w:rPr>
        <w:t>docs</w:t>
      </w:r>
      <w:r w:rsidRPr="003D1BAE">
        <w:rPr>
          <w:rFonts w:ascii="Times New Roman" w:hAnsi="Times New Roman" w:cs="Times New Roman"/>
          <w:sz w:val="28"/>
          <w:szCs w:val="28"/>
        </w:rPr>
        <w:t>/890677/</w:t>
      </w:r>
    </w:p>
    <w:p w:rsidR="003D1BAE" w:rsidRPr="003D1BAE" w:rsidRDefault="003D1BAE" w:rsidP="003D1BAE">
      <w:pPr>
        <w:pStyle w:val="a3"/>
        <w:numPr>
          <w:ilvl w:val="0"/>
          <w:numId w:val="1"/>
        </w:numPr>
        <w:tabs>
          <w:tab w:val="left" w:pos="1080"/>
        </w:tabs>
        <w:spacing w:after="0" w:line="360" w:lineRule="auto"/>
        <w:ind w:left="567" w:hanging="567"/>
        <w:jc w:val="both"/>
        <w:rPr>
          <w:rFonts w:ascii="Times New Roman" w:hAnsi="Times New Roman" w:cs="Times New Roman"/>
          <w:sz w:val="28"/>
          <w:szCs w:val="28"/>
        </w:rPr>
      </w:pPr>
      <w:r w:rsidRPr="003D1BAE">
        <w:rPr>
          <w:rStyle w:val="ae"/>
          <w:rFonts w:ascii="Times New Roman" w:hAnsi="Times New Roman" w:cs="Times New Roman"/>
          <w:b w:val="0"/>
          <w:sz w:val="28"/>
          <w:szCs w:val="28"/>
        </w:rPr>
        <w:t xml:space="preserve">Про внесення змін до рішення восьмої сесії VIII скликання Чемеровецької селищної ради від 11.06.2021 р. № 1-8/2021 «Про встановлення ставок та пільг із сплати земельного податку на території Чемеровецької селищної ради»: Рішення Чемеровецької селищної ради від 06.08.2021 р. № 4-10/2021. </w:t>
      </w:r>
      <w:r w:rsidRPr="003D1BAE">
        <w:rPr>
          <w:rStyle w:val="ae"/>
          <w:rFonts w:ascii="Times New Roman" w:hAnsi="Times New Roman" w:cs="Times New Roman"/>
          <w:b w:val="0"/>
          <w:sz w:val="28"/>
          <w:szCs w:val="28"/>
          <w:lang w:val="en-US"/>
        </w:rPr>
        <w:t>URL</w:t>
      </w:r>
      <w:r w:rsidRPr="003D1BAE">
        <w:rPr>
          <w:rStyle w:val="ae"/>
          <w:rFonts w:ascii="Times New Roman" w:hAnsi="Times New Roman" w:cs="Times New Roman"/>
          <w:b w:val="0"/>
          <w:sz w:val="28"/>
          <w:szCs w:val="28"/>
        </w:rPr>
        <w:t>: https://chemerovecka-gromada.gov.ua/docs/890679/</w:t>
      </w:r>
    </w:p>
    <w:p w:rsidR="003D1BAE" w:rsidRPr="003D1BAE" w:rsidRDefault="003D1BAE" w:rsidP="003D1BAE">
      <w:pPr>
        <w:pStyle w:val="a3"/>
        <w:numPr>
          <w:ilvl w:val="0"/>
          <w:numId w:val="1"/>
        </w:numPr>
        <w:tabs>
          <w:tab w:val="left" w:pos="1080"/>
        </w:tabs>
        <w:spacing w:after="0" w:line="360" w:lineRule="auto"/>
        <w:ind w:left="567" w:hanging="567"/>
        <w:jc w:val="both"/>
        <w:rPr>
          <w:rFonts w:ascii="Times New Roman" w:hAnsi="Times New Roman" w:cs="Times New Roman"/>
          <w:sz w:val="28"/>
          <w:szCs w:val="28"/>
        </w:rPr>
      </w:pPr>
      <w:r w:rsidRPr="003D1BAE">
        <w:rPr>
          <w:rStyle w:val="ae"/>
          <w:rFonts w:ascii="Times New Roman" w:hAnsi="Times New Roman" w:cs="Times New Roman"/>
          <w:b w:val="0"/>
          <w:sz w:val="28"/>
          <w:szCs w:val="28"/>
        </w:rPr>
        <w:t xml:space="preserve">Про внесення змін до рішення восьмої сесії VІІІ скликання Чемеровецької селищної ради від 11.06.2021 р. № 2-8/2021 «Про встановлення ставок та пільг із сплати податку на нерухоме майно, відмінне від земельної ділянки на території Чемеровецької селищної ради»: Рішення Чемеровецької селищної ради від 06.08.2021 р. № 5-10/2021. </w:t>
      </w:r>
      <w:r w:rsidRPr="003D1BAE">
        <w:rPr>
          <w:rStyle w:val="ae"/>
          <w:rFonts w:ascii="Times New Roman" w:hAnsi="Times New Roman" w:cs="Times New Roman"/>
          <w:b w:val="0"/>
          <w:sz w:val="28"/>
          <w:szCs w:val="28"/>
          <w:lang w:val="en-US"/>
        </w:rPr>
        <w:t>URL</w:t>
      </w:r>
      <w:r w:rsidRPr="003D1BAE">
        <w:rPr>
          <w:rStyle w:val="ae"/>
          <w:rFonts w:ascii="Times New Roman" w:hAnsi="Times New Roman" w:cs="Times New Roman"/>
          <w:b w:val="0"/>
          <w:sz w:val="28"/>
          <w:szCs w:val="28"/>
        </w:rPr>
        <w:t>: https://chemerovecka-gromada.gov.ua/docs/890681/</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Радіонов Ю. Д. Підвищення ефективності використання видатків бюджету в умовах економічних перетворень. </w:t>
      </w:r>
      <w:r w:rsidRPr="003D1BAE">
        <w:rPr>
          <w:rFonts w:ascii="Times New Roman" w:hAnsi="Times New Roman" w:cs="Times New Roman"/>
          <w:i/>
          <w:iCs/>
          <w:sz w:val="28"/>
          <w:szCs w:val="28"/>
        </w:rPr>
        <w:t>Підприємництво і торгівля.</w:t>
      </w:r>
      <w:r w:rsidRPr="003D1BAE">
        <w:rPr>
          <w:rFonts w:ascii="Times New Roman" w:hAnsi="Times New Roman" w:cs="Times New Roman"/>
          <w:sz w:val="28"/>
          <w:szCs w:val="28"/>
        </w:rPr>
        <w:t xml:space="preserve"> 2021. № 29. С. 53-60. </w:t>
      </w:r>
      <w:r w:rsidRPr="003D1BAE">
        <w:rPr>
          <w:rFonts w:ascii="Times New Roman" w:hAnsi="Times New Roman" w:cs="Times New Roman"/>
          <w:sz w:val="28"/>
          <w:szCs w:val="28"/>
          <w:lang w:val="en-US"/>
        </w:rPr>
        <w:t>URL</w:t>
      </w:r>
      <w:r w:rsidRPr="003D1BAE">
        <w:rPr>
          <w:rFonts w:ascii="Times New Roman" w:hAnsi="Times New Roman" w:cs="Times New Roman"/>
          <w:sz w:val="28"/>
          <w:szCs w:val="28"/>
        </w:rPr>
        <w:t>: https://doi.org/10.36477/2522-1256-2021-29-09</w:t>
      </w:r>
    </w:p>
    <w:p w:rsidR="003D1BAE" w:rsidRPr="003D1BAE" w:rsidRDefault="003D1BAE" w:rsidP="003D1BAE">
      <w:pPr>
        <w:pStyle w:val="a7"/>
        <w:numPr>
          <w:ilvl w:val="0"/>
          <w:numId w:val="1"/>
        </w:numPr>
        <w:tabs>
          <w:tab w:val="left" w:pos="1134"/>
        </w:tabs>
        <w:spacing w:line="360" w:lineRule="auto"/>
        <w:ind w:left="567" w:hanging="567"/>
        <w:jc w:val="both"/>
        <w:rPr>
          <w:rFonts w:ascii="Times New Roman" w:hAnsi="Times New Roman"/>
          <w:sz w:val="28"/>
          <w:szCs w:val="28"/>
        </w:rPr>
      </w:pPr>
      <w:r w:rsidRPr="003D1BAE">
        <w:rPr>
          <w:rFonts w:ascii="Times New Roman" w:hAnsi="Times New Roman"/>
          <w:sz w:val="28"/>
          <w:szCs w:val="28"/>
        </w:rPr>
        <w:t xml:space="preserve">Результати оцінювання управління фінансами об’єднаних територіальних громад / Кол. авт.: А. Бочі та ін.; Програма «Децентралізація приносить кращі результати та ефективність» (DOBRE). К., 2018. 22 с. </w:t>
      </w:r>
      <w:r w:rsidRPr="003D1BAE">
        <w:rPr>
          <w:rFonts w:ascii="Times New Roman" w:hAnsi="Times New Roman"/>
          <w:sz w:val="28"/>
          <w:szCs w:val="28"/>
          <w:lang w:val="pl-PL"/>
        </w:rPr>
        <w:t>URL</w:t>
      </w:r>
      <w:r w:rsidRPr="003D1BAE">
        <w:rPr>
          <w:rFonts w:ascii="Times New Roman" w:hAnsi="Times New Roman"/>
          <w:sz w:val="28"/>
          <w:szCs w:val="28"/>
        </w:rPr>
        <w:t xml:space="preserve">: </w:t>
      </w:r>
      <w:r w:rsidRPr="003D1BAE">
        <w:rPr>
          <w:rFonts w:ascii="Times New Roman" w:hAnsi="Times New Roman"/>
          <w:sz w:val="28"/>
          <w:szCs w:val="28"/>
        </w:rPr>
        <w:lastRenderedPageBreak/>
        <w:t>https://decentralization.gov.ua/uploads/library/file/273/DOBRE_UA_FMA_Results.pdf</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Рибіна Л. О. Удосконалення методів фінансування закладів освіти з місцевого бюджету. </w:t>
      </w:r>
      <w:r w:rsidRPr="003D1BAE">
        <w:rPr>
          <w:rFonts w:ascii="Times New Roman" w:hAnsi="Times New Roman" w:cs="Times New Roman"/>
          <w:i/>
          <w:sz w:val="28"/>
          <w:szCs w:val="28"/>
        </w:rPr>
        <w:t>Приазовський економічний вісник</w:t>
      </w:r>
      <w:r w:rsidRPr="003D1BAE">
        <w:rPr>
          <w:rFonts w:ascii="Times New Roman" w:hAnsi="Times New Roman" w:cs="Times New Roman"/>
          <w:sz w:val="28"/>
          <w:szCs w:val="28"/>
        </w:rPr>
        <w:t>. Запоріжжя: Класичний приватний університет, 2021. № 2 (25). С. 175-180.</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Ролінська А. Стан та динаміка фіскально-бюджетної політики у системі державного регулювання агропромислового сектору економіки України. </w:t>
      </w:r>
      <w:r w:rsidRPr="003D1BAE">
        <w:rPr>
          <w:rFonts w:ascii="Times New Roman" w:hAnsi="Times New Roman" w:cs="Times New Roman"/>
          <w:i/>
          <w:sz w:val="28"/>
          <w:szCs w:val="28"/>
          <w:lang w:eastAsia="uk-UA"/>
        </w:rPr>
        <w:t>Науковий вісник Одеського національного економічного університету</w:t>
      </w:r>
      <w:r w:rsidRPr="003D1BAE">
        <w:rPr>
          <w:rFonts w:ascii="Times New Roman" w:hAnsi="Times New Roman" w:cs="Times New Roman"/>
          <w:sz w:val="28"/>
          <w:szCs w:val="28"/>
          <w:lang w:eastAsia="uk-UA"/>
        </w:rPr>
        <w:t>. 2016. № 8. С. 128-139. URL: http://nbuv.gov.ua/UJRN/Nv_2016_8_12</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Сидор І. Бюджетна політика у функціонуванні соціальної сфери: проблеми визначення ефективності. </w:t>
      </w:r>
      <w:r w:rsidRPr="003D1BAE">
        <w:rPr>
          <w:rFonts w:ascii="Times New Roman" w:hAnsi="Times New Roman" w:cs="Times New Roman"/>
          <w:i/>
          <w:sz w:val="28"/>
          <w:szCs w:val="28"/>
          <w:lang w:eastAsia="uk-UA"/>
        </w:rPr>
        <w:t>Світ фінансів</w:t>
      </w:r>
      <w:r w:rsidRPr="003D1BAE">
        <w:rPr>
          <w:rFonts w:ascii="Times New Roman" w:hAnsi="Times New Roman" w:cs="Times New Roman"/>
          <w:sz w:val="28"/>
          <w:szCs w:val="28"/>
          <w:lang w:eastAsia="uk-UA"/>
        </w:rPr>
        <w:t>. 2016. Вип. 3. С. 31-41. URL: http://nbuv.gov.ua/UJRN/svitfin_2016_3_5</w:t>
      </w:r>
    </w:p>
    <w:p w:rsidR="003D1BAE" w:rsidRPr="003D1BAE" w:rsidRDefault="003D1BAE" w:rsidP="003D1BAE">
      <w:pPr>
        <w:pStyle w:val="21"/>
        <w:numPr>
          <w:ilvl w:val="0"/>
          <w:numId w:val="1"/>
        </w:numPr>
        <w:shd w:val="clear" w:color="auto" w:fill="auto"/>
        <w:tabs>
          <w:tab w:val="left" w:pos="9639"/>
        </w:tabs>
        <w:spacing w:after="0" w:line="360" w:lineRule="auto"/>
        <w:ind w:left="567" w:hanging="567"/>
        <w:rPr>
          <w:spacing w:val="0"/>
          <w:sz w:val="28"/>
          <w:szCs w:val="28"/>
        </w:rPr>
      </w:pPr>
      <w:r w:rsidRPr="003D1BAE">
        <w:rPr>
          <w:color w:val="000000"/>
          <w:spacing w:val="0"/>
          <w:sz w:val="28"/>
          <w:szCs w:val="28"/>
          <w:lang w:val="ru-RU" w:eastAsia="ru-RU" w:bidi="ru-RU"/>
        </w:rPr>
        <w:t>Симоненко </w:t>
      </w:r>
      <w:r w:rsidRPr="003D1BAE">
        <w:rPr>
          <w:color w:val="000000"/>
          <w:spacing w:val="0"/>
          <w:sz w:val="28"/>
          <w:szCs w:val="28"/>
          <w:lang w:eastAsia="uk-UA" w:bidi="uk-UA"/>
        </w:rPr>
        <w:t xml:space="preserve">В., Барановський О., Петренко П. Основи єдиної системи державного фінансового контролю в Україні (макроекономічний </w:t>
      </w:r>
      <w:r w:rsidRPr="003D1BAE">
        <w:rPr>
          <w:color w:val="000000"/>
          <w:spacing w:val="0"/>
          <w:sz w:val="28"/>
          <w:szCs w:val="28"/>
          <w:lang w:val="ru-RU" w:eastAsia="ru-RU" w:bidi="ru-RU"/>
        </w:rPr>
        <w:t>аспект)</w:t>
      </w:r>
      <w:r w:rsidRPr="003D1BAE">
        <w:rPr>
          <w:color w:val="000000"/>
          <w:spacing w:val="0"/>
          <w:sz w:val="28"/>
          <w:szCs w:val="28"/>
          <w:lang w:eastAsia="uk-UA" w:bidi="uk-UA"/>
        </w:rPr>
        <w:t>. К.: Знання України, 2006. 280 с.</w:t>
      </w:r>
    </w:p>
    <w:p w:rsidR="003D1BAE" w:rsidRPr="003D1BAE" w:rsidRDefault="003D1BAE" w:rsidP="003D1BAE">
      <w:pPr>
        <w:pStyle w:val="af"/>
        <w:numPr>
          <w:ilvl w:val="0"/>
          <w:numId w:val="1"/>
        </w:numPr>
        <w:spacing w:line="360" w:lineRule="auto"/>
        <w:ind w:left="567" w:hanging="567"/>
        <w:jc w:val="both"/>
        <w:rPr>
          <w:rFonts w:ascii="Times New Roman" w:hAnsi="Times New Roman"/>
          <w:sz w:val="28"/>
          <w:szCs w:val="28"/>
        </w:rPr>
      </w:pPr>
      <w:r w:rsidRPr="003D1BAE">
        <w:rPr>
          <w:rFonts w:ascii="Times New Roman" w:hAnsi="Times New Roman"/>
          <w:sz w:val="28"/>
          <w:szCs w:val="28"/>
        </w:rPr>
        <w:t>Словарь философских терминов / Науч. ред. проф. В. Г. Кузнецова. М.: ИНФРА-М, 2005. XVI, 731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Словник сучасної економічної теорії Макмілана. / За ред. Д. І. Пирса. Пер. англ. К.: Арт Ек, 2000. 640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Собчук С. І., Адаменко І. П. Формування видатків бюджету в умовах інституційної модернізації економіки. </w:t>
      </w:r>
      <w:r w:rsidRPr="003D1BAE">
        <w:rPr>
          <w:rFonts w:ascii="Times New Roman" w:hAnsi="Times New Roman" w:cs="Times New Roman"/>
          <w:i/>
          <w:sz w:val="28"/>
          <w:szCs w:val="28"/>
          <w:lang w:eastAsia="uk-UA"/>
        </w:rPr>
        <w:t>Бізнес-Інформ</w:t>
      </w:r>
      <w:r w:rsidRPr="003D1BAE">
        <w:rPr>
          <w:rFonts w:ascii="Times New Roman" w:hAnsi="Times New Roman" w:cs="Times New Roman"/>
          <w:sz w:val="28"/>
          <w:szCs w:val="28"/>
          <w:lang w:eastAsia="uk-UA"/>
        </w:rPr>
        <w:t>. 2018. № 5. С. 303–312.</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Соловйова Ю. М. Теоретичні засади та сутність бюджетної політики. </w:t>
      </w:r>
      <w:r w:rsidRPr="003D1BAE">
        <w:rPr>
          <w:rFonts w:ascii="Times New Roman" w:hAnsi="Times New Roman" w:cs="Times New Roman"/>
          <w:i/>
          <w:sz w:val="28"/>
          <w:szCs w:val="28"/>
          <w:lang w:eastAsia="uk-UA"/>
        </w:rPr>
        <w:t>Економічний часопис – XXI</w:t>
      </w:r>
      <w:r w:rsidRPr="003D1BAE">
        <w:rPr>
          <w:rFonts w:ascii="Times New Roman" w:hAnsi="Times New Roman" w:cs="Times New Roman"/>
          <w:sz w:val="28"/>
          <w:szCs w:val="28"/>
          <w:lang w:eastAsia="uk-UA"/>
        </w:rPr>
        <w:t>. 2013. № 5-6. С. 10-12.</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Тажетдинов С. Р. Об увеличении доходов региональних бюджетов. </w:t>
      </w:r>
      <w:r w:rsidRPr="003D1BAE">
        <w:rPr>
          <w:rFonts w:ascii="Times New Roman" w:hAnsi="Times New Roman" w:cs="Times New Roman"/>
          <w:i/>
          <w:sz w:val="28"/>
          <w:szCs w:val="28"/>
        </w:rPr>
        <w:t>Финанс</w:t>
      </w:r>
      <w:r w:rsidRPr="003D1BAE">
        <w:rPr>
          <w:rFonts w:ascii="Times New Roman" w:hAnsi="Times New Roman" w:cs="Times New Roman"/>
          <w:i/>
          <w:sz w:val="28"/>
          <w:szCs w:val="28"/>
          <w:lang w:val="ru-RU"/>
        </w:rPr>
        <w:t>ы</w:t>
      </w:r>
      <w:r w:rsidRPr="003D1BAE">
        <w:rPr>
          <w:rFonts w:ascii="Times New Roman" w:hAnsi="Times New Roman" w:cs="Times New Roman"/>
          <w:sz w:val="28"/>
          <w:szCs w:val="28"/>
        </w:rPr>
        <w:t>. 2007. № 3. С. 19-21.</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pacing w:val="-2"/>
          <w:sz w:val="28"/>
          <w:szCs w:val="28"/>
        </w:rPr>
      </w:pPr>
      <w:r w:rsidRPr="003D1BAE">
        <w:rPr>
          <w:rFonts w:ascii="Times New Roman" w:hAnsi="Times New Roman" w:cs="Times New Roman"/>
          <w:spacing w:val="-2"/>
          <w:sz w:val="28"/>
          <w:szCs w:val="28"/>
        </w:rPr>
        <w:t xml:space="preserve">Тарасюк М. Бюджетне планування в Україні. </w:t>
      </w:r>
      <w:r w:rsidRPr="003D1BAE">
        <w:rPr>
          <w:rFonts w:ascii="Times New Roman" w:hAnsi="Times New Roman" w:cs="Times New Roman"/>
          <w:i/>
          <w:spacing w:val="-2"/>
          <w:sz w:val="28"/>
          <w:szCs w:val="28"/>
        </w:rPr>
        <w:t>Вісник КНТЕУ</w:t>
      </w:r>
      <w:r w:rsidRPr="003D1BAE">
        <w:rPr>
          <w:rFonts w:ascii="Times New Roman" w:hAnsi="Times New Roman" w:cs="Times New Roman"/>
          <w:spacing w:val="-2"/>
          <w:sz w:val="28"/>
          <w:szCs w:val="28"/>
        </w:rPr>
        <w:t>. 2018. № 2. С. 19-31.</w:t>
      </w:r>
    </w:p>
    <w:p w:rsidR="003D1BAE" w:rsidRPr="003D1BAE" w:rsidRDefault="003D1BAE" w:rsidP="003D1BAE">
      <w:pPr>
        <w:pStyle w:val="a7"/>
        <w:numPr>
          <w:ilvl w:val="0"/>
          <w:numId w:val="1"/>
        </w:numPr>
        <w:tabs>
          <w:tab w:val="left" w:pos="1134"/>
        </w:tabs>
        <w:spacing w:line="360" w:lineRule="auto"/>
        <w:ind w:left="567" w:hanging="567"/>
        <w:jc w:val="both"/>
        <w:rPr>
          <w:rFonts w:ascii="Times New Roman" w:hAnsi="Times New Roman"/>
          <w:sz w:val="28"/>
          <w:szCs w:val="28"/>
        </w:rPr>
      </w:pPr>
      <w:r w:rsidRPr="003D1BAE">
        <w:rPr>
          <w:rFonts w:ascii="Times New Roman" w:hAnsi="Times New Roman"/>
          <w:sz w:val="28"/>
          <w:szCs w:val="28"/>
        </w:rPr>
        <w:lastRenderedPageBreak/>
        <w:t xml:space="preserve">Татарин Н., Голік В. Місцеві бюджети як основа самостійності місцевого самоврядування. </w:t>
      </w:r>
      <w:r w:rsidRPr="003D1BAE">
        <w:rPr>
          <w:rFonts w:ascii="Times New Roman" w:hAnsi="Times New Roman"/>
          <w:i/>
          <w:sz w:val="28"/>
          <w:szCs w:val="28"/>
        </w:rPr>
        <w:t xml:space="preserve">Науковий вісник Міжнародного гуманітарного університету. </w:t>
      </w:r>
      <w:r w:rsidRPr="003D1BAE">
        <w:rPr>
          <w:rFonts w:ascii="Times New Roman" w:hAnsi="Times New Roman"/>
          <w:sz w:val="28"/>
          <w:szCs w:val="28"/>
        </w:rPr>
        <w:t>Серія: Економіка і менеджмент. 2017. Вип. 23(2). С. 72-75</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Федосов В., Опарін В., Льовочкін С. Фінансова реструктуризація в Україні: проблеми і напрями: Монографія / За наук. ред. В. Федосова. К.: КНЕУ, 2002. 387 с.</w:t>
      </w:r>
    </w:p>
    <w:p w:rsidR="003D1BAE" w:rsidRPr="003D1BAE" w:rsidRDefault="003D1BAE" w:rsidP="003D1BAE">
      <w:pPr>
        <w:pStyle w:val="af"/>
        <w:numPr>
          <w:ilvl w:val="0"/>
          <w:numId w:val="1"/>
        </w:numPr>
        <w:spacing w:line="360" w:lineRule="auto"/>
        <w:ind w:left="567" w:hanging="567"/>
        <w:jc w:val="both"/>
        <w:rPr>
          <w:rFonts w:ascii="Times New Roman" w:hAnsi="Times New Roman"/>
          <w:sz w:val="28"/>
          <w:szCs w:val="28"/>
        </w:rPr>
      </w:pPr>
      <w:r w:rsidRPr="003D1BAE">
        <w:rPr>
          <w:rFonts w:ascii="Times New Roman" w:hAnsi="Times New Roman"/>
          <w:sz w:val="28"/>
          <w:szCs w:val="28"/>
        </w:rPr>
        <w:t>Философский энциклопедический словарь. М.: ИНФРА-М., 1999. 576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Форкун І. В. Бюджетна політика: особливості формування та реалізації в Україні. </w:t>
      </w:r>
      <w:r w:rsidRPr="003D1BAE">
        <w:rPr>
          <w:rFonts w:ascii="Times New Roman" w:hAnsi="Times New Roman" w:cs="Times New Roman"/>
          <w:i/>
          <w:sz w:val="28"/>
          <w:szCs w:val="28"/>
          <w:lang w:eastAsia="uk-UA"/>
        </w:rPr>
        <w:t>Вісник Хмельницького національного університету.</w:t>
      </w:r>
      <w:r w:rsidRPr="003D1BAE">
        <w:rPr>
          <w:rFonts w:ascii="Times New Roman" w:hAnsi="Times New Roman" w:cs="Times New Roman"/>
          <w:sz w:val="28"/>
          <w:szCs w:val="28"/>
          <w:lang w:eastAsia="uk-UA"/>
        </w:rPr>
        <w:t xml:space="preserve"> Економічні науки. 2016. № 4 (2). С. 251-255. URL: http://nbuv.gov.ua/UJRN/Vchnu_ekon_2016_4(2)_54</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Формування і функціонування бюджетної системи України. Монографія / Булгакова С. О. та ін.; за заг. ред. А. Мазаракі. К.: Книга, 2003. 344 с.</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Чимшит С. Особливості впливу макроекономічних показників на формування бюджетної політики України. </w:t>
      </w:r>
      <w:r w:rsidRPr="003D1BAE">
        <w:rPr>
          <w:rFonts w:ascii="Times New Roman" w:hAnsi="Times New Roman" w:cs="Times New Roman"/>
          <w:i/>
          <w:sz w:val="28"/>
          <w:szCs w:val="28"/>
          <w:lang w:eastAsia="uk-UA"/>
        </w:rPr>
        <w:t>Журнал європейської економіки.</w:t>
      </w:r>
      <w:r w:rsidRPr="003D1BAE">
        <w:rPr>
          <w:rFonts w:ascii="Times New Roman" w:hAnsi="Times New Roman" w:cs="Times New Roman"/>
          <w:sz w:val="28"/>
          <w:szCs w:val="28"/>
          <w:lang w:eastAsia="uk-UA"/>
        </w:rPr>
        <w:t xml:space="preserve"> 2019. Т. 18, № 3. С. 247-264. URL: http://nbuv.gov.ua/UJRN/jee_2019_18_3_3</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lang w:eastAsia="uk-UA"/>
        </w:rPr>
        <w:t xml:space="preserve">Чугунов І. Я., Собчук С. І. Формування бюджетної політики економічного розвитку України. </w:t>
      </w:r>
      <w:r w:rsidRPr="003D1BAE">
        <w:rPr>
          <w:rFonts w:ascii="Times New Roman" w:hAnsi="Times New Roman" w:cs="Times New Roman"/>
          <w:i/>
          <w:sz w:val="28"/>
          <w:szCs w:val="28"/>
          <w:lang w:eastAsia="uk-UA"/>
        </w:rPr>
        <w:t>Вісник Київського національного торговельно-економічного університету</w:t>
      </w:r>
      <w:r w:rsidRPr="003D1BAE">
        <w:rPr>
          <w:rFonts w:ascii="Times New Roman" w:hAnsi="Times New Roman" w:cs="Times New Roman"/>
          <w:sz w:val="28"/>
          <w:szCs w:val="28"/>
          <w:lang w:eastAsia="uk-UA"/>
        </w:rPr>
        <w:t>. 2018. № 3. С. 103-116.</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lang w:eastAsia="uk-UA"/>
        </w:rPr>
      </w:pPr>
      <w:r w:rsidRPr="003D1BAE">
        <w:rPr>
          <w:rFonts w:ascii="Times New Roman" w:hAnsi="Times New Roman" w:cs="Times New Roman"/>
          <w:sz w:val="28"/>
          <w:szCs w:val="28"/>
          <w:lang w:eastAsia="uk-UA"/>
        </w:rPr>
        <w:t xml:space="preserve">Чугунов І. Я., Макогон В. Д. Бюджетна стратегія в умовах економічних перетворень. </w:t>
      </w:r>
      <w:r w:rsidRPr="003D1BAE">
        <w:rPr>
          <w:rFonts w:ascii="Times New Roman" w:hAnsi="Times New Roman" w:cs="Times New Roman"/>
          <w:i/>
          <w:sz w:val="28"/>
          <w:szCs w:val="28"/>
          <w:lang w:eastAsia="uk-UA"/>
        </w:rPr>
        <w:t>Вісник Київського національного торговельно-економічного університету</w:t>
      </w:r>
      <w:r w:rsidRPr="003D1BAE">
        <w:rPr>
          <w:rFonts w:ascii="Times New Roman" w:hAnsi="Times New Roman" w:cs="Times New Roman"/>
          <w:sz w:val="28"/>
          <w:szCs w:val="28"/>
          <w:lang w:eastAsia="uk-UA"/>
        </w:rPr>
        <w:t>. 2018. № 5. С. 5-18.</w:t>
      </w:r>
    </w:p>
    <w:p w:rsidR="003D1BAE" w:rsidRPr="003D1BAE" w:rsidRDefault="003D1BAE" w:rsidP="003D1BAE">
      <w:pPr>
        <w:pStyle w:val="a3"/>
        <w:numPr>
          <w:ilvl w:val="0"/>
          <w:numId w:val="1"/>
        </w:numPr>
        <w:tabs>
          <w:tab w:val="left" w:pos="1134"/>
        </w:tabs>
        <w:autoSpaceDE w:val="0"/>
        <w:autoSpaceDN w:val="0"/>
        <w:adjustRightInd w:val="0"/>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Шериф з благоустрою працює у Широківській ОТГ. </w:t>
      </w:r>
      <w:r w:rsidRPr="003D1BAE">
        <w:rPr>
          <w:rFonts w:ascii="Times New Roman" w:hAnsi="Times New Roman" w:cs="Times New Roman"/>
          <w:sz w:val="28"/>
          <w:szCs w:val="28"/>
          <w:lang w:val="pl-PL"/>
        </w:rPr>
        <w:t>URL</w:t>
      </w:r>
      <w:r w:rsidRPr="003D1BAE">
        <w:rPr>
          <w:rFonts w:ascii="Times New Roman" w:hAnsi="Times New Roman" w:cs="Times New Roman"/>
          <w:sz w:val="28"/>
          <w:szCs w:val="28"/>
        </w:rPr>
        <w:t>: https://www.auc.org.ua/uspihy/sheryf-z-blagoustroyu-pracyuye-u-shyrokivskiy-otg</w:t>
      </w:r>
    </w:p>
    <w:p w:rsidR="003D1BAE" w:rsidRPr="003D1BAE" w:rsidRDefault="003D1BAE" w:rsidP="003D1BAE">
      <w:pPr>
        <w:pStyle w:val="a3"/>
        <w:numPr>
          <w:ilvl w:val="0"/>
          <w:numId w:val="1"/>
        </w:numPr>
        <w:spacing w:after="0" w:line="360" w:lineRule="auto"/>
        <w:ind w:left="567" w:hanging="567"/>
        <w:jc w:val="both"/>
        <w:rPr>
          <w:rFonts w:ascii="Times New Roman" w:hAnsi="Times New Roman" w:cs="Times New Roman"/>
          <w:sz w:val="28"/>
          <w:szCs w:val="28"/>
        </w:rPr>
      </w:pPr>
      <w:r w:rsidRPr="003D1BAE">
        <w:rPr>
          <w:rFonts w:ascii="Times New Roman" w:hAnsi="Times New Roman" w:cs="Times New Roman"/>
          <w:sz w:val="28"/>
          <w:szCs w:val="28"/>
        </w:rPr>
        <w:t xml:space="preserve">Ярошенко Ф. О. Бюджетна політика та економічне зростання: від моделей до реалій. </w:t>
      </w:r>
      <w:r w:rsidRPr="003D1BAE">
        <w:rPr>
          <w:rFonts w:ascii="Times New Roman" w:hAnsi="Times New Roman" w:cs="Times New Roman"/>
          <w:i/>
          <w:sz w:val="28"/>
          <w:szCs w:val="28"/>
        </w:rPr>
        <w:t>Наукові праці НДФІ</w:t>
      </w:r>
      <w:r w:rsidRPr="003D1BAE">
        <w:rPr>
          <w:rFonts w:ascii="Times New Roman" w:hAnsi="Times New Roman" w:cs="Times New Roman"/>
          <w:sz w:val="28"/>
          <w:szCs w:val="28"/>
        </w:rPr>
        <w:t>. 2004. Вип. 1-2 (24-25). С. 3-10.</w:t>
      </w:r>
    </w:p>
    <w:p w:rsidR="003D1BAE" w:rsidRPr="003D1BAE" w:rsidRDefault="003D1BAE" w:rsidP="003D1BAE">
      <w:pPr>
        <w:tabs>
          <w:tab w:val="left" w:pos="1134"/>
        </w:tabs>
        <w:autoSpaceDE w:val="0"/>
        <w:autoSpaceDN w:val="0"/>
        <w:adjustRightInd w:val="0"/>
        <w:spacing w:after="0" w:line="360" w:lineRule="auto"/>
        <w:ind w:firstLine="709"/>
        <w:jc w:val="both"/>
        <w:rPr>
          <w:rFonts w:ascii="Times New Roman" w:hAnsi="Times New Roman" w:cs="Times New Roman"/>
          <w:sz w:val="28"/>
          <w:szCs w:val="28"/>
          <w:highlight w:val="yellow"/>
        </w:rPr>
      </w:pPr>
    </w:p>
    <w:p w:rsidR="003D1BAE" w:rsidRPr="003D1BAE" w:rsidRDefault="003D1BAE" w:rsidP="003D1BAE">
      <w:pPr>
        <w:tabs>
          <w:tab w:val="left" w:pos="284"/>
        </w:tabs>
        <w:spacing w:after="0" w:line="360" w:lineRule="auto"/>
        <w:ind w:firstLine="709"/>
        <w:jc w:val="both"/>
        <w:rPr>
          <w:rFonts w:ascii="Times New Roman" w:hAnsi="Times New Roman" w:cs="Times New Roman"/>
        </w:rPr>
      </w:pPr>
    </w:p>
    <w:sectPr w:rsidR="003D1BAE" w:rsidRPr="003D1BAE" w:rsidSect="00FB03CB">
      <w:headerReference w:type="default" r:id="rId7"/>
      <w:pgSz w:w="11906" w:h="16838"/>
      <w:pgMar w:top="1134" w:right="851" w:bottom="1134" w:left="1418" w:header="567" w:footer="56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7561" w:rsidRDefault="00C17561" w:rsidP="00D24A75">
      <w:pPr>
        <w:spacing w:after="0" w:line="240" w:lineRule="auto"/>
      </w:pPr>
      <w:r>
        <w:separator/>
      </w:r>
    </w:p>
  </w:endnote>
  <w:endnote w:type="continuationSeparator" w:id="1">
    <w:p w:rsidR="00C17561" w:rsidRDefault="00C17561" w:rsidP="00D24A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7561" w:rsidRDefault="00C17561" w:rsidP="00D24A75">
      <w:pPr>
        <w:spacing w:after="0" w:line="240" w:lineRule="auto"/>
      </w:pPr>
      <w:r>
        <w:separator/>
      </w:r>
    </w:p>
  </w:footnote>
  <w:footnote w:type="continuationSeparator" w:id="1">
    <w:p w:rsidR="00C17561" w:rsidRDefault="00C17561" w:rsidP="00D24A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899360"/>
      <w:docPartObj>
        <w:docPartGallery w:val="Page Numbers (Top of Page)"/>
        <w:docPartUnique/>
      </w:docPartObj>
    </w:sdtPr>
    <w:sdtEndPr>
      <w:rPr>
        <w:rFonts w:ascii="Times New Roman" w:hAnsi="Times New Roman" w:cs="Times New Roman"/>
        <w:sz w:val="24"/>
        <w:szCs w:val="24"/>
      </w:rPr>
    </w:sdtEndPr>
    <w:sdtContent>
      <w:p w:rsidR="00EC2313" w:rsidRPr="00EC2313" w:rsidRDefault="000765BB" w:rsidP="00EC2313">
        <w:pPr>
          <w:pStyle w:val="a8"/>
          <w:jc w:val="right"/>
          <w:rPr>
            <w:rFonts w:ascii="Times New Roman" w:hAnsi="Times New Roman" w:cs="Times New Roman"/>
            <w:sz w:val="24"/>
            <w:szCs w:val="24"/>
          </w:rPr>
        </w:pPr>
        <w:r w:rsidRPr="00EC2313">
          <w:rPr>
            <w:rFonts w:ascii="Times New Roman" w:hAnsi="Times New Roman" w:cs="Times New Roman"/>
            <w:sz w:val="24"/>
            <w:szCs w:val="24"/>
          </w:rPr>
          <w:fldChar w:fldCharType="begin"/>
        </w:r>
        <w:r w:rsidR="00C94672" w:rsidRPr="00EC2313">
          <w:rPr>
            <w:rFonts w:ascii="Times New Roman" w:hAnsi="Times New Roman" w:cs="Times New Roman"/>
            <w:sz w:val="24"/>
            <w:szCs w:val="24"/>
          </w:rPr>
          <w:instrText xml:space="preserve"> PAGE   \* MERGEFORMAT </w:instrText>
        </w:r>
        <w:r w:rsidRPr="00EC2313">
          <w:rPr>
            <w:rFonts w:ascii="Times New Roman" w:hAnsi="Times New Roman" w:cs="Times New Roman"/>
            <w:sz w:val="24"/>
            <w:szCs w:val="24"/>
          </w:rPr>
          <w:fldChar w:fldCharType="separate"/>
        </w:r>
        <w:r w:rsidR="00FB03CB">
          <w:rPr>
            <w:rFonts w:ascii="Times New Roman" w:hAnsi="Times New Roman" w:cs="Times New Roman"/>
            <w:noProof/>
            <w:sz w:val="24"/>
            <w:szCs w:val="24"/>
          </w:rPr>
          <w:t>87</w:t>
        </w:r>
        <w:r w:rsidRPr="00EC2313">
          <w:rPr>
            <w:rFonts w:ascii="Times New Roman" w:hAnsi="Times New Roman" w:cs="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472F8"/>
    <w:multiLevelType w:val="hybridMultilevel"/>
    <w:tmpl w:val="A5321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B45140C"/>
    <w:multiLevelType w:val="hybridMultilevel"/>
    <w:tmpl w:val="934C4F84"/>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B7117F8"/>
    <w:multiLevelType w:val="hybridMultilevel"/>
    <w:tmpl w:val="93022C18"/>
    <w:lvl w:ilvl="0" w:tplc="6D2EDB2A">
      <w:start w:val="3"/>
      <w:numFmt w:val="bullet"/>
      <w:lvlText w:val="–"/>
      <w:lvlJc w:val="left"/>
      <w:pPr>
        <w:tabs>
          <w:tab w:val="num" w:pos="1287"/>
        </w:tabs>
        <w:ind w:left="1287" w:hanging="360"/>
      </w:pPr>
      <w:rPr>
        <w:rFonts w:ascii="Times New Roman" w:eastAsia="Times New Roman" w:hAnsi="Times New Roman" w:hint="default"/>
        <w:b/>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3">
    <w:nsid w:val="0C345C81"/>
    <w:multiLevelType w:val="hybridMultilevel"/>
    <w:tmpl w:val="2F1467FA"/>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19B12CE"/>
    <w:multiLevelType w:val="hybridMultilevel"/>
    <w:tmpl w:val="B0C04A60"/>
    <w:lvl w:ilvl="0" w:tplc="AC884B22">
      <w:start w:val="1"/>
      <w:numFmt w:val="decimal"/>
      <w:lvlText w:val="%1)"/>
      <w:lvlJc w:val="left"/>
      <w:pPr>
        <w:ind w:left="785" w:hanging="360"/>
      </w:pPr>
      <w:rPr>
        <w:rFonts w:cs="Times New Roman" w:hint="default"/>
      </w:rPr>
    </w:lvl>
    <w:lvl w:ilvl="1" w:tplc="04220019" w:tentative="1">
      <w:start w:val="1"/>
      <w:numFmt w:val="lowerLetter"/>
      <w:lvlText w:val="%2."/>
      <w:lvlJc w:val="left"/>
      <w:pPr>
        <w:ind w:left="1505" w:hanging="360"/>
      </w:pPr>
      <w:rPr>
        <w:rFonts w:cs="Times New Roman"/>
      </w:rPr>
    </w:lvl>
    <w:lvl w:ilvl="2" w:tplc="0422001B" w:tentative="1">
      <w:start w:val="1"/>
      <w:numFmt w:val="lowerRoman"/>
      <w:lvlText w:val="%3."/>
      <w:lvlJc w:val="right"/>
      <w:pPr>
        <w:ind w:left="2225" w:hanging="180"/>
      </w:pPr>
      <w:rPr>
        <w:rFonts w:cs="Times New Roman"/>
      </w:rPr>
    </w:lvl>
    <w:lvl w:ilvl="3" w:tplc="0422000F" w:tentative="1">
      <w:start w:val="1"/>
      <w:numFmt w:val="decimal"/>
      <w:lvlText w:val="%4."/>
      <w:lvlJc w:val="left"/>
      <w:pPr>
        <w:ind w:left="2945" w:hanging="360"/>
      </w:pPr>
      <w:rPr>
        <w:rFonts w:cs="Times New Roman"/>
      </w:rPr>
    </w:lvl>
    <w:lvl w:ilvl="4" w:tplc="04220019" w:tentative="1">
      <w:start w:val="1"/>
      <w:numFmt w:val="lowerLetter"/>
      <w:lvlText w:val="%5."/>
      <w:lvlJc w:val="left"/>
      <w:pPr>
        <w:ind w:left="3665" w:hanging="360"/>
      </w:pPr>
      <w:rPr>
        <w:rFonts w:cs="Times New Roman"/>
      </w:rPr>
    </w:lvl>
    <w:lvl w:ilvl="5" w:tplc="0422001B" w:tentative="1">
      <w:start w:val="1"/>
      <w:numFmt w:val="lowerRoman"/>
      <w:lvlText w:val="%6."/>
      <w:lvlJc w:val="right"/>
      <w:pPr>
        <w:ind w:left="4385" w:hanging="180"/>
      </w:pPr>
      <w:rPr>
        <w:rFonts w:cs="Times New Roman"/>
      </w:rPr>
    </w:lvl>
    <w:lvl w:ilvl="6" w:tplc="0422000F" w:tentative="1">
      <w:start w:val="1"/>
      <w:numFmt w:val="decimal"/>
      <w:lvlText w:val="%7."/>
      <w:lvlJc w:val="left"/>
      <w:pPr>
        <w:ind w:left="5105" w:hanging="360"/>
      </w:pPr>
      <w:rPr>
        <w:rFonts w:cs="Times New Roman"/>
      </w:rPr>
    </w:lvl>
    <w:lvl w:ilvl="7" w:tplc="04220019" w:tentative="1">
      <w:start w:val="1"/>
      <w:numFmt w:val="lowerLetter"/>
      <w:lvlText w:val="%8."/>
      <w:lvlJc w:val="left"/>
      <w:pPr>
        <w:ind w:left="5825" w:hanging="360"/>
      </w:pPr>
      <w:rPr>
        <w:rFonts w:cs="Times New Roman"/>
      </w:rPr>
    </w:lvl>
    <w:lvl w:ilvl="8" w:tplc="0422001B" w:tentative="1">
      <w:start w:val="1"/>
      <w:numFmt w:val="lowerRoman"/>
      <w:lvlText w:val="%9."/>
      <w:lvlJc w:val="right"/>
      <w:pPr>
        <w:ind w:left="6545" w:hanging="180"/>
      </w:pPr>
      <w:rPr>
        <w:rFonts w:cs="Times New Roman"/>
      </w:rPr>
    </w:lvl>
  </w:abstractNum>
  <w:abstractNum w:abstractNumId="5">
    <w:nsid w:val="15522307"/>
    <w:multiLevelType w:val="multilevel"/>
    <w:tmpl w:val="F53A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571975"/>
    <w:multiLevelType w:val="hybridMultilevel"/>
    <w:tmpl w:val="B944D872"/>
    <w:lvl w:ilvl="0" w:tplc="6D2EDB2A">
      <w:start w:val="3"/>
      <w:numFmt w:val="bullet"/>
      <w:lvlText w:val="–"/>
      <w:lvlJc w:val="left"/>
      <w:pPr>
        <w:tabs>
          <w:tab w:val="num" w:pos="1287"/>
        </w:tabs>
        <w:ind w:left="1287"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
    <w:nsid w:val="1A973658"/>
    <w:multiLevelType w:val="multilevel"/>
    <w:tmpl w:val="F5BCB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CD5099"/>
    <w:multiLevelType w:val="multilevel"/>
    <w:tmpl w:val="6BEA7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FE1A10"/>
    <w:multiLevelType w:val="hybridMultilevel"/>
    <w:tmpl w:val="38B28180"/>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24D673E"/>
    <w:multiLevelType w:val="multilevel"/>
    <w:tmpl w:val="0D9A1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62B5945"/>
    <w:multiLevelType w:val="hybridMultilevel"/>
    <w:tmpl w:val="640815A2"/>
    <w:lvl w:ilvl="0" w:tplc="6D2EDB2A">
      <w:start w:val="3"/>
      <w:numFmt w:val="bullet"/>
      <w:lvlText w:val="–"/>
      <w:lvlJc w:val="left"/>
      <w:pPr>
        <w:tabs>
          <w:tab w:val="num" w:pos="1287"/>
        </w:tabs>
        <w:ind w:left="1287" w:hanging="360"/>
      </w:pPr>
      <w:rPr>
        <w:rFonts w:ascii="Times New Roman" w:eastAsia="Times New Roman" w:hAnsi="Times New Roman" w:hint="default"/>
      </w:rPr>
    </w:lvl>
    <w:lvl w:ilvl="1" w:tplc="5414DC38">
      <w:numFmt w:val="bullet"/>
      <w:lvlText w:val="-"/>
      <w:lvlJc w:val="left"/>
      <w:pPr>
        <w:tabs>
          <w:tab w:val="num" w:pos="3057"/>
        </w:tabs>
        <w:ind w:left="3057" w:hanging="1410"/>
      </w:pPr>
      <w:rPr>
        <w:rFonts w:ascii="Times New Roman" w:eastAsia="Times New Roman" w:hAnsi="Times New Roman" w:hint="default"/>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2">
    <w:nsid w:val="39DB3D33"/>
    <w:multiLevelType w:val="multilevel"/>
    <w:tmpl w:val="3294C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D6335A4"/>
    <w:multiLevelType w:val="hybridMultilevel"/>
    <w:tmpl w:val="3E944832"/>
    <w:lvl w:ilvl="0" w:tplc="6D2EDB2A">
      <w:start w:val="3"/>
      <w:numFmt w:val="bullet"/>
      <w:lvlText w:val="–"/>
      <w:lvlJc w:val="left"/>
      <w:pPr>
        <w:tabs>
          <w:tab w:val="num" w:pos="1287"/>
        </w:tabs>
        <w:ind w:left="1287" w:hanging="360"/>
      </w:pPr>
      <w:rPr>
        <w:rFonts w:ascii="Times New Roman" w:eastAsia="Times New Roman" w:hAnsi="Times New Roman" w:hint="default"/>
        <w:b/>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4">
    <w:nsid w:val="3EDA6002"/>
    <w:multiLevelType w:val="hybridMultilevel"/>
    <w:tmpl w:val="CD6C5DBE"/>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32A5B84"/>
    <w:multiLevelType w:val="hybridMultilevel"/>
    <w:tmpl w:val="5AC81604"/>
    <w:lvl w:ilvl="0" w:tplc="6D2EDB2A">
      <w:start w:val="3"/>
      <w:numFmt w:val="bullet"/>
      <w:lvlText w:val="–"/>
      <w:lvlJc w:val="left"/>
      <w:pPr>
        <w:tabs>
          <w:tab w:val="num" w:pos="1440"/>
        </w:tabs>
        <w:ind w:left="144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6">
    <w:nsid w:val="45062A12"/>
    <w:multiLevelType w:val="hybridMultilevel"/>
    <w:tmpl w:val="4FBE9D44"/>
    <w:lvl w:ilvl="0" w:tplc="6D2EDB2A">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46D067A4"/>
    <w:multiLevelType w:val="hybridMultilevel"/>
    <w:tmpl w:val="B5B0A3E6"/>
    <w:lvl w:ilvl="0" w:tplc="6D2EDB2A">
      <w:start w:val="3"/>
      <w:numFmt w:val="bullet"/>
      <w:lvlText w:val="–"/>
      <w:lvlJc w:val="left"/>
      <w:pPr>
        <w:tabs>
          <w:tab w:val="num" w:pos="1287"/>
        </w:tabs>
        <w:ind w:left="1287" w:hanging="360"/>
      </w:pPr>
      <w:rPr>
        <w:rFonts w:ascii="Times New Roman" w:eastAsia="Times New Roman" w:hAnsi="Times New Roman" w:hint="default"/>
        <w:b/>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8">
    <w:nsid w:val="49992409"/>
    <w:multiLevelType w:val="hybridMultilevel"/>
    <w:tmpl w:val="36B67438"/>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C7A2BA0"/>
    <w:multiLevelType w:val="hybridMultilevel"/>
    <w:tmpl w:val="AD7E64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3553A9F"/>
    <w:multiLevelType w:val="hybridMultilevel"/>
    <w:tmpl w:val="662C3F2A"/>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4ED5DAF"/>
    <w:multiLevelType w:val="multilevel"/>
    <w:tmpl w:val="8B0AA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3630F43"/>
    <w:multiLevelType w:val="hybridMultilevel"/>
    <w:tmpl w:val="48380664"/>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54677E9"/>
    <w:multiLevelType w:val="hybridMultilevel"/>
    <w:tmpl w:val="FCCEF00A"/>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90653B5"/>
    <w:multiLevelType w:val="hybridMultilevel"/>
    <w:tmpl w:val="315C0E3A"/>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6D17D31"/>
    <w:multiLevelType w:val="hybridMultilevel"/>
    <w:tmpl w:val="4B22BD8A"/>
    <w:lvl w:ilvl="0" w:tplc="6D2EDB2A">
      <w:start w:val="3"/>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E862FBB"/>
    <w:multiLevelType w:val="hybridMultilevel"/>
    <w:tmpl w:val="C3A424D0"/>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0"/>
  </w:num>
  <w:num w:numId="11">
    <w:abstractNumId w:val="18"/>
  </w:num>
  <w:num w:numId="12">
    <w:abstractNumId w:val="9"/>
  </w:num>
  <w:num w:numId="13">
    <w:abstractNumId w:val="24"/>
  </w:num>
  <w:num w:numId="14">
    <w:abstractNumId w:val="22"/>
  </w:num>
  <w:num w:numId="15">
    <w:abstractNumId w:val="25"/>
  </w:num>
  <w:num w:numId="16">
    <w:abstractNumId w:val="14"/>
  </w:num>
  <w:num w:numId="17">
    <w:abstractNumId w:val="3"/>
  </w:num>
  <w:num w:numId="18">
    <w:abstractNumId w:val="1"/>
  </w:num>
  <w:num w:numId="19">
    <w:abstractNumId w:val="26"/>
  </w:num>
  <w:num w:numId="20">
    <w:abstractNumId w:val="7"/>
  </w:num>
  <w:num w:numId="21">
    <w:abstractNumId w:val="10"/>
  </w:num>
  <w:num w:numId="22">
    <w:abstractNumId w:val="8"/>
  </w:num>
  <w:num w:numId="23">
    <w:abstractNumId w:val="21"/>
  </w:num>
  <w:num w:numId="24">
    <w:abstractNumId w:val="5"/>
  </w:num>
  <w:num w:numId="25">
    <w:abstractNumId w:val="12"/>
  </w:num>
  <w:num w:numId="26">
    <w:abstractNumId w:val="23"/>
  </w:num>
  <w:num w:numId="27">
    <w:abstractNumId w:val="4"/>
  </w:num>
  <w:num w:numId="2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8"/>
  <w:defaultTabStop w:val="708"/>
  <w:hyphenationZone w:val="425"/>
  <w:characterSpacingControl w:val="doNotCompress"/>
  <w:footnotePr>
    <w:footnote w:id="0"/>
    <w:footnote w:id="1"/>
  </w:footnotePr>
  <w:endnotePr>
    <w:endnote w:id="0"/>
    <w:endnote w:id="1"/>
  </w:endnotePr>
  <w:compat/>
  <w:rsids>
    <w:rsidRoot w:val="003D1BAE"/>
    <w:rsid w:val="000765BB"/>
    <w:rsid w:val="00257633"/>
    <w:rsid w:val="003D1BAE"/>
    <w:rsid w:val="004A24B3"/>
    <w:rsid w:val="00BF0AEB"/>
    <w:rsid w:val="00C17561"/>
    <w:rsid w:val="00C94672"/>
    <w:rsid w:val="00D24A75"/>
    <w:rsid w:val="00E17F2F"/>
    <w:rsid w:val="00FB03C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2" type="connector" idref="#_x0000_s1057"/>
        <o:r id="V:Rule23" type="connector" idref="#_x0000_s1045"/>
        <o:r id="V:Rule24" type="connector" idref="#_x0000_s1061"/>
        <o:r id="V:Rule25" type="connector" idref="#_x0000_s1040"/>
        <o:r id="V:Rule26" type="connector" idref="#_x0000_s1046"/>
        <o:r id="V:Rule27" type="connector" idref="#_x0000_s1038"/>
        <o:r id="V:Rule28" type="connector" idref="#_x0000_s1054"/>
        <o:r id="V:Rule29" type="connector" idref="#_x0000_s1056"/>
        <o:r id="V:Rule30" type="connector" idref="#_x0000_s1049"/>
        <o:r id="V:Rule31" type="connector" idref="#_x0000_s1062"/>
        <o:r id="V:Rule32" type="connector" idref="#_x0000_s1041"/>
        <o:r id="V:Rule33" type="connector" idref="#_x0000_s1047"/>
        <o:r id="V:Rule34" type="connector" idref="#_x0000_s1050"/>
        <o:r id="V:Rule35" type="connector" idref="#_x0000_s1039"/>
        <o:r id="V:Rule36" type="connector" idref="#_x0000_s1058"/>
        <o:r id="V:Rule37" type="connector" idref="#_x0000_s1051"/>
        <o:r id="V:Rule38" type="connector" idref="#_x0000_s1059"/>
        <o:r id="V:Rule39" type="connector" idref="#_x0000_s1055"/>
        <o:r id="V:Rule40" type="connector" idref="#_x0000_s1037"/>
        <o:r id="V:Rule41" type="connector" idref="#_x0000_s1053"/>
        <o:r id="V:Rule42" type="connector" idref="#_x0000_s106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1BAE"/>
  </w:style>
  <w:style w:type="paragraph" w:styleId="1">
    <w:name w:val="heading 1"/>
    <w:basedOn w:val="a"/>
    <w:next w:val="a"/>
    <w:link w:val="10"/>
    <w:uiPriority w:val="9"/>
    <w:qFormat/>
    <w:rsid w:val="003D1B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3D1BA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D1BAE"/>
    <w:pPr>
      <w:ind w:left="720"/>
      <w:contextualSpacing/>
    </w:pPr>
  </w:style>
  <w:style w:type="character" w:customStyle="1" w:styleId="a4">
    <w:name w:val="Основной текст_"/>
    <w:basedOn w:val="a0"/>
    <w:link w:val="21"/>
    <w:rsid w:val="003D1BAE"/>
    <w:rPr>
      <w:rFonts w:ascii="Times New Roman" w:eastAsia="Times New Roman" w:hAnsi="Times New Roman" w:cs="Times New Roman"/>
      <w:spacing w:val="6"/>
      <w:sz w:val="18"/>
      <w:szCs w:val="18"/>
      <w:shd w:val="clear" w:color="auto" w:fill="FFFFFF"/>
    </w:rPr>
  </w:style>
  <w:style w:type="paragraph" w:customStyle="1" w:styleId="21">
    <w:name w:val="Основной текст2"/>
    <w:basedOn w:val="a"/>
    <w:link w:val="a4"/>
    <w:rsid w:val="003D1BAE"/>
    <w:pPr>
      <w:widowControl w:val="0"/>
      <w:shd w:val="clear" w:color="auto" w:fill="FFFFFF"/>
      <w:spacing w:after="1500" w:line="0" w:lineRule="atLeast"/>
      <w:jc w:val="both"/>
    </w:pPr>
    <w:rPr>
      <w:rFonts w:ascii="Times New Roman" w:eastAsia="Times New Roman" w:hAnsi="Times New Roman" w:cs="Times New Roman"/>
      <w:spacing w:val="6"/>
      <w:sz w:val="18"/>
      <w:szCs w:val="18"/>
    </w:rPr>
  </w:style>
  <w:style w:type="paragraph" w:styleId="a5">
    <w:name w:val="Normal (Web)"/>
    <w:basedOn w:val="a"/>
    <w:uiPriority w:val="99"/>
    <w:unhideWhenUsed/>
    <w:rsid w:val="003D1BAE"/>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6">
    <w:name w:val="Table Grid"/>
    <w:basedOn w:val="a1"/>
    <w:uiPriority w:val="59"/>
    <w:rsid w:val="003D1B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No Spacing"/>
    <w:uiPriority w:val="1"/>
    <w:qFormat/>
    <w:rsid w:val="003D1BAE"/>
    <w:pPr>
      <w:spacing w:after="0" w:line="240" w:lineRule="auto"/>
    </w:pPr>
    <w:rPr>
      <w:rFonts w:ascii="Calibri" w:eastAsia="Calibri" w:hAnsi="Calibri" w:cs="Times New Roman"/>
    </w:rPr>
  </w:style>
  <w:style w:type="paragraph" w:styleId="a8">
    <w:name w:val="header"/>
    <w:basedOn w:val="a"/>
    <w:link w:val="a9"/>
    <w:uiPriority w:val="99"/>
    <w:unhideWhenUsed/>
    <w:rsid w:val="003D1BAE"/>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3D1BAE"/>
  </w:style>
  <w:style w:type="character" w:customStyle="1" w:styleId="10">
    <w:name w:val="Заголовок 1 Знак"/>
    <w:basedOn w:val="a0"/>
    <w:link w:val="1"/>
    <w:uiPriority w:val="9"/>
    <w:rsid w:val="003D1BA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3D1BAE"/>
    <w:rPr>
      <w:rFonts w:ascii="Times New Roman" w:eastAsia="Times New Roman" w:hAnsi="Times New Roman" w:cs="Times New Roman"/>
      <w:b/>
      <w:bCs/>
      <w:sz w:val="36"/>
      <w:szCs w:val="36"/>
      <w:lang w:eastAsia="uk-UA"/>
    </w:rPr>
  </w:style>
  <w:style w:type="paragraph" w:styleId="aa">
    <w:name w:val="Balloon Text"/>
    <w:basedOn w:val="a"/>
    <w:link w:val="ab"/>
    <w:uiPriority w:val="99"/>
    <w:semiHidden/>
    <w:unhideWhenUsed/>
    <w:rsid w:val="003D1BAE"/>
    <w:pPr>
      <w:spacing w:after="0" w:line="240" w:lineRule="auto"/>
    </w:pPr>
    <w:rPr>
      <w:rFonts w:ascii="Tahoma" w:eastAsia="Times New Roman" w:hAnsi="Tahoma" w:cs="Tahoma"/>
      <w:sz w:val="16"/>
      <w:szCs w:val="16"/>
    </w:rPr>
  </w:style>
  <w:style w:type="character" w:customStyle="1" w:styleId="ab">
    <w:name w:val="Текст выноски Знак"/>
    <w:basedOn w:val="a0"/>
    <w:link w:val="aa"/>
    <w:uiPriority w:val="99"/>
    <w:semiHidden/>
    <w:rsid w:val="003D1BAE"/>
    <w:rPr>
      <w:rFonts w:ascii="Tahoma" w:eastAsia="Times New Roman" w:hAnsi="Tahoma" w:cs="Tahoma"/>
      <w:sz w:val="16"/>
      <w:szCs w:val="16"/>
    </w:rPr>
  </w:style>
  <w:style w:type="character" w:customStyle="1" w:styleId="rvts0">
    <w:name w:val="rvts0"/>
    <w:basedOn w:val="a0"/>
    <w:rsid w:val="003D1BAE"/>
  </w:style>
  <w:style w:type="character" w:styleId="ac">
    <w:name w:val="Hyperlink"/>
    <w:basedOn w:val="a0"/>
    <w:uiPriority w:val="99"/>
    <w:semiHidden/>
    <w:unhideWhenUsed/>
    <w:rsid w:val="003D1BAE"/>
    <w:rPr>
      <w:color w:val="0000FF"/>
      <w:u w:val="single"/>
    </w:rPr>
  </w:style>
  <w:style w:type="character" w:customStyle="1" w:styleId="org">
    <w:name w:val="org"/>
    <w:basedOn w:val="a0"/>
    <w:rsid w:val="003D1BAE"/>
  </w:style>
  <w:style w:type="character" w:styleId="ad">
    <w:name w:val="Emphasis"/>
    <w:basedOn w:val="a0"/>
    <w:uiPriority w:val="20"/>
    <w:qFormat/>
    <w:rsid w:val="003D1BAE"/>
    <w:rPr>
      <w:i/>
      <w:iCs/>
    </w:rPr>
  </w:style>
  <w:style w:type="character" w:customStyle="1" w:styleId="dat">
    <w:name w:val="dat"/>
    <w:basedOn w:val="a0"/>
    <w:rsid w:val="003D1BAE"/>
  </w:style>
  <w:style w:type="character" w:styleId="ae">
    <w:name w:val="Strong"/>
    <w:basedOn w:val="a0"/>
    <w:uiPriority w:val="22"/>
    <w:qFormat/>
    <w:rsid w:val="003D1BAE"/>
    <w:rPr>
      <w:b/>
      <w:bCs/>
    </w:rPr>
  </w:style>
  <w:style w:type="paragraph" w:styleId="af">
    <w:name w:val="footnote text"/>
    <w:basedOn w:val="a"/>
    <w:link w:val="af0"/>
    <w:uiPriority w:val="99"/>
    <w:semiHidden/>
    <w:unhideWhenUsed/>
    <w:rsid w:val="003D1BAE"/>
    <w:pPr>
      <w:spacing w:after="0" w:line="240" w:lineRule="auto"/>
    </w:pPr>
    <w:rPr>
      <w:rFonts w:ascii="Calibri" w:eastAsia="Times New Roman" w:hAnsi="Calibri" w:cs="Times New Roman"/>
      <w:sz w:val="20"/>
      <w:szCs w:val="20"/>
    </w:rPr>
  </w:style>
  <w:style w:type="character" w:customStyle="1" w:styleId="af0">
    <w:name w:val="Текст сноски Знак"/>
    <w:basedOn w:val="a0"/>
    <w:link w:val="af"/>
    <w:uiPriority w:val="99"/>
    <w:semiHidden/>
    <w:rsid w:val="003D1BAE"/>
    <w:rPr>
      <w:rFonts w:ascii="Calibri" w:eastAsia="Times New Roman" w:hAnsi="Calibri" w:cs="Times New Roman"/>
      <w:sz w:val="20"/>
      <w:szCs w:val="20"/>
    </w:rPr>
  </w:style>
  <w:style w:type="character" w:styleId="af1">
    <w:name w:val="footnote reference"/>
    <w:basedOn w:val="a0"/>
    <w:uiPriority w:val="99"/>
    <w:semiHidden/>
    <w:unhideWhenUsed/>
    <w:rsid w:val="003D1BAE"/>
    <w:rPr>
      <w:vertAlign w:val="superscript"/>
    </w:rPr>
  </w:style>
  <w:style w:type="character" w:customStyle="1" w:styleId="rvts23">
    <w:name w:val="rvts23"/>
    <w:basedOn w:val="a0"/>
    <w:rsid w:val="003D1BAE"/>
  </w:style>
  <w:style w:type="paragraph" w:styleId="af2">
    <w:name w:val="footer"/>
    <w:basedOn w:val="a"/>
    <w:link w:val="af3"/>
    <w:uiPriority w:val="99"/>
    <w:semiHidden/>
    <w:unhideWhenUsed/>
    <w:rsid w:val="003D1BAE"/>
    <w:pPr>
      <w:tabs>
        <w:tab w:val="center" w:pos="4819"/>
        <w:tab w:val="right" w:pos="9639"/>
      </w:tabs>
      <w:spacing w:after="0" w:line="240" w:lineRule="auto"/>
    </w:pPr>
    <w:rPr>
      <w:rFonts w:ascii="Calibri" w:eastAsia="Times New Roman" w:hAnsi="Calibri" w:cs="Times New Roman"/>
    </w:rPr>
  </w:style>
  <w:style w:type="character" w:customStyle="1" w:styleId="af3">
    <w:name w:val="Нижний колонтитул Знак"/>
    <w:basedOn w:val="a0"/>
    <w:link w:val="af2"/>
    <w:uiPriority w:val="99"/>
    <w:semiHidden/>
    <w:rsid w:val="003D1BAE"/>
    <w:rPr>
      <w:rFonts w:ascii="Calibri" w:eastAsia="Times New Roman" w:hAnsi="Calibri" w:cs="Times New Roman"/>
    </w:rPr>
  </w:style>
  <w:style w:type="character" w:customStyle="1" w:styleId="fontstyle33">
    <w:name w:val="fontstyle33"/>
    <w:basedOn w:val="a0"/>
    <w:rsid w:val="003D1BAE"/>
  </w:style>
  <w:style w:type="character" w:customStyle="1" w:styleId="fontstyle38">
    <w:name w:val="fontstyle38"/>
    <w:basedOn w:val="a0"/>
    <w:rsid w:val="003D1BAE"/>
  </w:style>
  <w:style w:type="character" w:customStyle="1" w:styleId="tlid-translation">
    <w:name w:val="tlid-translation"/>
    <w:basedOn w:val="a0"/>
    <w:rsid w:val="00E17F2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91</Pages>
  <Words>114517</Words>
  <Characters>65276</Characters>
  <Application>Microsoft Office Word</Application>
  <DocSecurity>0</DocSecurity>
  <Lines>543</Lines>
  <Paragraphs>358</Paragraphs>
  <ScaleCrop>false</ScaleCrop>
  <Company>Grizli777</Company>
  <LinksUpToDate>false</LinksUpToDate>
  <CharactersWithSpaces>179435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5</cp:revision>
  <dcterms:created xsi:type="dcterms:W3CDTF">2021-11-28T19:01:00Z</dcterms:created>
  <dcterms:modified xsi:type="dcterms:W3CDTF">2021-12-06T07:53:00Z</dcterms:modified>
</cp:coreProperties>
</file>