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85D" w:rsidRPr="00B1285D" w:rsidRDefault="00B1285D" w:rsidP="00B1285D">
      <w:pPr>
        <w:shd w:val="clear" w:color="auto" w:fill="ECF0F4"/>
        <w:spacing w:before="75" w:after="75" w:line="240" w:lineRule="auto"/>
        <w:outlineLvl w:val="1"/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</w:pPr>
      <w:r w:rsidRPr="00B1285D"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  <w:t>УКРАЇНСЬКА ЦЕНТРАЛЬНА РАДА – ДОБА ДЕРЖАВОТВОРЕННЯ: ЗНАЧИМІСТЬ ТА УРОКИ</w:t>
      </w:r>
    </w:p>
    <w:p w:rsidR="00B1285D" w:rsidRPr="00B1285D" w:rsidRDefault="00B1285D" w:rsidP="00B1285D">
      <w:pPr>
        <w:shd w:val="clear" w:color="auto" w:fill="ECF0F4"/>
        <w:spacing w:after="0" w:line="240" w:lineRule="auto"/>
        <w:rPr>
          <w:rFonts w:ascii="Tahoma" w:eastAsia="Times New Roman" w:hAnsi="Tahoma" w:cs="Tahoma"/>
          <w:color w:val="3F5469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25.02.12 01:40 | Автор(и) КРАВЧУК МИКОЛА ВОЛОДИМИРОВИЧ, к.ю.н., доцент, доктор права Українського вільного університету, завідувач кафедри теорії та історії держави і права юридичного факультету ТНЕУ (м</w:t>
      </w:r>
      <w:proofErr w:type="gramStart"/>
      <w:r w:rsidRPr="00B1285D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.Т</w:t>
      </w:r>
      <w:proofErr w:type="gramEnd"/>
      <w:r w:rsidRPr="00B1285D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ернопіль) | </w:t>
      </w:r>
      <w:r w:rsidRPr="00B1285D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ru-RU"/>
        </w:rPr>
        <w:drawing>
          <wp:inline distT="0" distB="0" distL="0" distR="0" wp14:anchorId="6D5679B9" wp14:editId="29889F6D">
            <wp:extent cx="133350" cy="133350"/>
            <wp:effectExtent l="0" t="0" r="0" b="0"/>
            <wp:docPr id="1" name="Рисунок 1" descr="Печать">
              <a:hlinkClick xmlns:a="http://schemas.openxmlformats.org/drawingml/2006/main" r:id="rId5" tooltip="&quot;Печать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Печать">
                      <a:hlinkClick r:id="rId5" tooltip="&quot;Печать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1285D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 | </w:t>
      </w:r>
      <w:r w:rsidRPr="00B1285D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ru-RU"/>
        </w:rPr>
        <w:drawing>
          <wp:inline distT="0" distB="0" distL="0" distR="0" wp14:anchorId="7958DDC1" wp14:editId="6140280D">
            <wp:extent cx="104775" cy="76200"/>
            <wp:effectExtent l="0" t="0" r="9525" b="0"/>
            <wp:docPr id="2" name="Рисунок 2" descr="E-mail">
              <a:hlinkClick xmlns:a="http://schemas.openxmlformats.org/drawingml/2006/main" r:id="rId7" tooltip="&quot;E-mai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-mail">
                      <a:hlinkClick r:id="rId7" tooltip="&quot;E-mai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15"/>
      </w:tblGrid>
      <w:tr w:rsidR="00B1285D" w:rsidRPr="00B1285D" w:rsidTr="00B1285D">
        <w:trPr>
          <w:tblCellSpacing w:w="15" w:type="dxa"/>
        </w:trPr>
        <w:tc>
          <w:tcPr>
            <w:tcW w:w="0" w:type="auto"/>
            <w:vAlign w:val="center"/>
            <w:hideMark/>
          </w:tcPr>
          <w:p w:rsidR="00B1285D" w:rsidRPr="00B1285D" w:rsidRDefault="00B1285D" w:rsidP="00B1285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  <w:hyperlink r:id="rId9" w:history="1">
              <w:r w:rsidRPr="00B1285D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ru-RU"/>
                </w:rPr>
                <w:t>Науково-практична Інтернет-конференція 24.02.2012</w:t>
              </w:r>
            </w:hyperlink>
            <w:r w:rsidRPr="00B1285D"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  <w:t> - </w:t>
            </w:r>
            <w:hyperlink r:id="rId10" w:history="1">
              <w:r w:rsidRPr="00B1285D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ru-RU"/>
                </w:rPr>
                <w:t>Секція №1</w:t>
              </w:r>
            </w:hyperlink>
          </w:p>
        </w:tc>
      </w:tr>
    </w:tbl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Пройшло 95 років з часу віковічних подій створення у березневі дні 1917 р. Української Центральної Ради. Історичний досвід того періоду найбільш повчальний для сучасного державного будівництва, тому ця тема є актуальною для українського держав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о-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і правотворення.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З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цього приводу О. Копиленко зазначає, що «навколо Центральної Ради як у свідомості громадськості, так і в літературі накопилося безліч міфів і пересудів, і щоб зрозуміти їх, потрібен не один рік і не один дослідник. …Бо ЦР, як і УНР, не впала з неба, …а мала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ій початок, піднесення і закономірний занепад» [11, с.3]. Особливу увагу вчений-юрист звернув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значимість цих двох державницьких утворень, «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як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проіснували дуже не довго, в історичному масштабі тільки мить, та лишилися по ній повчальні уроки першопрохідців, які ми просто не маємо права нехтувати» [10, с.5].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УЦР,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ісля її офіційного проголошення 17 березня 1917 р. (див.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О. Копиленко [11, с.46]), стала фундатором відродження української нації, політичного і духовного визволення власного народу, яке ще називали “українізацією” та реалізації його права на самовизначення.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Саме вона, в період перебування України в епіцентрі Першої світової війни, політичної кризи у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осійській імперії (припинення діяльності Держдуми, формування Тимчасового уряду, виникнення двовладдя) та у зв’язку з цими подіями значного погіршення економічного стану українського люду [16, с.22-28, 29] «очолила український національно-визвольний рух, надала українській революційній стихії організованих форм, об’єднала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 своїм прапором провідні українські політичні партії, змусила російську революційну демократію рахуватись і вести діалог з українськими національними силами, проголосила Українську Народну Республіку і виступила її будівничим» [3, c.8]. Тільки завдячуючи УЦР, у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нов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ітній період ствердження націй, що для української державності було найголовнішою проблемою кінця 19 – початку 20 ст., із «бездержавної нації» українство трансформувалося у національно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ідому, цивілізовану й політичну громаду і це стало апогеєм формування української «історичної нації».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Найбільш вдало подію створення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ади охарактеризував В. Винниченко: «…це був вислов усієї нації. Це було не тільки координоване, сполучене співробітництво всіх українських партій і впливових організацій, а виразний, необхідний прояв існування української нації. Центральна Рада явилась найкращим доказом цього. Коли б вона не виникла в Києві, то утворилася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би 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Харкові, в Полтаві, Одесі. Вона мусила бути, бо нація мусила, як така, як уся нація, як певний організм, мати єдиний вираз, єдиний орган свого проява. Це був центр, до якого радіусами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ікались усі хилитання пробудженої, національної енергії; з усіх куточків, з усіх великих і малих пунктів животворіння національного організму простяглись до центру нерви нації» [6, с.80].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На думку вітчизняних вчених, потреба у глибинному науковому аналізі періоду діяльності УЦР є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значимою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і викликана багатьма причинами. У першу чергу, це порівняння процесів державотворення сучасної України і періоду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ади та використання у сучасній практиці цього збереженого історією масиву втілених і невтілених у суспільне життя вчень, програм, планів, концепцій, доктрин розбудови власної держави, вартість яких важко переоцінити.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Так, В. Верстюк зазначив: «шлях до об’єктивного пізнання історії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ади лежить не тільки у вивченні конкретного перебігу та нюансів її діяльності, а й у широкому узагальненню досвіду, в такій постановці проблеми, яка б допомогла наочно переконатися наскільки ідеї і принципи, покладені в основу політики ЦР, відповідали суспільним ідеям і цінностям модерної доби». Це дає можливість оцінити і визначити, що із застосованої нею суспільної, ідейної спадщини сьогодні повторно реалізується в державному будівництві [3, с.8-9;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]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Я. Яцків з цього приводу вказав: «Читаючи протоколи засідань Центральної і Малої Рад, Ради Міні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ів, урядові ухвалини, надто часто ловиш себе на відчутті, що вони переносять тебе в сьогоднішні дні. У своїй радості і в своїй гіркоті…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Писати про УЦР і її універсали необхідно не тільки тому, що до цього змушує збіг календарних дат, а й тому, що в діяльності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ади і сьогоднішніх політичних реаліях є чимало спільного, а …значення та уроки минулого нашим суспільством, його елітою засвоєні погано і осмислені слабо» [21].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Отже, метою представленої статті є дослідження, аналіз і встановлення особливостей процесу державотворення в період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ади, значимість цього досвіду та основні уроки її діяльності.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ab/>
        <w:t xml:space="preserve">Ця тематика знайшла наукову розробку у працях сучасних вчених В. Верстюка, Р.Іванченко, О. Копиленка, В.Кульчицького, О.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Реєнта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, О. Рубльова, В. Румянцева, О.Мироненка, П. Музиченка, В. Солдатенка, О. Тимощука, Я. Тинченка, Б. Тищика, В.Шевченка, О.Шевченка, Я. Яцківа, українських вчених В. Винниченка, М. Грушевського, Д.Дорошенка та ін.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У цілому функціонування Центральної Ради в літературі висвітлено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ізними авторами контроверсійно. Так, В.Шевченко зазначив, що діяльність УЦР відноситься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тих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явищ, які знаменують нову епоху нашого народу, при цьому як і за часів її існування, так і до сьогоднішнього дня, робота, здобутки і прорахунки ЦР – в центрі уваги широкого загалу, нерідко є предметом запальних дискусій.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ім того, він стверджує, що саме вона резолюцією від 22 квітня 1917 р. започаткувала принцип “українізації” всього життя в Україні, як всеосяжний процес усього національного, державотворчого, політичного, соціально-економічного і духовного розвитку українського народу. Українізація охопила національні школу, армію, все українське життя, отримала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ідтримку всього суспільства, його структур. …йшлося про широке розуміння процесу українізації. Численні з’їзди (селянські, кооперативні, партійні, загальнонаціональні) повинні були б переконати всіх, що це, український рух, це не вигадка купки інтелігентів, що це величезна сила, котра вирвалася з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 вікового тиску, що сила ця росте...  Припинити її…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нема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можливості, бо прокинувся 35-мільйонний народ…» [20].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ідміну від тих часів, ми спостерігаємо у сьогоднішньому суспільному і політичному житті нехтування українськими мовою, історією тощо. Ніби стверджується процес антиукраїнізації.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ім того, важливою рисою УЦР було впровадження нею, з перших днів заснування, функції представництва всього українського народу, вона постійно зверталася до народу і діяла від імені народу, що отримало суспільне схвалення.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Так, В. Верстюк зазначив: «історична заслуга Центральної Ради полягає в тому, що вона, на відміну від окремих політичних партій, захищала інтереси не якогось одного класу, а перша, публічно й відкрито, почала говорити від імені нації й про потреби нації. УЦР не пропускала нагоди апелювати до народу.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Можливо, в такій політиці був значний популізм, та оскільки йшлося не про конкретні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іально-економічні рішення, а про мобілізацію й орієнтацію національної свідомості, така політика мала добрі наслідки» [3, с.10]. Так, звернемося до відозв, резолюцій, наказів, універсалі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, директив ЦР, де проголошувалося: “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Народе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Український!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Народе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селян, робітників, трудящого люду! Волею своє ти поставив нас, Українську Центральну Раду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сторожі її прав і вольностей української землі” (І Універсал); “Громадяне української землі! …Сповіщаємо всіх громадян України, що обрана українським народом через його революційні організації УЦР незабаром буде доповнена на справедливих основах представництва (ІІ Універсал); Громадяни України! Виявіть себе вірними оборонцями волі і ворогами анархії, яка може віддалити Всеросійські та Українські Установчі збори і привести до загину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ідний край (Звернення ГС від 27 жовтня 1917 р.); Народе України і всі народи України! …Наш край так само в небезпеці. Без власти, дужої, єдиної, народньої Україна також може впасти в безодню, усобиці,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ізні, занепаду.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Народе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Український! Ти разом з братніми народами України постановив нас берегти права, здобуті боротьбою, творити лад і будувати все життя на нашій землі. І ми Українська Центральна Рада,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твоєю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волею в ім’я творення ладу в наші1й країні, в ім’я творення ладу в нашій країні… постановляємо” (ІІІ Універсал);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Народе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України! Твоєю силою, волею, словом утворилась на Українській землі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ільна Українська Народна Республіка. Здійснилася давня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мрія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Твоїх батьків, борців за волю й право робочого люду! [19, с.295, 298, 307, 322]. Такі дії УЦР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ідтверджують її відношення до власного народу як до носія влади і викликають схвалення.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Вони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слугують зразком справжнього «захисту демократичних, всенародних інтересів, а не одного класу чи прошарку суспільства» [9; с.221]. УЦР «в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ідомості українських селян постала як «свій», «народний» уряд, котрий вирішуватиме найвагоміші проблеми – проведе земельну реформу, українізує школу та церкву, братиме участь в переговорах щодо закінчення світової війни і тому визнавалася і підтримувалася найширшими колами українців» [17; с.57].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«Центральна Рада була завалена вітальними телеграмами, резолюціями в її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ідтримку, на вірність їй присягали сільські сходи, з’їзди військові частини».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Вона стала центром об’єднання і консолідації нації [4;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с.19]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авпаки, сучасні політики, на відміну від попередників прагнуть розділити українців, особливо перед виборами, за мовними, територіальними й іншими критеріями на “західняків” і “східняків”, і на цій основі створити між ними протиріччя для здобуття власних політичних преференцій.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Урок УЦР полягає ще й в тому, що вона,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ісля політичного сну українців, виголосила і внесла в практичну площину стратегічну мету побудови Української держави, яка закріпилася як дороговказ українського державотворення на століття. За твердженням Я. Яцківа «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івтора рядка друкованого тексту: “Однині Українська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Народна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Республіка стає самостійною, ні від кого незалежною, вільною, суверенною державою Українського народу”» – вмістили констатацію факту, </w:t>
      </w: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>який декільком поколінням найкращих синів України, здавався жаданою, але недосяжною мрією” [21].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Цінним є державницький досвід УЦР формування у складній воєнно-економічній ситуації, самостійної фінансової системи, відокремленої від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осії, процес створення української національної валюти, стабілізації грошового обігу, який також надто проблематичний у сучасному державному будівництві України. За твердженнями П. Гей-Нижника у період «переходу всієї господарської системи від військово-руїницької до мирно-творчої діяльності …не можуть бути поставлені… без плану, без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ідомої в державному масштабі розробленої системи заходів фінансово-економічної політики. …Для України це особливо складне і багатогранне завдання – …у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ізних відношеннях його будувати необхідно з чистого аркуша: створити власну фінансову систему, власні банки, покласти початок власній транспортній, торговельній, промисловій, експертно-імпортній політиці; потрібно напрацювати основи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іального законодавства і всю цю політику узгодити відповідно до засад аграрної реформи, націоналізації надр тощо [7, с.71]. На думку В. Поліщука, УЦР «робила кроки до створення своєї фінансової системи. Була випущена власна національна валюта – гривня як один із атрибутів держави. Але в силу обставин, викликаних політикою більшовицького російського уряду та проблемою кадрі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, не вдалося в Україні завершити створення самостійної валюти і нормалізувати грошовий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об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іг» [15, с.60].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Крім того, Українська Центральна Рада пройшла в короткий строк шлях українського політичного життя від «державницької ідеології ХІ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Х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ст., що базувалася на українсько-визвольному русі, побудованому на автономізмі в різних формах федералізму, на політичному романтизмові, угодовстві української інтелігентської еліти ХІХ ст., яка сподівалася на демократичність, толерантність і розуміння прав українського народу щодо власного державного буття з боку нового російського уряду і безумовно, російської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іалістичної демократії і довірливого очікування цього» до еволюції державної самостійності України і виокремлення в пріоритет завдання боротьби за утвердження Української незалежної держави [9;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с.212-216].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Еволюція цього політичного процесу знайшла закріплення у чотирьох універсалах, з яких «вершиною державотворення став ІV Універсал».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При цьому УЦР,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у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відведений історією час, безнадійно запізнилася, до гуртування української нації навколо стратегічного завдання розбудови власної держави на засадах «національно-демократичної незалежності». Р. Іванченко зазнача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є,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що «УЦР втратила час, і не тільки через вичікування їхнього визнання, а й через те, що більше уваги приділяла не будівництву національної держави й агітації за нею, а впровадженню в життя утопічних соціалістичних ідеалів. …Це призвело до втрати можливостей для поширення національно-державницьких переконань серед широких верств українського суспільства без чого взагалі неможливо будувати власну державу» [9, с.215]. В. Верстюк зазначив: «саме В. Винниченко, як голова Генерального Секретаріату, несе персональну відповідальність за неготовність УНР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війни з більшовиками. Його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іалістична ортодоксія, яку він ставив значно вище інтересів новопосталої української держави, стала причиною його конфлікту з С. Петлюрою, який змушений був подати у відставку з поста генерального секретаря військових справ» [2, с.27; 18, с.5].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Своєрідну оцінку УЦР дає Я. Дзісяк, який в розділі “Політика ЦР як визначний фактор втрати української державності та поразки в Першій російсько-українській війні” вказав, що «роль і значення соціалістичних лідерів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ади в контексті їхньої політики, спрямованої проти проголошення самостійності України та проти розбудови Української Армії, за своїми глобальними деструктивними наслідками виступають значно більш помітними та впливовими,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аніж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позитивний внесок культурного відродження. На його думку, «навіть поверхневий аналіз недолугої і цілком не державницької політики, стосовно України і головною мірою відносно розбудови її війська вказу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є,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що російсько-комуністична окупація України, Крутянська трагедія, червоний терор у Києві були неминучими» [8, с.5].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З вищевказаним можна погодитись, адже досвід військового будівництва є важливим, оскільки захист суверенітету і територіальної цілісності країни збройними силами слугує фундаментом держави. І хоча декларована автономія України у єдності з російською федерацією не передбачала територіальне виокремлення українських земель, питання розбудови армії і визначення кордонів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період Центральної Ради була складовою державотворення і змістом багатьох державних актів України [1; с.5-31]. На думку науковців, «українські соціалісти – головна політична сила УЦР – по суті провалила багато в чому стихійний процес українізації армії, гальмувала створення добровільних озброєних формувань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ільного козацтва». За невтішним висновком Голови ГС В. Винниченка: «Це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була 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ійна впливом. Ні більшовики, ні ми не мали регулярного дисциплінованого війська. Наш вплив був менший. Він уже був настільки малий, що ми з великими труднощами могли складати якісь невеличкі більш-менш дисципліновані частини й висилати їх проти більшовиків» [5]. Р. Іванченко у цьому плані зазнача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є: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«УЦР відкинула досить </w:t>
      </w: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 xml:space="preserve">сильні спроби творення Української Армії, хоча на всіх фронтах відбувався процес стихійної організації українських військ. Були відкинуті і пропозиції видатних українських політичних і військових діячів М. Міхновського та П. Скоропадського щодо організації українських військових формувань. …Центральній Раді не вистачало ні мудрості, ні твердого розрахунку, ані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ітоглядного переконання чи просто почуття самозахисту для створення власного війська. Адже національна Армія – це щит і меч національної держави, єдиний гарант її існування» [9, с.222].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 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З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огляду на чітко визначену пацифістську політику соціалістично налаштованого державного проводу УНР в особах М. Грушевського, В. Винниченка, М. Порша та інших державників, які заперечували розбудову Армії України, необхідно констатувати її як великий політичний прорахунок із трагічними наслідками. У період після Ультиматуму Раднаркому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осії, коли над Україною нависла загроза інтервенції, на засіданні Малої Ради УЦР з січня 1918 р. ухвалено Закон “Про створення народного війська”, відповідно до якого Генеральне секретарство з військових справ повинне було регулярну армію демобілізувати і приступити до набору кадру інструкторів на принципі народної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м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іліції на умовах вільного найму. До п’яти тисяч житів впродовж доби заплатила Україна за нехтування обороною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ідного краю після захоплення Києва Муравйовим [12; с.208]. Таким чином керівництво УЦР не зуміло залучити мілітарну потугу масового військово-патріотичного руху українців, яких внаслідок українізації російської армії нараховував більше 1,5 млн. чол., на захист національного суверенітету [13, с.75]. На завершальному етапі своєї державницької діяльності УЦР повертається до активного формування Української Армії. Жаль, що і сьогодні серед українських урядовців є прихильники військової політики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пров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ідників УНР початкового етапу, які бюджетом України виділяють кошти на Армію – третину від потреби. Взамін бюджету “розвитку” частіше затверджують бюджет “розвалу” власної Армії [12, с.210].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ідсумовуючи, необхідно підкреслити, що незважаючи на «великий вклад УЦР у державотворчу працю; прийняття величезної кількості найдемократичніших законів 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ішень, створення велетенської кількості міністерств, комітетів та інших адміністративних органів для відродження промисловості, торгівлі, банків, навчальних закладів, театрів, музеїв, виявляючи піклування про національні меншини», вона втратила довіру народу [9, с.223;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15, с.81-86].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 цього приводу ГС В. Винниченко писав, що «я під той час уже не вірив у особливу прихильність народу до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ади. Але я ніколи не думав, що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могла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бути в йому така ненависть. Особливо серед солдаті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. І особливо серед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тих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, які не могли навіть говорити по-російськи, а тільки по-українськи, які, значить, були не латишами, й не росіянами, а своїми, українцями, з якою зневагою, люттю говорили про Центральну Раду, Генеральних секретарів, про їхню політику» [5]. Негативне ставлення до УЦР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перекликається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 втратою довіри і до сучасної державної влади і мало б слугувати повчальним уроком національного державотворення.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</w:r>
      <w:r w:rsidRPr="00B1285D">
        <w:rPr>
          <w:rFonts w:ascii="Tahoma" w:eastAsia="Times New Roman" w:hAnsi="Tahoma" w:cs="Tahoma"/>
          <w:b/>
          <w:bCs/>
          <w:color w:val="000000"/>
          <w:sz w:val="20"/>
          <w:szCs w:val="20"/>
          <w:lang w:eastAsia="ru-RU"/>
        </w:rPr>
        <w:t>Список використаних джерел: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1. Бойко О.Д. Проблема визначення кордонів України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період Центральної Ради (1917-1918 рр.) / О.Д. Бойко // Український історичний журнал. – 2008. – №1. – січень-лютий. – С.5-31.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2. Верстюк В.Ф. Політична боротьба за владу в Українській Народній Республіці в перші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м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ісяці її проголошення / В.Ф. Верстюк // Український історичний журнал. – 2008. – №1. – січень-лютий. – С. 31-45.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3. Верстюк В. Проголошення незалежності УНР: історичне значення // Українська революція 1917-1921 рр.: Подвиг герої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Крут. Матеріали наукових читань (24 січня 2008 р.) / Відпов. ред. В.Ф. Верстюк. – К.: Видавництво імені Олени Теліги, 2008. – С.8-20.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4. Верстюк В.Ф. Роль і місце Центральної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Ради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в модерній історії України / В.Ф. Верстюк // Український історичний журнал. – 1997. – №5. – вересень-жовтень. – С.17-25.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5. Військово-політична діяльність Центрально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ї 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ади та причини її поразки // Армія України. – 2002. Квітень. – С.5,6.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6. Винниченко В. Відродження нації: в 3-х частинах / В. Винниченко. – Київ-Відень, 1920. – Ч.1. – 314с.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7. Гай-Нижник П.П. Народне міністерство фінансів УНР: проблеми становлення (січень-квітень 1918 р.) / П.П. Гай-Нижник //Український історичний журнал. – 2008.– №1. – січень-лютий. – С. 59-75.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8. Дзісяк Я. Історичний аналіз окремих спроб українського державотворення / Я. Дзісяк. – Тернопіль: "Терно-граф", 2010. – 188 с.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9. Іванченко Р. Центральна Рада: апофеоз і драма теорії і практики / Р. Іванченко // Я повертаю Україні те, що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неї вкрадено: статті. Нариси. Роздуми. – К.: Укр. письменник, 2005.– С. 212-224.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10. Копиленко О.Л. Держава і право України. 1917-1920: навч.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пос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ібник / О.Л. Копиленко, М.Л. Копиленко. – К.: Либідь, 1997. – 208 с. 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ab/>
        <w:t>11. Копиленко О.Л. «Сто днів» Центральної Ради / О.Л. Копиленко. – К.: “Україна”, 1992. – 204 с.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12. Кравчук М.В. Військове будівництво Української Центральної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Ради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та його законодавче закріплення / М.В.Кравчук // Правове життя сучасної України: Тези доповідей Міжнародної наукової конференції професорсько-викладацького та аспірантського складу (м. Одеса, 21-22 травня 2010 р.) / Відп. ред. д-р юрид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.н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аук. проф. Ю. М. Оборотов // Одеська національна юридична академія. – О.:Фенікс, 2010.– С.208-210.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13. Кравчук М.В. Держава та армія УНР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пері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од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Тимчасового уряду та їх правове закріплення / М.В. Кравчук // Держава і право: Збірник наукових праць. Юридичні і політичні науки. Випуск 48. – К.: Ін-т держави і права ім. В. Корецького НАН України, 2010. – С.69-76.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14. Кришина Н. Формування органі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державної влади в добу Центральної Ради / Н.Кришина // Вісник державної служби України. –2007– №2. – С.81-86.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15. Поліщук В. Фінансова політика Української Центральної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Ради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і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Директор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ії / В. Поліщук // Розбудова держави. – 1995.– №9. – вересень. – С. 57-60.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16. Рубльов О.С.,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Реєнт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О.П. Українська Центральна Рада / О.С. Рубльов, О.П. Реєнт // Українські визвольні змагання 1917-1921 рр.. – 1999. – С.17-101.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17. Скальський В.В. Образ Центральної Ради у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ідомості селян на початковому етапі Української революції / В.В. Скальський //Український історичний журнал. – 2008.– №1. – січень-лютий. – С.46-58.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18. Тинченко Я. Перша українсько-більшовицька війна (грудень 1917-березень 1918) / Я.Тинченко. – Київ-Львів,1996. – 372 с.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19. Хрестоматія з історії держави і права України: навч.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пос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іб. / упоряд.: А.С.Чайковський (кер.), О.Л.Копиленко, В.М.Кривоніс, В.В. Свистунов, Г.І. Трофимчук. – К.: Юрінком: Інтер, 2003, 636 с.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20. Шевченко В. Хазяїн на 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своїй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землі Центральна Рада: початок українізації / В.Шевченко // День. –2007. – №51.</w:t>
      </w:r>
    </w:p>
    <w:p w:rsidR="00B1285D" w:rsidRPr="00B1285D" w:rsidRDefault="00B1285D" w:rsidP="00B1285D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21. Яцків Я. Українська Центральна Рада: історичне значення та уроки / Я. Яцків // Ві</w:t>
      </w:r>
      <w:proofErr w:type="gramStart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B1285D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з України. – 1998. – 5 лютого. </w:t>
      </w:r>
    </w:p>
    <w:p w:rsidR="00640372" w:rsidRDefault="00640372">
      <w:bookmarkStart w:id="0" w:name="_GoBack"/>
      <w:bookmarkEnd w:id="0"/>
    </w:p>
    <w:sectPr w:rsidR="006403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85D"/>
    <w:rsid w:val="00043287"/>
    <w:rsid w:val="00050566"/>
    <w:rsid w:val="00054DB4"/>
    <w:rsid w:val="00061094"/>
    <w:rsid w:val="00073980"/>
    <w:rsid w:val="0007552B"/>
    <w:rsid w:val="000A16C9"/>
    <w:rsid w:val="000A310C"/>
    <w:rsid w:val="000B1ED1"/>
    <w:rsid w:val="000C45C4"/>
    <w:rsid w:val="000C4EAA"/>
    <w:rsid w:val="000C5294"/>
    <w:rsid w:val="000E2DEF"/>
    <w:rsid w:val="000E5207"/>
    <w:rsid w:val="000F143D"/>
    <w:rsid w:val="00100B0F"/>
    <w:rsid w:val="0016414C"/>
    <w:rsid w:val="001977EB"/>
    <w:rsid w:val="001B5647"/>
    <w:rsid w:val="001C0395"/>
    <w:rsid w:val="001C3B73"/>
    <w:rsid w:val="001C4D3E"/>
    <w:rsid w:val="001D4884"/>
    <w:rsid w:val="00243B37"/>
    <w:rsid w:val="00243F5A"/>
    <w:rsid w:val="00256C55"/>
    <w:rsid w:val="00276510"/>
    <w:rsid w:val="002D73B1"/>
    <w:rsid w:val="002F4F8D"/>
    <w:rsid w:val="003403C4"/>
    <w:rsid w:val="00343B35"/>
    <w:rsid w:val="00381B0A"/>
    <w:rsid w:val="003B5A75"/>
    <w:rsid w:val="003C281C"/>
    <w:rsid w:val="003D1055"/>
    <w:rsid w:val="003D713F"/>
    <w:rsid w:val="003D739D"/>
    <w:rsid w:val="003E1284"/>
    <w:rsid w:val="00410149"/>
    <w:rsid w:val="00445AD5"/>
    <w:rsid w:val="00475CE0"/>
    <w:rsid w:val="00490BFB"/>
    <w:rsid w:val="004A7CC8"/>
    <w:rsid w:val="004B2881"/>
    <w:rsid w:val="004B446F"/>
    <w:rsid w:val="004E0465"/>
    <w:rsid w:val="0051350D"/>
    <w:rsid w:val="0057518D"/>
    <w:rsid w:val="00577D9F"/>
    <w:rsid w:val="005819E8"/>
    <w:rsid w:val="00584A36"/>
    <w:rsid w:val="00585702"/>
    <w:rsid w:val="005858B1"/>
    <w:rsid w:val="00590E6D"/>
    <w:rsid w:val="00593FB8"/>
    <w:rsid w:val="005B5768"/>
    <w:rsid w:val="005D6707"/>
    <w:rsid w:val="005E5907"/>
    <w:rsid w:val="00640372"/>
    <w:rsid w:val="0064327A"/>
    <w:rsid w:val="00664581"/>
    <w:rsid w:val="006707A1"/>
    <w:rsid w:val="006C55CF"/>
    <w:rsid w:val="006C6B9C"/>
    <w:rsid w:val="00704E32"/>
    <w:rsid w:val="00731E19"/>
    <w:rsid w:val="00745FBD"/>
    <w:rsid w:val="00753310"/>
    <w:rsid w:val="0076022B"/>
    <w:rsid w:val="007822B5"/>
    <w:rsid w:val="007A3DF2"/>
    <w:rsid w:val="007C0411"/>
    <w:rsid w:val="007C212F"/>
    <w:rsid w:val="007C5A81"/>
    <w:rsid w:val="007C77AC"/>
    <w:rsid w:val="007E692D"/>
    <w:rsid w:val="007F3F8F"/>
    <w:rsid w:val="008027E2"/>
    <w:rsid w:val="008242D1"/>
    <w:rsid w:val="00854560"/>
    <w:rsid w:val="00893BC8"/>
    <w:rsid w:val="008A01BD"/>
    <w:rsid w:val="008A29B9"/>
    <w:rsid w:val="008A46F5"/>
    <w:rsid w:val="008C7F18"/>
    <w:rsid w:val="008D069D"/>
    <w:rsid w:val="008E4BC5"/>
    <w:rsid w:val="008E77EF"/>
    <w:rsid w:val="00923B8F"/>
    <w:rsid w:val="009363E7"/>
    <w:rsid w:val="009556E3"/>
    <w:rsid w:val="0098685F"/>
    <w:rsid w:val="009B606F"/>
    <w:rsid w:val="009C7427"/>
    <w:rsid w:val="009F7446"/>
    <w:rsid w:val="00A05993"/>
    <w:rsid w:val="00A31FF4"/>
    <w:rsid w:val="00A43907"/>
    <w:rsid w:val="00A536C3"/>
    <w:rsid w:val="00A77C0C"/>
    <w:rsid w:val="00A93172"/>
    <w:rsid w:val="00AA44F0"/>
    <w:rsid w:val="00AC7874"/>
    <w:rsid w:val="00AD41EB"/>
    <w:rsid w:val="00AD584B"/>
    <w:rsid w:val="00AD7ADD"/>
    <w:rsid w:val="00B04EF5"/>
    <w:rsid w:val="00B064C9"/>
    <w:rsid w:val="00B1285D"/>
    <w:rsid w:val="00B404F2"/>
    <w:rsid w:val="00B61D4D"/>
    <w:rsid w:val="00B717B7"/>
    <w:rsid w:val="00BB4139"/>
    <w:rsid w:val="00BE40E9"/>
    <w:rsid w:val="00C0642E"/>
    <w:rsid w:val="00C07E58"/>
    <w:rsid w:val="00C155F2"/>
    <w:rsid w:val="00C37892"/>
    <w:rsid w:val="00C44D45"/>
    <w:rsid w:val="00C86F81"/>
    <w:rsid w:val="00C9126F"/>
    <w:rsid w:val="00C92780"/>
    <w:rsid w:val="00CE1CFB"/>
    <w:rsid w:val="00CE3C94"/>
    <w:rsid w:val="00CE4660"/>
    <w:rsid w:val="00CE607A"/>
    <w:rsid w:val="00CF377C"/>
    <w:rsid w:val="00CF3A73"/>
    <w:rsid w:val="00CF47D1"/>
    <w:rsid w:val="00D11F1C"/>
    <w:rsid w:val="00D24D76"/>
    <w:rsid w:val="00D7668A"/>
    <w:rsid w:val="00D8309C"/>
    <w:rsid w:val="00D93784"/>
    <w:rsid w:val="00D967A8"/>
    <w:rsid w:val="00DA6B1C"/>
    <w:rsid w:val="00DB5C7D"/>
    <w:rsid w:val="00DB72A6"/>
    <w:rsid w:val="00DC6875"/>
    <w:rsid w:val="00DC7DD1"/>
    <w:rsid w:val="00DD351A"/>
    <w:rsid w:val="00E10691"/>
    <w:rsid w:val="00E355C6"/>
    <w:rsid w:val="00E67231"/>
    <w:rsid w:val="00E92101"/>
    <w:rsid w:val="00E96559"/>
    <w:rsid w:val="00EA46AA"/>
    <w:rsid w:val="00EA516E"/>
    <w:rsid w:val="00EB0FF9"/>
    <w:rsid w:val="00EC4A3C"/>
    <w:rsid w:val="00EC5149"/>
    <w:rsid w:val="00F4153D"/>
    <w:rsid w:val="00F657D8"/>
    <w:rsid w:val="00F70E7D"/>
    <w:rsid w:val="00FA571E"/>
    <w:rsid w:val="00FB1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28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28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0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7532">
          <w:marLeft w:val="0"/>
          <w:marRight w:val="0"/>
          <w:marTop w:val="0"/>
          <w:marBottom w:val="0"/>
          <w:divBdr>
            <w:top w:val="single" w:sz="2" w:space="1" w:color="CBD5E0"/>
            <w:left w:val="single" w:sz="2" w:space="1" w:color="CBD5E0"/>
            <w:bottom w:val="single" w:sz="2" w:space="1" w:color="CBD5E0"/>
            <w:right w:val="single" w:sz="2" w:space="1" w:color="CBD5E0"/>
          </w:divBdr>
          <w:divsChild>
            <w:div w:id="21202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45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7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8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48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0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2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7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33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58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9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48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75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18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5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81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3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89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14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22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84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40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3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66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99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6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0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10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34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67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95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6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73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51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4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756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03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81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2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://www.legalactivity.com.ua/index.php?option=com_mailto&amp;tmpl=component&amp;link=aHR0cDovL3d3dy5sZWdhbGFjdGl2aXR5LmNvbS51YS9pbmRleC5waHA/b3B0aW9uPWNvbV9jb250ZW50JnZpZXc9YXJ0aWNsZSZpZD0yNTAlM0ExMjAzMTctMDEmY2F0aWQ9MzUlM0EtMSZJdGVtaWQ9NTImbGFuZz1ydQ%3D%3D&amp;lang=r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://www.legalactivity.com.ua/index.php?view=article&amp;catid=35:-1&amp;id=250:120317-01&amp;tmpl=component&amp;print=1&amp;layout=default&amp;page=&amp;option=com_content&amp;Itemid=52&amp;lang=ru" TargetMode="External"/><Relationship Id="rId10" Type="http://schemas.openxmlformats.org/officeDocument/2006/relationships/hyperlink" Target="http://www.legalactivity.com.ua/index.php?option=com_content&amp;view=category&amp;id=35%3A-1&amp;Itemid=52&amp;lang=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egalactivity.com.ua/index.php?option=com_content&amp;view=section&amp;id=13&amp;Itemid=51&amp;lang=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3339</Words>
  <Characters>19033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vmk</dc:creator>
  <cp:lastModifiedBy>vmk</cp:lastModifiedBy>
  <cp:revision>1</cp:revision>
  <dcterms:created xsi:type="dcterms:W3CDTF">2017-01-12T01:36:00Z</dcterms:created>
  <dcterms:modified xsi:type="dcterms:W3CDTF">2017-01-12T01:39:00Z</dcterms:modified>
</cp:coreProperties>
</file>