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52EF" w:rsidRPr="000D52EF" w:rsidRDefault="000D52EF" w:rsidP="000D52EF">
      <w:pPr>
        <w:jc w:val="center"/>
        <w:rPr>
          <w:rFonts w:ascii="Times New Roman" w:hAnsi="Times New Roman" w:cs="Times New Roman"/>
          <w:b/>
          <w:sz w:val="28"/>
        </w:rPr>
      </w:pPr>
      <w:r w:rsidRPr="000D52EF">
        <w:rPr>
          <w:rFonts w:ascii="Times New Roman" w:hAnsi="Times New Roman" w:cs="Times New Roman"/>
          <w:b/>
          <w:sz w:val="28"/>
        </w:rPr>
        <w:t>Міністерство освіти і науки України</w:t>
      </w:r>
    </w:p>
    <w:p w:rsidR="000D52EF" w:rsidRPr="000D52EF" w:rsidRDefault="000D52EF" w:rsidP="000D52EF">
      <w:pPr>
        <w:jc w:val="center"/>
        <w:rPr>
          <w:rFonts w:ascii="Times New Roman" w:hAnsi="Times New Roman" w:cs="Times New Roman"/>
          <w:b/>
          <w:sz w:val="28"/>
        </w:rPr>
      </w:pPr>
      <w:r w:rsidRPr="000D52EF">
        <w:rPr>
          <w:rFonts w:ascii="Times New Roman" w:hAnsi="Times New Roman" w:cs="Times New Roman"/>
          <w:b/>
          <w:sz w:val="28"/>
        </w:rPr>
        <w:t>Західноукраїнський національний університет</w:t>
      </w:r>
    </w:p>
    <w:p w:rsidR="000D52EF" w:rsidRPr="000D52EF" w:rsidRDefault="000D52EF" w:rsidP="000D52EF">
      <w:pPr>
        <w:jc w:val="center"/>
        <w:rPr>
          <w:rFonts w:ascii="Times New Roman" w:hAnsi="Times New Roman" w:cs="Times New Roman"/>
          <w:b/>
          <w:sz w:val="28"/>
        </w:rPr>
      </w:pPr>
      <w:r w:rsidRPr="000D52EF">
        <w:rPr>
          <w:rFonts w:ascii="Times New Roman" w:hAnsi="Times New Roman" w:cs="Times New Roman"/>
          <w:b/>
          <w:sz w:val="28"/>
        </w:rPr>
        <w:t>Юридичний факультет</w:t>
      </w:r>
    </w:p>
    <w:p w:rsidR="000D52EF" w:rsidRDefault="000D52EF" w:rsidP="000D52EF">
      <w:pPr>
        <w:jc w:val="center"/>
        <w:rPr>
          <w:rFonts w:ascii="Times New Roman" w:hAnsi="Times New Roman" w:cs="Times New Roman"/>
          <w:b/>
          <w:sz w:val="28"/>
        </w:rPr>
      </w:pPr>
    </w:p>
    <w:p w:rsidR="000E7CB6" w:rsidRPr="000D52EF" w:rsidRDefault="000E7CB6" w:rsidP="000D52EF">
      <w:pPr>
        <w:jc w:val="center"/>
        <w:rPr>
          <w:rFonts w:ascii="Times New Roman" w:hAnsi="Times New Roman" w:cs="Times New Roman"/>
          <w:b/>
          <w:sz w:val="28"/>
        </w:rPr>
      </w:pPr>
    </w:p>
    <w:p w:rsidR="000D52EF" w:rsidRDefault="000D52EF" w:rsidP="000E7CB6">
      <w:pPr>
        <w:jc w:val="right"/>
        <w:rPr>
          <w:rFonts w:ascii="Times New Roman" w:hAnsi="Times New Roman" w:cs="Times New Roman"/>
          <w:sz w:val="28"/>
        </w:rPr>
      </w:pPr>
      <w:r w:rsidRPr="000D52EF">
        <w:rPr>
          <w:rFonts w:ascii="Times New Roman" w:hAnsi="Times New Roman" w:cs="Times New Roman"/>
          <w:sz w:val="28"/>
        </w:rPr>
        <w:t xml:space="preserve">Кафедра </w:t>
      </w:r>
      <w:r w:rsidR="000E7CB6">
        <w:rPr>
          <w:rFonts w:ascii="Times New Roman" w:hAnsi="Times New Roman" w:cs="Times New Roman"/>
          <w:sz w:val="28"/>
        </w:rPr>
        <w:t>кримінального права та процесу</w:t>
      </w:r>
    </w:p>
    <w:p w:rsidR="000E7CB6" w:rsidRPr="000D52EF" w:rsidRDefault="000E7CB6" w:rsidP="000E7CB6">
      <w:pPr>
        <w:jc w:val="right"/>
        <w:rPr>
          <w:rFonts w:ascii="Times New Roman" w:hAnsi="Times New Roman" w:cs="Times New Roman"/>
          <w:sz w:val="28"/>
        </w:rPr>
      </w:pPr>
    </w:p>
    <w:p w:rsidR="000D52EF" w:rsidRPr="000D52EF" w:rsidRDefault="000D52EF" w:rsidP="000D52EF">
      <w:pPr>
        <w:rPr>
          <w:rFonts w:ascii="Times New Roman" w:hAnsi="Times New Roman" w:cs="Times New Roman"/>
          <w:sz w:val="28"/>
        </w:rPr>
      </w:pPr>
    </w:p>
    <w:p w:rsidR="000D52EF" w:rsidRPr="000D52EF" w:rsidRDefault="000D52EF" w:rsidP="000D52EF">
      <w:pPr>
        <w:rPr>
          <w:rFonts w:ascii="Times New Roman" w:hAnsi="Times New Roman" w:cs="Times New Roman"/>
          <w:sz w:val="28"/>
        </w:rPr>
      </w:pPr>
    </w:p>
    <w:p w:rsidR="000D52EF" w:rsidRPr="000D52EF" w:rsidRDefault="000D52EF" w:rsidP="000D52EF">
      <w:pPr>
        <w:jc w:val="center"/>
        <w:rPr>
          <w:rFonts w:ascii="Times New Roman" w:hAnsi="Times New Roman" w:cs="Times New Roman"/>
          <w:b/>
          <w:sz w:val="28"/>
        </w:rPr>
      </w:pPr>
      <w:r w:rsidRPr="000D52EF">
        <w:rPr>
          <w:rFonts w:ascii="Times New Roman" w:hAnsi="Times New Roman" w:cs="Times New Roman"/>
          <w:b/>
          <w:sz w:val="28"/>
        </w:rPr>
        <w:t>МІЖДИСЦИПЛІНАРНА КУРСОВА РОБОТА</w:t>
      </w:r>
    </w:p>
    <w:p w:rsidR="000D52EF" w:rsidRPr="000D52EF" w:rsidRDefault="000D52EF" w:rsidP="000D52EF">
      <w:pPr>
        <w:jc w:val="center"/>
        <w:rPr>
          <w:rFonts w:ascii="Times New Roman" w:hAnsi="Times New Roman" w:cs="Times New Roman"/>
          <w:b/>
          <w:sz w:val="28"/>
        </w:rPr>
      </w:pPr>
      <w:r w:rsidRPr="000D52EF">
        <w:rPr>
          <w:rFonts w:ascii="Times New Roman" w:hAnsi="Times New Roman" w:cs="Times New Roman"/>
          <w:b/>
          <w:sz w:val="28"/>
        </w:rPr>
        <w:t>з дисципліни</w:t>
      </w:r>
      <w:r w:rsidR="000E7CB6">
        <w:rPr>
          <w:rFonts w:ascii="Times New Roman" w:hAnsi="Times New Roman" w:cs="Times New Roman"/>
          <w:b/>
          <w:sz w:val="28"/>
        </w:rPr>
        <w:t xml:space="preserve"> Кримінальний процес</w:t>
      </w:r>
      <w:r w:rsidRPr="000D52EF">
        <w:rPr>
          <w:rFonts w:ascii="Times New Roman" w:hAnsi="Times New Roman" w:cs="Times New Roman"/>
          <w:b/>
          <w:sz w:val="28"/>
        </w:rPr>
        <w:t>:</w:t>
      </w:r>
    </w:p>
    <w:p w:rsidR="000D52EF" w:rsidRPr="000D52EF" w:rsidRDefault="000D52EF" w:rsidP="000D52EF">
      <w:pPr>
        <w:jc w:val="center"/>
        <w:rPr>
          <w:rFonts w:ascii="Times New Roman" w:hAnsi="Times New Roman" w:cs="Times New Roman"/>
          <w:sz w:val="28"/>
        </w:rPr>
      </w:pPr>
      <w:r w:rsidRPr="000D52EF">
        <w:rPr>
          <w:rFonts w:ascii="Times New Roman" w:hAnsi="Times New Roman" w:cs="Times New Roman"/>
          <w:sz w:val="28"/>
        </w:rPr>
        <w:t>на тему: «</w:t>
      </w:r>
      <w:r w:rsidR="00511E6A" w:rsidRPr="00511E6A">
        <w:rPr>
          <w:rFonts w:ascii="Times New Roman" w:hAnsi="Times New Roman" w:cs="Times New Roman"/>
          <w:sz w:val="28"/>
        </w:rPr>
        <w:t>Забезпечення права на оскарження процесуальних рішень, дій чи бездіяльності</w:t>
      </w:r>
      <w:r w:rsidRPr="000D52EF">
        <w:rPr>
          <w:rFonts w:ascii="Times New Roman" w:hAnsi="Times New Roman" w:cs="Times New Roman"/>
          <w:sz w:val="28"/>
        </w:rPr>
        <w:t>»</w:t>
      </w:r>
    </w:p>
    <w:p w:rsidR="000D52EF" w:rsidRPr="000D52EF" w:rsidRDefault="000D52EF" w:rsidP="000D52EF">
      <w:pPr>
        <w:jc w:val="center"/>
        <w:rPr>
          <w:rFonts w:ascii="Times New Roman" w:hAnsi="Times New Roman" w:cs="Times New Roman"/>
          <w:sz w:val="28"/>
        </w:rPr>
      </w:pPr>
    </w:p>
    <w:p w:rsidR="000D52EF" w:rsidRPr="000D52EF" w:rsidRDefault="000D52EF" w:rsidP="000D52EF">
      <w:pPr>
        <w:jc w:val="center"/>
        <w:rPr>
          <w:rFonts w:ascii="Times New Roman" w:hAnsi="Times New Roman" w:cs="Times New Roman"/>
          <w:sz w:val="28"/>
        </w:rPr>
      </w:pPr>
    </w:p>
    <w:p w:rsidR="000D52EF" w:rsidRPr="000D52EF" w:rsidRDefault="000D52EF" w:rsidP="000D52EF">
      <w:pPr>
        <w:jc w:val="center"/>
        <w:rPr>
          <w:rFonts w:ascii="Times New Roman" w:hAnsi="Times New Roman" w:cs="Times New Roman"/>
          <w:sz w:val="28"/>
        </w:rPr>
      </w:pPr>
    </w:p>
    <w:p w:rsidR="000D52EF" w:rsidRPr="000D52EF" w:rsidRDefault="000D52EF" w:rsidP="000D52EF">
      <w:pPr>
        <w:ind w:left="4536"/>
        <w:rPr>
          <w:rFonts w:ascii="Times New Roman" w:hAnsi="Times New Roman" w:cs="Times New Roman"/>
          <w:sz w:val="28"/>
        </w:rPr>
      </w:pPr>
      <w:r w:rsidRPr="000D52EF">
        <w:rPr>
          <w:rFonts w:ascii="Times New Roman" w:hAnsi="Times New Roman" w:cs="Times New Roman"/>
          <w:sz w:val="28"/>
        </w:rPr>
        <w:t>Студент</w:t>
      </w:r>
      <w:r w:rsidR="000E7CB6">
        <w:rPr>
          <w:rFonts w:ascii="Times New Roman" w:hAnsi="Times New Roman" w:cs="Times New Roman"/>
          <w:sz w:val="28"/>
        </w:rPr>
        <w:t>ка</w:t>
      </w:r>
      <w:r w:rsidRPr="000D52EF">
        <w:rPr>
          <w:rFonts w:ascii="Times New Roman" w:hAnsi="Times New Roman" w:cs="Times New Roman"/>
          <w:sz w:val="28"/>
        </w:rPr>
        <w:t xml:space="preserve"> групи</w:t>
      </w:r>
      <w:r w:rsidR="000E7CB6">
        <w:rPr>
          <w:rFonts w:ascii="Times New Roman" w:hAnsi="Times New Roman" w:cs="Times New Roman"/>
          <w:sz w:val="28"/>
        </w:rPr>
        <w:t xml:space="preserve"> ПР-32</w:t>
      </w:r>
      <w:r w:rsidRPr="000D52EF">
        <w:rPr>
          <w:rFonts w:ascii="Times New Roman" w:hAnsi="Times New Roman" w:cs="Times New Roman"/>
          <w:sz w:val="28"/>
        </w:rPr>
        <w:t>:</w:t>
      </w:r>
    </w:p>
    <w:p w:rsidR="000D52EF" w:rsidRPr="000D52EF" w:rsidRDefault="000E7CB6" w:rsidP="000D52EF">
      <w:pPr>
        <w:ind w:left="4536"/>
        <w:rPr>
          <w:rFonts w:ascii="Times New Roman" w:hAnsi="Times New Roman" w:cs="Times New Roman"/>
          <w:sz w:val="28"/>
        </w:rPr>
      </w:pPr>
      <w:r>
        <w:rPr>
          <w:rFonts w:ascii="Times New Roman" w:hAnsi="Times New Roman" w:cs="Times New Roman"/>
          <w:sz w:val="28"/>
        </w:rPr>
        <w:t>Бабікова Вероніка Русланівна</w:t>
      </w:r>
    </w:p>
    <w:p w:rsidR="000E7CB6" w:rsidRDefault="000E7CB6" w:rsidP="000D52EF">
      <w:pPr>
        <w:ind w:left="4536"/>
        <w:rPr>
          <w:rFonts w:ascii="Times New Roman" w:hAnsi="Times New Roman" w:cs="Times New Roman"/>
          <w:sz w:val="28"/>
        </w:rPr>
      </w:pPr>
      <w:r>
        <w:rPr>
          <w:rFonts w:ascii="Times New Roman" w:hAnsi="Times New Roman" w:cs="Times New Roman"/>
          <w:sz w:val="28"/>
        </w:rPr>
        <w:t>Керівник:</w:t>
      </w:r>
    </w:p>
    <w:p w:rsidR="000D52EF" w:rsidRPr="000D52EF" w:rsidRDefault="000E7CB6" w:rsidP="000D52EF">
      <w:pPr>
        <w:ind w:left="4536"/>
        <w:rPr>
          <w:rFonts w:ascii="Times New Roman" w:hAnsi="Times New Roman" w:cs="Times New Roman"/>
          <w:sz w:val="28"/>
        </w:rPr>
      </w:pPr>
      <w:r>
        <w:rPr>
          <w:rFonts w:ascii="Times New Roman" w:hAnsi="Times New Roman" w:cs="Times New Roman"/>
          <w:sz w:val="28"/>
        </w:rPr>
        <w:t>Рогатинська Ніна Зіновіївна</w:t>
      </w:r>
    </w:p>
    <w:p w:rsidR="000D52EF" w:rsidRPr="000D52EF" w:rsidRDefault="000D52EF" w:rsidP="000D52EF">
      <w:pPr>
        <w:ind w:left="4536"/>
        <w:rPr>
          <w:rFonts w:ascii="Times New Roman" w:hAnsi="Times New Roman" w:cs="Times New Roman"/>
          <w:sz w:val="28"/>
        </w:rPr>
      </w:pPr>
    </w:p>
    <w:p w:rsidR="000D52EF" w:rsidRPr="000D52EF" w:rsidRDefault="000D52EF" w:rsidP="000D52EF">
      <w:pPr>
        <w:ind w:left="4536"/>
        <w:rPr>
          <w:rFonts w:ascii="Times New Roman" w:hAnsi="Times New Roman" w:cs="Times New Roman"/>
          <w:sz w:val="28"/>
        </w:rPr>
      </w:pPr>
      <w:r w:rsidRPr="000D52EF">
        <w:rPr>
          <w:rFonts w:ascii="Times New Roman" w:hAnsi="Times New Roman" w:cs="Times New Roman"/>
          <w:sz w:val="28"/>
        </w:rPr>
        <w:t>Національна шкала________</w:t>
      </w:r>
    </w:p>
    <w:p w:rsidR="000D52EF" w:rsidRPr="000D52EF" w:rsidRDefault="000D52EF" w:rsidP="000D52EF">
      <w:pPr>
        <w:ind w:left="4536"/>
        <w:rPr>
          <w:rFonts w:ascii="Times New Roman" w:hAnsi="Times New Roman" w:cs="Times New Roman"/>
          <w:sz w:val="28"/>
        </w:rPr>
      </w:pPr>
      <w:r w:rsidRPr="000D52EF">
        <w:rPr>
          <w:rFonts w:ascii="Times New Roman" w:hAnsi="Times New Roman" w:cs="Times New Roman"/>
          <w:sz w:val="28"/>
        </w:rPr>
        <w:t>Кількість балів:______ Оцінка: ECTS__</w:t>
      </w:r>
    </w:p>
    <w:p w:rsidR="000D52EF" w:rsidRPr="000D52EF" w:rsidRDefault="000D52EF" w:rsidP="000D52EF">
      <w:pPr>
        <w:ind w:left="4536"/>
        <w:rPr>
          <w:rFonts w:ascii="Times New Roman" w:hAnsi="Times New Roman" w:cs="Times New Roman"/>
          <w:sz w:val="28"/>
        </w:rPr>
      </w:pPr>
      <w:r w:rsidRPr="000D52EF">
        <w:rPr>
          <w:rFonts w:ascii="Times New Roman" w:hAnsi="Times New Roman" w:cs="Times New Roman"/>
          <w:sz w:val="28"/>
        </w:rPr>
        <w:t>Члени комісії ______ ___________</w:t>
      </w:r>
    </w:p>
    <w:p w:rsidR="000D52EF" w:rsidRPr="000D52EF" w:rsidRDefault="000D52EF" w:rsidP="000D52EF">
      <w:pPr>
        <w:ind w:left="4536"/>
        <w:rPr>
          <w:rFonts w:ascii="Times New Roman" w:hAnsi="Times New Roman" w:cs="Times New Roman"/>
          <w:sz w:val="28"/>
        </w:rPr>
      </w:pPr>
      <w:r w:rsidRPr="000D52EF">
        <w:rPr>
          <w:rFonts w:ascii="Times New Roman" w:hAnsi="Times New Roman" w:cs="Times New Roman"/>
          <w:sz w:val="28"/>
        </w:rPr>
        <w:t xml:space="preserve"> ______ ___________</w:t>
      </w:r>
    </w:p>
    <w:p w:rsidR="000D52EF" w:rsidRPr="000D52EF" w:rsidRDefault="000D52EF" w:rsidP="000D52EF">
      <w:pPr>
        <w:ind w:left="4536"/>
        <w:rPr>
          <w:rFonts w:ascii="Times New Roman" w:hAnsi="Times New Roman" w:cs="Times New Roman"/>
          <w:sz w:val="28"/>
        </w:rPr>
      </w:pPr>
      <w:r w:rsidRPr="000D52EF">
        <w:rPr>
          <w:rFonts w:ascii="Times New Roman" w:hAnsi="Times New Roman" w:cs="Times New Roman"/>
          <w:sz w:val="28"/>
        </w:rPr>
        <w:t>______ ___________</w:t>
      </w:r>
    </w:p>
    <w:p w:rsidR="000D52EF" w:rsidRPr="000D52EF" w:rsidRDefault="000D52EF" w:rsidP="000D52EF">
      <w:pPr>
        <w:ind w:left="4536"/>
        <w:rPr>
          <w:rFonts w:ascii="Times New Roman" w:hAnsi="Times New Roman" w:cs="Times New Roman"/>
          <w:sz w:val="28"/>
        </w:rPr>
      </w:pPr>
      <w:r w:rsidRPr="000D52EF">
        <w:rPr>
          <w:rFonts w:ascii="Times New Roman" w:hAnsi="Times New Roman" w:cs="Times New Roman"/>
          <w:sz w:val="28"/>
        </w:rPr>
        <w:t xml:space="preserve"> (підпис) (прізвище та ініціали)</w:t>
      </w:r>
    </w:p>
    <w:p w:rsidR="000D52EF" w:rsidRPr="000D52EF" w:rsidRDefault="000D52EF" w:rsidP="000D52EF">
      <w:pPr>
        <w:rPr>
          <w:rFonts w:ascii="Times New Roman" w:hAnsi="Times New Roman" w:cs="Times New Roman"/>
          <w:sz w:val="28"/>
        </w:rPr>
      </w:pPr>
    </w:p>
    <w:p w:rsidR="000D52EF" w:rsidRPr="000D52EF" w:rsidRDefault="000D52EF" w:rsidP="000E7CB6">
      <w:pPr>
        <w:jc w:val="center"/>
        <w:rPr>
          <w:rFonts w:ascii="Times New Roman" w:hAnsi="Times New Roman" w:cs="Times New Roman"/>
          <w:sz w:val="28"/>
        </w:rPr>
      </w:pPr>
      <w:bookmarkStart w:id="0" w:name="_GoBack"/>
      <w:bookmarkEnd w:id="0"/>
      <w:r w:rsidRPr="000D52EF">
        <w:rPr>
          <w:rFonts w:ascii="Times New Roman" w:hAnsi="Times New Roman" w:cs="Times New Roman"/>
          <w:sz w:val="28"/>
        </w:rPr>
        <w:t>Тернопіль – 2024</w:t>
      </w:r>
    </w:p>
    <w:p w:rsidR="000D52EF" w:rsidRPr="000E7CB6" w:rsidRDefault="000D52EF" w:rsidP="000E7CB6">
      <w:pPr>
        <w:jc w:val="center"/>
        <w:rPr>
          <w:rFonts w:ascii="Times New Roman" w:hAnsi="Times New Roman" w:cs="Times New Roman"/>
          <w:sz w:val="28"/>
        </w:rPr>
      </w:pPr>
      <w:r w:rsidRPr="000D52EF">
        <w:rPr>
          <w:rFonts w:ascii="Times New Roman" w:eastAsia="Times New Roman" w:hAnsi="Times New Roman" w:cs="Times New Roman"/>
          <w:b/>
          <w:sz w:val="28"/>
          <w:szCs w:val="28"/>
          <w:lang w:eastAsia="ru-RU"/>
        </w:rPr>
        <w:lastRenderedPageBreak/>
        <w:t>ЗМІСТ</w:t>
      </w:r>
    </w:p>
    <w:p w:rsidR="000D52EF" w:rsidRPr="000D52EF" w:rsidRDefault="000D52EF" w:rsidP="000D52EF">
      <w:pPr>
        <w:spacing w:after="0" w:line="360" w:lineRule="auto"/>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sz w:val="28"/>
          <w:szCs w:val="24"/>
          <w:lang w:eastAsia="ru-RU"/>
        </w:rPr>
        <w:t>ВСТУП</w:t>
      </w:r>
      <w:r w:rsidRPr="000D52EF">
        <w:rPr>
          <w:rFonts w:ascii="Times New Roman" w:eastAsia="Times New Roman" w:hAnsi="Times New Roman" w:cs="Times New Roman"/>
          <w:sz w:val="28"/>
          <w:szCs w:val="24"/>
          <w:lang w:eastAsia="ru-RU"/>
        </w:rPr>
        <w:t>……………………………………………………………………....….........3</w:t>
      </w:r>
    </w:p>
    <w:p w:rsidR="000D52EF" w:rsidRPr="000D52EF" w:rsidRDefault="000D52EF" w:rsidP="000D52EF">
      <w:pPr>
        <w:spacing w:after="0" w:line="360" w:lineRule="auto"/>
        <w:jc w:val="both"/>
        <w:rPr>
          <w:rFonts w:ascii="Times New Roman" w:eastAsia="Times New Roman" w:hAnsi="Times New Roman" w:cs="Times New Roman"/>
          <w:bCs/>
          <w:sz w:val="28"/>
          <w:szCs w:val="24"/>
          <w:lang w:eastAsia="ru-RU"/>
        </w:rPr>
      </w:pPr>
      <w:r w:rsidRPr="000D52EF">
        <w:rPr>
          <w:rFonts w:ascii="Times New Roman" w:eastAsia="Times New Roman" w:hAnsi="Times New Roman" w:cs="Times New Roman"/>
          <w:b/>
          <w:bCs/>
          <w:sz w:val="28"/>
          <w:szCs w:val="24"/>
          <w:lang w:eastAsia="ru-RU"/>
        </w:rPr>
        <w:t xml:space="preserve">РОЗДІЛ 1. </w:t>
      </w:r>
      <w:r w:rsidR="00511E6A" w:rsidRPr="000D52EF">
        <w:rPr>
          <w:rFonts w:ascii="Times New Roman" w:eastAsia="Times New Roman" w:hAnsi="Times New Roman" w:cs="Times New Roman"/>
          <w:b/>
          <w:bCs/>
          <w:sz w:val="28"/>
          <w:szCs w:val="24"/>
          <w:lang w:eastAsia="ru-RU"/>
        </w:rPr>
        <w:t xml:space="preserve">ЗАГАЛЬНА ХАРАКТЕРИСТИКА </w:t>
      </w:r>
      <w:r w:rsidR="00511E6A">
        <w:rPr>
          <w:rFonts w:ascii="Times New Roman" w:eastAsia="Times New Roman" w:hAnsi="Times New Roman" w:cs="Times New Roman"/>
          <w:b/>
          <w:bCs/>
          <w:sz w:val="28"/>
          <w:szCs w:val="24"/>
          <w:lang w:eastAsia="ru-RU"/>
        </w:rPr>
        <w:t xml:space="preserve">ПРАВА НА </w:t>
      </w:r>
      <w:r w:rsidR="00511E6A" w:rsidRPr="00511E6A">
        <w:rPr>
          <w:rFonts w:ascii="Times New Roman" w:eastAsia="Times New Roman" w:hAnsi="Times New Roman" w:cs="Times New Roman"/>
          <w:b/>
          <w:bCs/>
          <w:sz w:val="28"/>
          <w:szCs w:val="24"/>
          <w:lang w:eastAsia="ru-RU"/>
        </w:rPr>
        <w:t>ОСКАРЖЕННЯ РІШЕНЬ, ДІЙ ЧИ БЕЗДІЯЛЬНОСТІ У КРИМІНАЛЬНОМУ ПРОВАДЖЕННІ</w:t>
      </w:r>
      <w:r w:rsidRPr="000D52EF">
        <w:rPr>
          <w:rFonts w:ascii="Times New Roman" w:eastAsia="Times New Roman" w:hAnsi="Times New Roman" w:cs="Times New Roman"/>
          <w:bCs/>
          <w:sz w:val="28"/>
          <w:szCs w:val="24"/>
          <w:lang w:eastAsia="ru-RU"/>
        </w:rPr>
        <w:t>........................................................................................................5</w:t>
      </w:r>
    </w:p>
    <w:p w:rsidR="000D52EF" w:rsidRPr="000D52EF" w:rsidRDefault="000D52EF" w:rsidP="000D52EF">
      <w:pPr>
        <w:spacing w:after="0" w:line="360" w:lineRule="auto"/>
        <w:ind w:firstLine="709"/>
        <w:jc w:val="both"/>
        <w:rPr>
          <w:rFonts w:ascii="Times New Roman" w:eastAsia="Times New Roman" w:hAnsi="Times New Roman" w:cs="Times New Roman"/>
          <w:bCs/>
          <w:sz w:val="28"/>
          <w:szCs w:val="24"/>
          <w:lang w:eastAsia="ru-RU"/>
        </w:rPr>
      </w:pPr>
      <w:r w:rsidRPr="000D52EF">
        <w:rPr>
          <w:rFonts w:ascii="Times New Roman" w:eastAsia="Times New Roman" w:hAnsi="Times New Roman" w:cs="Times New Roman"/>
          <w:bCs/>
          <w:sz w:val="28"/>
          <w:szCs w:val="24"/>
          <w:lang w:eastAsia="ru-RU"/>
        </w:rPr>
        <w:t>1.1.</w:t>
      </w:r>
      <w:r w:rsidRPr="000D52EF">
        <w:t xml:space="preserve"> </w:t>
      </w:r>
      <w:r w:rsidR="00511E6A" w:rsidRPr="00511E6A">
        <w:rPr>
          <w:rFonts w:ascii="Times New Roman" w:eastAsia="Times New Roman" w:hAnsi="Times New Roman" w:cs="Times New Roman"/>
          <w:bCs/>
          <w:sz w:val="28"/>
          <w:szCs w:val="24"/>
          <w:lang w:eastAsia="ru-RU"/>
        </w:rPr>
        <w:t>Поняття і зміст права на оскарження рішень, дій чи бездіяльності у кримінальному провадженні</w:t>
      </w:r>
      <w:r w:rsidR="00511E6A">
        <w:rPr>
          <w:rFonts w:ascii="Times New Roman" w:eastAsia="Times New Roman" w:hAnsi="Times New Roman" w:cs="Times New Roman"/>
          <w:bCs/>
          <w:sz w:val="28"/>
          <w:szCs w:val="24"/>
          <w:lang w:eastAsia="ru-RU"/>
        </w:rPr>
        <w:t>..................</w:t>
      </w:r>
      <w:r w:rsidRPr="000D52EF">
        <w:rPr>
          <w:rFonts w:ascii="Times New Roman" w:eastAsia="Times New Roman" w:hAnsi="Times New Roman" w:cs="Times New Roman"/>
          <w:bCs/>
          <w:sz w:val="28"/>
          <w:szCs w:val="24"/>
          <w:lang w:eastAsia="ru-RU"/>
        </w:rPr>
        <w:t>....................................................................5</w:t>
      </w:r>
    </w:p>
    <w:p w:rsidR="000D52EF" w:rsidRPr="000D52EF" w:rsidRDefault="000D52EF" w:rsidP="000D52EF">
      <w:pPr>
        <w:spacing w:after="0" w:line="360" w:lineRule="auto"/>
        <w:ind w:firstLine="709"/>
        <w:jc w:val="both"/>
        <w:rPr>
          <w:rFonts w:ascii="Times New Roman" w:eastAsia="Times New Roman" w:hAnsi="Times New Roman" w:cs="Times New Roman"/>
          <w:bCs/>
          <w:sz w:val="28"/>
          <w:szCs w:val="24"/>
          <w:lang w:eastAsia="ru-RU"/>
        </w:rPr>
      </w:pPr>
      <w:r w:rsidRPr="000D52EF">
        <w:rPr>
          <w:rFonts w:ascii="Times New Roman" w:eastAsia="Times New Roman" w:hAnsi="Times New Roman" w:cs="Times New Roman"/>
          <w:bCs/>
          <w:sz w:val="28"/>
          <w:szCs w:val="24"/>
          <w:lang w:eastAsia="ru-RU"/>
        </w:rPr>
        <w:t xml:space="preserve">1.2. </w:t>
      </w:r>
      <w:r w:rsidR="00511E6A" w:rsidRPr="00511E6A">
        <w:rPr>
          <w:rFonts w:ascii="Times New Roman" w:eastAsia="Times New Roman" w:hAnsi="Times New Roman" w:cs="Times New Roman"/>
          <w:bCs/>
          <w:sz w:val="28"/>
          <w:szCs w:val="24"/>
          <w:lang w:eastAsia="ru-RU"/>
        </w:rPr>
        <w:t>Порядок оскарження рішень, дій чи бездіяльності органів досудового розслідування.</w:t>
      </w:r>
      <w:r w:rsidRPr="000D52EF">
        <w:rPr>
          <w:rFonts w:ascii="Times New Roman" w:eastAsia="Times New Roman" w:hAnsi="Times New Roman" w:cs="Times New Roman"/>
          <w:bCs/>
          <w:sz w:val="28"/>
          <w:szCs w:val="24"/>
          <w:lang w:eastAsia="ru-RU"/>
        </w:rPr>
        <w:t>............................................................................................................10</w:t>
      </w:r>
    </w:p>
    <w:p w:rsidR="000D52EF" w:rsidRPr="000D52EF" w:rsidRDefault="000D52EF" w:rsidP="000D52EF">
      <w:pPr>
        <w:spacing w:after="0" w:line="360" w:lineRule="auto"/>
        <w:jc w:val="both"/>
        <w:rPr>
          <w:rFonts w:ascii="Times New Roman" w:eastAsia="Times New Roman" w:hAnsi="Times New Roman" w:cs="Times New Roman"/>
          <w:bCs/>
          <w:sz w:val="28"/>
          <w:szCs w:val="24"/>
          <w:lang w:eastAsia="ru-RU"/>
        </w:rPr>
      </w:pPr>
      <w:r w:rsidRPr="000D52EF">
        <w:rPr>
          <w:rFonts w:ascii="Times New Roman" w:eastAsia="Times New Roman" w:hAnsi="Times New Roman" w:cs="Times New Roman"/>
          <w:b/>
          <w:bCs/>
          <w:sz w:val="28"/>
          <w:szCs w:val="24"/>
          <w:lang w:eastAsia="ru-RU"/>
        </w:rPr>
        <w:t xml:space="preserve">РОЗДІЛ 2. </w:t>
      </w:r>
      <w:r w:rsidR="00511E6A">
        <w:rPr>
          <w:rFonts w:ascii="Times New Roman" w:eastAsia="Times New Roman" w:hAnsi="Times New Roman" w:cs="Times New Roman"/>
          <w:b/>
          <w:bCs/>
          <w:sz w:val="28"/>
          <w:szCs w:val="24"/>
          <w:lang w:eastAsia="ru-RU"/>
        </w:rPr>
        <w:t xml:space="preserve">ДЕЯКІ АСПЕКТИ ОСКАРЖЕННЯ </w:t>
      </w:r>
      <w:r w:rsidR="00511E6A" w:rsidRPr="00511E6A">
        <w:rPr>
          <w:rFonts w:ascii="Times New Roman" w:eastAsia="Times New Roman" w:hAnsi="Times New Roman" w:cs="Times New Roman"/>
          <w:b/>
          <w:bCs/>
          <w:sz w:val="28"/>
          <w:szCs w:val="24"/>
          <w:lang w:eastAsia="ru-RU"/>
        </w:rPr>
        <w:t>ПРОЦЕСУАЛЬНИХ РІШЕНЬ, ДІЙ ЧИ БЕЗДІЯЛЬНОСТІ</w:t>
      </w:r>
      <w:r w:rsidR="00511E6A">
        <w:rPr>
          <w:rFonts w:ascii="Times New Roman" w:eastAsia="Times New Roman" w:hAnsi="Times New Roman" w:cs="Times New Roman"/>
          <w:bCs/>
          <w:sz w:val="28"/>
          <w:szCs w:val="24"/>
          <w:lang w:eastAsia="ru-RU"/>
        </w:rPr>
        <w:t>.....</w:t>
      </w:r>
      <w:r w:rsidRPr="000D52EF">
        <w:rPr>
          <w:rFonts w:ascii="Times New Roman" w:eastAsia="Times New Roman" w:hAnsi="Times New Roman" w:cs="Times New Roman"/>
          <w:bCs/>
          <w:sz w:val="28"/>
          <w:szCs w:val="24"/>
          <w:lang w:eastAsia="ru-RU"/>
        </w:rPr>
        <w:t>............................................................15</w:t>
      </w:r>
    </w:p>
    <w:p w:rsidR="000D52EF" w:rsidRPr="000D52EF" w:rsidRDefault="000D52EF" w:rsidP="000D52EF">
      <w:pPr>
        <w:spacing w:after="0" w:line="360" w:lineRule="auto"/>
        <w:ind w:firstLine="709"/>
        <w:jc w:val="both"/>
        <w:rPr>
          <w:rFonts w:ascii="Times New Roman" w:eastAsia="Times New Roman" w:hAnsi="Times New Roman" w:cs="Times New Roman"/>
          <w:bCs/>
          <w:sz w:val="28"/>
          <w:szCs w:val="24"/>
          <w:lang w:eastAsia="ru-RU"/>
        </w:rPr>
      </w:pPr>
      <w:r w:rsidRPr="000D52EF">
        <w:rPr>
          <w:rFonts w:ascii="Times New Roman" w:eastAsia="Times New Roman" w:hAnsi="Times New Roman" w:cs="Times New Roman"/>
          <w:bCs/>
          <w:sz w:val="28"/>
          <w:szCs w:val="24"/>
          <w:lang w:eastAsia="ru-RU"/>
        </w:rPr>
        <w:t xml:space="preserve">2.1. Проблеми </w:t>
      </w:r>
      <w:r w:rsidR="00511E6A" w:rsidRPr="00511E6A">
        <w:rPr>
          <w:rFonts w:ascii="Times New Roman" w:eastAsia="Times New Roman" w:hAnsi="Times New Roman" w:cs="Times New Roman"/>
          <w:bCs/>
          <w:sz w:val="28"/>
          <w:szCs w:val="24"/>
          <w:lang w:eastAsia="ru-RU"/>
        </w:rPr>
        <w:t>оскарження слідчому судді рішень, дій чи бездіяльності слідчого та прокурора</w:t>
      </w:r>
      <w:r w:rsidR="00511E6A">
        <w:rPr>
          <w:rFonts w:ascii="Times New Roman" w:eastAsia="Times New Roman" w:hAnsi="Times New Roman" w:cs="Times New Roman"/>
          <w:bCs/>
          <w:sz w:val="28"/>
          <w:szCs w:val="24"/>
          <w:lang w:eastAsia="ru-RU"/>
        </w:rPr>
        <w:t>.</w:t>
      </w:r>
      <w:r w:rsidRPr="000D52EF">
        <w:rPr>
          <w:rFonts w:ascii="Times New Roman" w:eastAsia="Times New Roman" w:hAnsi="Times New Roman" w:cs="Times New Roman"/>
          <w:bCs/>
          <w:sz w:val="28"/>
          <w:szCs w:val="24"/>
          <w:lang w:eastAsia="ru-RU"/>
        </w:rPr>
        <w:t>..................................................</w:t>
      </w:r>
      <w:r w:rsidR="003670D5">
        <w:rPr>
          <w:rFonts w:ascii="Times New Roman" w:eastAsia="Times New Roman" w:hAnsi="Times New Roman" w:cs="Times New Roman"/>
          <w:bCs/>
          <w:sz w:val="28"/>
          <w:szCs w:val="24"/>
          <w:lang w:eastAsia="ru-RU"/>
        </w:rPr>
        <w:t>..................................</w:t>
      </w:r>
      <w:r w:rsidRPr="000D52EF">
        <w:rPr>
          <w:rFonts w:ascii="Times New Roman" w:eastAsia="Times New Roman" w:hAnsi="Times New Roman" w:cs="Times New Roman"/>
          <w:bCs/>
          <w:sz w:val="28"/>
          <w:szCs w:val="24"/>
          <w:lang w:eastAsia="ru-RU"/>
        </w:rPr>
        <w:t>..........15</w:t>
      </w:r>
    </w:p>
    <w:p w:rsidR="000D52EF" w:rsidRPr="000D52EF" w:rsidRDefault="000D52EF" w:rsidP="00511E6A">
      <w:pPr>
        <w:spacing w:after="0" w:line="360" w:lineRule="auto"/>
        <w:ind w:firstLine="709"/>
        <w:jc w:val="both"/>
        <w:rPr>
          <w:rFonts w:ascii="Times New Roman" w:eastAsia="Times New Roman" w:hAnsi="Times New Roman" w:cs="Times New Roman"/>
          <w:bCs/>
          <w:sz w:val="28"/>
          <w:szCs w:val="24"/>
          <w:lang w:eastAsia="ru-RU"/>
        </w:rPr>
      </w:pPr>
      <w:r w:rsidRPr="000D52EF">
        <w:rPr>
          <w:rFonts w:ascii="Times New Roman" w:eastAsia="Times New Roman" w:hAnsi="Times New Roman" w:cs="Times New Roman"/>
          <w:bCs/>
          <w:sz w:val="28"/>
          <w:szCs w:val="24"/>
          <w:lang w:eastAsia="ru-RU"/>
        </w:rPr>
        <w:t xml:space="preserve">2.2. </w:t>
      </w:r>
      <w:r w:rsidR="00511E6A">
        <w:rPr>
          <w:rFonts w:ascii="Times New Roman" w:eastAsia="Times New Roman" w:hAnsi="Times New Roman" w:cs="Times New Roman"/>
          <w:bCs/>
          <w:sz w:val="28"/>
          <w:szCs w:val="24"/>
          <w:lang w:eastAsia="ru-RU"/>
        </w:rPr>
        <w:t>О</w:t>
      </w:r>
      <w:r w:rsidR="00511E6A" w:rsidRPr="00511E6A">
        <w:rPr>
          <w:rFonts w:ascii="Times New Roman" w:eastAsia="Times New Roman" w:hAnsi="Times New Roman" w:cs="Times New Roman"/>
          <w:bCs/>
          <w:sz w:val="28"/>
          <w:szCs w:val="24"/>
          <w:lang w:eastAsia="ru-RU"/>
        </w:rPr>
        <w:t>кремі проблеми реалізації права на оскарження</w:t>
      </w:r>
      <w:r w:rsidR="00511E6A">
        <w:rPr>
          <w:rFonts w:ascii="Times New Roman" w:eastAsia="Times New Roman" w:hAnsi="Times New Roman" w:cs="Times New Roman"/>
          <w:bCs/>
          <w:sz w:val="28"/>
          <w:szCs w:val="24"/>
          <w:lang w:eastAsia="ru-RU"/>
        </w:rPr>
        <w:t xml:space="preserve"> </w:t>
      </w:r>
      <w:r w:rsidR="00511E6A" w:rsidRPr="00511E6A">
        <w:rPr>
          <w:rFonts w:ascii="Times New Roman" w:eastAsia="Times New Roman" w:hAnsi="Times New Roman" w:cs="Times New Roman"/>
          <w:bCs/>
          <w:sz w:val="28"/>
          <w:szCs w:val="24"/>
          <w:lang w:eastAsia="ru-RU"/>
        </w:rPr>
        <w:t>повідомлення про підозру</w:t>
      </w:r>
      <w:r w:rsidRPr="000D52EF">
        <w:rPr>
          <w:rFonts w:ascii="Times New Roman" w:eastAsia="Times New Roman" w:hAnsi="Times New Roman" w:cs="Times New Roman"/>
          <w:bCs/>
          <w:sz w:val="28"/>
          <w:szCs w:val="24"/>
          <w:lang w:eastAsia="ru-RU"/>
        </w:rPr>
        <w:t>..........................................................................................</w:t>
      </w:r>
      <w:r w:rsidR="00D22CB3">
        <w:rPr>
          <w:rFonts w:ascii="Times New Roman" w:eastAsia="Times New Roman" w:hAnsi="Times New Roman" w:cs="Times New Roman"/>
          <w:bCs/>
          <w:sz w:val="28"/>
          <w:szCs w:val="24"/>
          <w:lang w:eastAsia="ru-RU"/>
        </w:rPr>
        <w:t>..............................17</w:t>
      </w:r>
    </w:p>
    <w:p w:rsidR="000D52EF" w:rsidRPr="000D52EF" w:rsidRDefault="000D52EF" w:rsidP="000D52EF">
      <w:pPr>
        <w:spacing w:after="0" w:line="360" w:lineRule="auto"/>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sz w:val="28"/>
          <w:szCs w:val="24"/>
          <w:lang w:eastAsia="ru-RU"/>
        </w:rPr>
        <w:t>ВИСНОВКИ</w:t>
      </w:r>
      <w:r w:rsidRPr="000D52EF">
        <w:rPr>
          <w:rFonts w:ascii="Times New Roman" w:eastAsia="Times New Roman" w:hAnsi="Times New Roman" w:cs="Times New Roman"/>
          <w:sz w:val="28"/>
          <w:szCs w:val="24"/>
          <w:lang w:eastAsia="ru-RU"/>
        </w:rPr>
        <w:t>……………………………………....………….………………........21</w:t>
      </w:r>
    </w:p>
    <w:p w:rsidR="000D52EF" w:rsidRPr="000D52EF" w:rsidRDefault="000D52EF" w:rsidP="000D52EF">
      <w:pPr>
        <w:spacing w:after="0" w:line="360" w:lineRule="auto"/>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sz w:val="28"/>
          <w:szCs w:val="24"/>
          <w:lang w:eastAsia="ru-RU"/>
        </w:rPr>
        <w:t>СПИСОК ВИКОРИСТАНИХ ДЖЕРЕЛ</w:t>
      </w:r>
      <w:r w:rsidRPr="000D52EF">
        <w:rPr>
          <w:rFonts w:ascii="Times New Roman" w:eastAsia="Times New Roman" w:hAnsi="Times New Roman" w:cs="Times New Roman"/>
          <w:sz w:val="28"/>
          <w:szCs w:val="24"/>
          <w:lang w:eastAsia="ru-RU"/>
        </w:rPr>
        <w:t>……………….......………….............24</w:t>
      </w:r>
    </w:p>
    <w:p w:rsidR="000D52EF" w:rsidRPr="000D52EF" w:rsidRDefault="000D52EF" w:rsidP="000D52EF">
      <w:pPr>
        <w:rPr>
          <w:rFonts w:ascii="Times New Roman" w:eastAsia="Times New Roman" w:hAnsi="Times New Roman" w:cs="Times New Roman"/>
          <w:b/>
          <w:sz w:val="28"/>
          <w:szCs w:val="24"/>
          <w:lang w:eastAsia="ru-RU"/>
        </w:rPr>
      </w:pPr>
      <w:r w:rsidRPr="000D52EF">
        <w:rPr>
          <w:rFonts w:ascii="Times New Roman" w:eastAsia="Times New Roman" w:hAnsi="Times New Roman" w:cs="Times New Roman"/>
          <w:b/>
          <w:sz w:val="28"/>
          <w:szCs w:val="24"/>
          <w:lang w:eastAsia="ru-RU"/>
        </w:rPr>
        <w:br w:type="page"/>
      </w:r>
    </w:p>
    <w:p w:rsidR="000D52EF" w:rsidRPr="000D52EF" w:rsidRDefault="000D52EF" w:rsidP="000D52EF">
      <w:pPr>
        <w:spacing w:line="360" w:lineRule="auto"/>
        <w:ind w:firstLine="567"/>
        <w:jc w:val="center"/>
        <w:rPr>
          <w:rFonts w:ascii="Times New Roman" w:eastAsia="Times New Roman" w:hAnsi="Times New Roman" w:cs="Times New Roman"/>
          <w:b/>
          <w:sz w:val="28"/>
          <w:szCs w:val="24"/>
          <w:lang w:eastAsia="ru-RU"/>
        </w:rPr>
      </w:pPr>
      <w:r w:rsidRPr="000D52EF">
        <w:rPr>
          <w:rFonts w:ascii="Times New Roman" w:eastAsia="Times New Roman" w:hAnsi="Times New Roman" w:cs="Times New Roman"/>
          <w:b/>
          <w:sz w:val="28"/>
          <w:szCs w:val="24"/>
          <w:lang w:eastAsia="ru-RU"/>
        </w:rPr>
        <w:lastRenderedPageBreak/>
        <w:t>ВСТУП</w:t>
      </w:r>
    </w:p>
    <w:p w:rsidR="00160E7C" w:rsidRPr="00160E7C" w:rsidRDefault="000D52EF" w:rsidP="00160E7C">
      <w:pPr>
        <w:spacing w:after="0" w:line="360" w:lineRule="auto"/>
        <w:ind w:firstLine="720"/>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bCs/>
          <w:sz w:val="28"/>
          <w:szCs w:val="24"/>
          <w:lang w:eastAsia="ru-RU"/>
        </w:rPr>
        <w:t>Актуальність.</w:t>
      </w:r>
      <w:r w:rsidRPr="000D52EF">
        <w:rPr>
          <w:rFonts w:ascii="Times New Roman" w:eastAsia="Times New Roman" w:hAnsi="Times New Roman" w:cs="Times New Roman"/>
          <w:sz w:val="28"/>
          <w:szCs w:val="24"/>
          <w:lang w:eastAsia="ru-RU"/>
        </w:rPr>
        <w:t xml:space="preserve"> </w:t>
      </w:r>
      <w:r w:rsidR="00160E7C" w:rsidRPr="00160E7C">
        <w:rPr>
          <w:rFonts w:ascii="Times New Roman" w:eastAsia="Times New Roman" w:hAnsi="Times New Roman" w:cs="Times New Roman"/>
          <w:sz w:val="28"/>
          <w:szCs w:val="24"/>
          <w:lang w:eastAsia="ru-RU"/>
        </w:rPr>
        <w:t>Право на оскарження процесуальних рішень, дій або бездіяльності у кримінальному провадженні є невід’ємною складовою правового захисту особи та ключовим елементом забезпечення правосуддя у будь-якій демократичній державі. Україна, як демократична країна, зобов'язана гарантувати це право своїм громадянам. З метою досягнення цієї мети необхідно постійно досліджувати й аналізувати проблематику належного забезпечення права на оскарження в кримінальному процесі.</w:t>
      </w:r>
    </w:p>
    <w:p w:rsidR="00160E7C" w:rsidRDefault="00160E7C" w:rsidP="00160E7C">
      <w:pPr>
        <w:spacing w:after="0" w:line="360" w:lineRule="auto"/>
        <w:ind w:firstLine="720"/>
        <w:jc w:val="both"/>
        <w:rPr>
          <w:rFonts w:ascii="Times New Roman" w:eastAsia="Times New Roman" w:hAnsi="Times New Roman" w:cs="Times New Roman"/>
          <w:sz w:val="28"/>
          <w:szCs w:val="24"/>
          <w:lang w:eastAsia="ru-RU"/>
        </w:rPr>
      </w:pPr>
      <w:r w:rsidRPr="00160E7C">
        <w:rPr>
          <w:rFonts w:ascii="Times New Roman" w:eastAsia="Times New Roman" w:hAnsi="Times New Roman" w:cs="Times New Roman"/>
          <w:sz w:val="28"/>
          <w:szCs w:val="24"/>
          <w:lang w:eastAsia="ru-RU"/>
        </w:rPr>
        <w:t>Спроби зрозуміти сутність та структуру цього права дозволять уточнити його обсяг і межі застосування в контексті вітчизняного законодавства. Вивчення першого аспекту, а саме сутності права на оскарження, дозволить з'ясувати, які конкретно дії або рішення можуть бути предметом оскарження, а також які процедурні механізми для цього передбачені.</w:t>
      </w:r>
      <w:r>
        <w:rPr>
          <w:rFonts w:ascii="Times New Roman" w:eastAsia="Times New Roman" w:hAnsi="Times New Roman" w:cs="Times New Roman"/>
          <w:sz w:val="28"/>
          <w:szCs w:val="24"/>
          <w:lang w:eastAsia="ru-RU"/>
        </w:rPr>
        <w:t xml:space="preserve"> </w:t>
      </w:r>
      <w:r w:rsidRPr="00160E7C">
        <w:rPr>
          <w:rFonts w:ascii="Times New Roman" w:eastAsia="Times New Roman" w:hAnsi="Times New Roman" w:cs="Times New Roman"/>
          <w:sz w:val="28"/>
          <w:szCs w:val="24"/>
          <w:lang w:eastAsia="ru-RU"/>
        </w:rPr>
        <w:t>Другий аспект, що стосується структури цього права, визначить ефективні засоби його реалізації та захисту. Важливо створити механізм, який би відповідав передовим стандартам кримінального судочинства, забезпечуючи гарантовану можливість оскарження процесуальних рішень згідно з принципами справедливості та правової держави. Такий підхід дозволить підтримувати високі стандарти правосуддя та забезпечувати захист прав і свобод кожного громадянина України.</w:t>
      </w:r>
    </w:p>
    <w:p w:rsidR="000D52EF" w:rsidRPr="000D52EF" w:rsidRDefault="000D52EF" w:rsidP="00160E7C">
      <w:pPr>
        <w:spacing w:after="0" w:line="360" w:lineRule="auto"/>
        <w:ind w:firstLine="720"/>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iCs/>
          <w:sz w:val="28"/>
          <w:szCs w:val="24"/>
          <w:lang w:eastAsia="ru-RU"/>
        </w:rPr>
        <w:t>Мета</w:t>
      </w:r>
      <w:r w:rsidRPr="000D52EF">
        <w:rPr>
          <w:rFonts w:ascii="Times New Roman" w:eastAsia="Times New Roman" w:hAnsi="Times New Roman" w:cs="Times New Roman"/>
          <w:b/>
          <w:sz w:val="28"/>
          <w:szCs w:val="24"/>
          <w:lang w:eastAsia="ru-RU"/>
        </w:rPr>
        <w:t> </w:t>
      </w:r>
      <w:r w:rsidRPr="000D52EF">
        <w:rPr>
          <w:rFonts w:ascii="Times New Roman" w:eastAsia="Times New Roman" w:hAnsi="Times New Roman" w:cs="Times New Roman"/>
          <w:bCs/>
          <w:sz w:val="28"/>
          <w:szCs w:val="24"/>
          <w:lang w:eastAsia="ru-RU"/>
        </w:rPr>
        <w:t>роботи</w:t>
      </w:r>
      <w:r w:rsidRPr="000D52EF">
        <w:rPr>
          <w:rFonts w:ascii="Times New Roman" w:eastAsia="Times New Roman" w:hAnsi="Times New Roman" w:cs="Times New Roman"/>
          <w:sz w:val="28"/>
          <w:szCs w:val="24"/>
          <w:lang w:eastAsia="ru-RU"/>
        </w:rPr>
        <w:t xml:space="preserve"> полягає в дослідженні </w:t>
      </w:r>
      <w:r w:rsidR="00160E7C">
        <w:rPr>
          <w:rFonts w:ascii="Times New Roman" w:eastAsia="Times New Roman" w:hAnsi="Times New Roman" w:cs="Times New Roman"/>
          <w:sz w:val="28"/>
          <w:szCs w:val="24"/>
          <w:lang w:eastAsia="ru-RU"/>
        </w:rPr>
        <w:t>з</w:t>
      </w:r>
      <w:r w:rsidR="00160E7C" w:rsidRPr="00160E7C">
        <w:rPr>
          <w:rFonts w:ascii="Times New Roman" w:eastAsia="Times New Roman" w:hAnsi="Times New Roman" w:cs="Times New Roman"/>
          <w:sz w:val="28"/>
          <w:szCs w:val="24"/>
          <w:lang w:eastAsia="ru-RU"/>
        </w:rPr>
        <w:t>абезпечення права на оскарження процесуальних рішень, дій чи бездіяльності</w:t>
      </w:r>
      <w:r w:rsidRPr="000D52EF">
        <w:rPr>
          <w:rFonts w:ascii="Times New Roman" w:eastAsia="Times New Roman" w:hAnsi="Times New Roman" w:cs="Times New Roman"/>
          <w:sz w:val="28"/>
          <w:szCs w:val="24"/>
          <w:lang w:eastAsia="ru-RU"/>
        </w:rPr>
        <w:t>.</w:t>
      </w:r>
    </w:p>
    <w:p w:rsidR="000D52EF" w:rsidRPr="000D52EF" w:rsidRDefault="000D52EF" w:rsidP="000D52EF">
      <w:pPr>
        <w:spacing w:after="0" w:line="360" w:lineRule="auto"/>
        <w:ind w:firstLine="720"/>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sz w:val="28"/>
          <w:szCs w:val="24"/>
          <w:lang w:eastAsia="ru-RU"/>
        </w:rPr>
        <w:t xml:space="preserve">Для досягнення поставленої мети слід визначити такі основні </w:t>
      </w:r>
      <w:r w:rsidRPr="000D52EF">
        <w:rPr>
          <w:rFonts w:ascii="Times New Roman" w:eastAsia="Times New Roman" w:hAnsi="Times New Roman" w:cs="Times New Roman"/>
          <w:b/>
          <w:sz w:val="28"/>
          <w:szCs w:val="24"/>
          <w:lang w:eastAsia="ru-RU"/>
        </w:rPr>
        <w:t>завдання</w:t>
      </w:r>
      <w:r w:rsidRPr="000D52EF">
        <w:rPr>
          <w:rFonts w:ascii="Times New Roman" w:eastAsia="Times New Roman" w:hAnsi="Times New Roman" w:cs="Times New Roman"/>
          <w:sz w:val="28"/>
          <w:szCs w:val="24"/>
          <w:lang w:eastAsia="ru-RU"/>
        </w:rPr>
        <w:t xml:space="preserve"> роботи:</w:t>
      </w:r>
    </w:p>
    <w:p w:rsidR="000D52EF" w:rsidRPr="000D52EF" w:rsidRDefault="000D52EF" w:rsidP="00160E7C">
      <w:pPr>
        <w:numPr>
          <w:ilvl w:val="0"/>
          <w:numId w:val="1"/>
        </w:numPr>
        <w:spacing w:line="360" w:lineRule="auto"/>
        <w:contextualSpacing/>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sz w:val="28"/>
          <w:szCs w:val="24"/>
          <w:lang w:eastAsia="ru-RU"/>
        </w:rPr>
        <w:t xml:space="preserve">аналізувати </w:t>
      </w:r>
      <w:r w:rsidR="00160E7C">
        <w:rPr>
          <w:rFonts w:ascii="Times New Roman" w:eastAsia="Times New Roman" w:hAnsi="Times New Roman" w:cs="Times New Roman"/>
          <w:sz w:val="28"/>
          <w:szCs w:val="24"/>
          <w:lang w:eastAsia="ru-RU"/>
        </w:rPr>
        <w:t>п</w:t>
      </w:r>
      <w:r w:rsidR="00160E7C" w:rsidRPr="00160E7C">
        <w:rPr>
          <w:rFonts w:ascii="Times New Roman" w:eastAsia="Times New Roman" w:hAnsi="Times New Roman" w:cs="Times New Roman"/>
          <w:sz w:val="28"/>
          <w:szCs w:val="24"/>
          <w:lang w:eastAsia="ru-RU"/>
        </w:rPr>
        <w:t>оняття і зміст права на оскарження рішень, дій чи бездіяльності у кримінальному провадженні</w:t>
      </w:r>
      <w:r w:rsidRPr="000D52EF">
        <w:rPr>
          <w:rFonts w:ascii="Times New Roman" w:eastAsia="Times New Roman" w:hAnsi="Times New Roman" w:cs="Times New Roman"/>
          <w:bCs/>
          <w:sz w:val="28"/>
          <w:szCs w:val="24"/>
          <w:lang w:eastAsia="ru-RU"/>
        </w:rPr>
        <w:t>;</w:t>
      </w:r>
    </w:p>
    <w:p w:rsidR="000D52EF" w:rsidRPr="000D52EF" w:rsidRDefault="000D52EF" w:rsidP="00160E7C">
      <w:pPr>
        <w:numPr>
          <w:ilvl w:val="0"/>
          <w:numId w:val="1"/>
        </w:numPr>
        <w:spacing w:line="360" w:lineRule="auto"/>
        <w:contextualSpacing/>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sz w:val="28"/>
          <w:szCs w:val="24"/>
          <w:lang w:eastAsia="ru-RU"/>
        </w:rPr>
        <w:t xml:space="preserve">охарактеризувати </w:t>
      </w:r>
      <w:r w:rsidR="00160E7C">
        <w:rPr>
          <w:rFonts w:ascii="Times New Roman" w:eastAsia="Times New Roman" w:hAnsi="Times New Roman" w:cs="Times New Roman"/>
          <w:sz w:val="28"/>
          <w:szCs w:val="24"/>
          <w:lang w:eastAsia="ru-RU"/>
        </w:rPr>
        <w:t>п</w:t>
      </w:r>
      <w:r w:rsidR="00160E7C" w:rsidRPr="00160E7C">
        <w:rPr>
          <w:rFonts w:ascii="Times New Roman" w:eastAsia="Times New Roman" w:hAnsi="Times New Roman" w:cs="Times New Roman"/>
          <w:sz w:val="28"/>
          <w:szCs w:val="24"/>
          <w:lang w:eastAsia="ru-RU"/>
        </w:rPr>
        <w:t>орядок оскарження рішень, дій чи бездіяльності органів досудового розслідування</w:t>
      </w:r>
      <w:r w:rsidRPr="000D52EF">
        <w:rPr>
          <w:rFonts w:ascii="Times New Roman" w:eastAsia="Times New Roman" w:hAnsi="Times New Roman" w:cs="Times New Roman"/>
          <w:sz w:val="28"/>
          <w:szCs w:val="24"/>
          <w:lang w:eastAsia="ru-RU"/>
        </w:rPr>
        <w:t>;</w:t>
      </w:r>
    </w:p>
    <w:p w:rsidR="000D52EF" w:rsidRPr="000D52EF" w:rsidRDefault="000D52EF" w:rsidP="00160E7C">
      <w:pPr>
        <w:numPr>
          <w:ilvl w:val="0"/>
          <w:numId w:val="1"/>
        </w:numPr>
        <w:spacing w:after="0" w:line="360" w:lineRule="auto"/>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sz w:val="28"/>
          <w:szCs w:val="24"/>
          <w:lang w:eastAsia="ru-RU"/>
        </w:rPr>
        <w:t>визначити</w:t>
      </w:r>
      <w:r w:rsidRPr="000D52EF">
        <w:rPr>
          <w:rFonts w:ascii="Times New Roman" w:eastAsia="Times New Roman" w:hAnsi="Times New Roman" w:cs="Times New Roman"/>
          <w:sz w:val="28"/>
          <w:szCs w:val="24"/>
          <w:lang w:val="ru-RU" w:eastAsia="ru-RU"/>
        </w:rPr>
        <w:t xml:space="preserve"> </w:t>
      </w:r>
      <w:r w:rsidR="00160E7C">
        <w:rPr>
          <w:rFonts w:ascii="Times New Roman" w:eastAsia="Times New Roman" w:hAnsi="Times New Roman" w:cs="Times New Roman"/>
          <w:sz w:val="28"/>
          <w:szCs w:val="24"/>
          <w:lang w:eastAsia="ru-RU"/>
        </w:rPr>
        <w:t>п</w:t>
      </w:r>
      <w:r w:rsidR="00160E7C" w:rsidRPr="00160E7C">
        <w:rPr>
          <w:rFonts w:ascii="Times New Roman" w:eastAsia="Times New Roman" w:hAnsi="Times New Roman" w:cs="Times New Roman"/>
          <w:sz w:val="28"/>
          <w:szCs w:val="24"/>
          <w:lang w:eastAsia="ru-RU"/>
        </w:rPr>
        <w:t>роблеми оскарження слідчому судді рішень, дій чи бездіяльності слідчого та прокурора</w:t>
      </w:r>
      <w:r w:rsidRPr="000D52EF">
        <w:rPr>
          <w:rFonts w:ascii="Times New Roman" w:eastAsia="Times New Roman" w:hAnsi="Times New Roman" w:cs="Times New Roman"/>
          <w:sz w:val="28"/>
          <w:szCs w:val="24"/>
          <w:lang w:val="ru-RU" w:eastAsia="ru-RU"/>
        </w:rPr>
        <w:t>;</w:t>
      </w:r>
    </w:p>
    <w:p w:rsidR="000D52EF" w:rsidRPr="000D52EF" w:rsidRDefault="000D52EF" w:rsidP="00160E7C">
      <w:pPr>
        <w:numPr>
          <w:ilvl w:val="0"/>
          <w:numId w:val="1"/>
        </w:numPr>
        <w:spacing w:after="0" w:line="360" w:lineRule="auto"/>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sz w:val="28"/>
          <w:szCs w:val="24"/>
          <w:lang w:eastAsia="ru-RU"/>
        </w:rPr>
        <w:lastRenderedPageBreak/>
        <w:t xml:space="preserve">узагальнити </w:t>
      </w:r>
      <w:r w:rsidR="00160E7C">
        <w:rPr>
          <w:rFonts w:ascii="Times New Roman" w:eastAsia="Times New Roman" w:hAnsi="Times New Roman" w:cs="Times New Roman"/>
          <w:sz w:val="28"/>
          <w:szCs w:val="24"/>
          <w:lang w:eastAsia="ru-RU"/>
        </w:rPr>
        <w:t>о</w:t>
      </w:r>
      <w:r w:rsidR="00160E7C" w:rsidRPr="00160E7C">
        <w:rPr>
          <w:rFonts w:ascii="Times New Roman" w:eastAsia="Times New Roman" w:hAnsi="Times New Roman" w:cs="Times New Roman"/>
          <w:sz w:val="28"/>
          <w:szCs w:val="24"/>
          <w:lang w:eastAsia="ru-RU"/>
        </w:rPr>
        <w:t>кремі проблеми реалізації права на оскарження повідомлення про підозру</w:t>
      </w:r>
      <w:r w:rsidRPr="000D52EF">
        <w:rPr>
          <w:rFonts w:ascii="Times New Roman" w:eastAsia="Times New Roman" w:hAnsi="Times New Roman" w:cs="Times New Roman"/>
          <w:sz w:val="28"/>
          <w:szCs w:val="24"/>
          <w:lang w:eastAsia="ru-RU"/>
        </w:rPr>
        <w:t>.</w:t>
      </w:r>
    </w:p>
    <w:p w:rsidR="000D52EF" w:rsidRPr="000D52EF" w:rsidRDefault="000D52EF" w:rsidP="000D52EF">
      <w:pPr>
        <w:spacing w:after="0" w:line="360" w:lineRule="auto"/>
        <w:ind w:firstLine="720"/>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bCs/>
          <w:sz w:val="28"/>
          <w:szCs w:val="24"/>
          <w:lang w:eastAsia="ru-RU"/>
        </w:rPr>
        <w:t>Предметом</w:t>
      </w:r>
      <w:r w:rsidRPr="000D52EF">
        <w:rPr>
          <w:rFonts w:ascii="Times New Roman" w:eastAsia="Times New Roman" w:hAnsi="Times New Roman" w:cs="Times New Roman"/>
          <w:sz w:val="28"/>
          <w:szCs w:val="24"/>
          <w:lang w:eastAsia="ru-RU"/>
        </w:rPr>
        <w:t xml:space="preserve"> роботи є </w:t>
      </w:r>
      <w:r w:rsidR="00DD391B">
        <w:rPr>
          <w:rFonts w:ascii="Times New Roman" w:eastAsia="Times New Roman" w:hAnsi="Times New Roman" w:cs="Times New Roman"/>
          <w:sz w:val="28"/>
          <w:szCs w:val="24"/>
          <w:lang w:eastAsia="ru-RU"/>
        </w:rPr>
        <w:t>реалізація права</w:t>
      </w:r>
      <w:r w:rsidR="00DD391B" w:rsidRPr="00DD391B">
        <w:rPr>
          <w:rFonts w:ascii="Times New Roman" w:eastAsia="Times New Roman" w:hAnsi="Times New Roman" w:cs="Times New Roman"/>
          <w:sz w:val="28"/>
          <w:szCs w:val="24"/>
          <w:lang w:eastAsia="ru-RU"/>
        </w:rPr>
        <w:t xml:space="preserve"> на оскарження рішень, дій чи бездіяльності у кримінальному провадженні</w:t>
      </w:r>
      <w:r w:rsidRPr="000D52EF">
        <w:rPr>
          <w:rFonts w:ascii="Times New Roman" w:eastAsia="Times New Roman" w:hAnsi="Times New Roman" w:cs="Times New Roman"/>
          <w:sz w:val="28"/>
          <w:szCs w:val="24"/>
          <w:lang w:eastAsia="ru-RU"/>
        </w:rPr>
        <w:t>.</w:t>
      </w:r>
    </w:p>
    <w:p w:rsidR="000D52EF" w:rsidRPr="000D52EF" w:rsidRDefault="000D52EF" w:rsidP="000D52EF">
      <w:pPr>
        <w:spacing w:after="0" w:line="360" w:lineRule="auto"/>
        <w:ind w:firstLine="720"/>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bCs/>
          <w:sz w:val="28"/>
          <w:szCs w:val="24"/>
          <w:lang w:eastAsia="ru-RU"/>
        </w:rPr>
        <w:t>Об’єктом</w:t>
      </w:r>
      <w:r w:rsidRPr="000D52EF">
        <w:rPr>
          <w:rFonts w:ascii="Times New Roman" w:eastAsia="Times New Roman" w:hAnsi="Times New Roman" w:cs="Times New Roman"/>
          <w:sz w:val="28"/>
          <w:szCs w:val="24"/>
          <w:lang w:eastAsia="ru-RU"/>
        </w:rPr>
        <w:t xml:space="preserve"> роботи є </w:t>
      </w:r>
      <w:r w:rsidR="00DD391B" w:rsidRPr="00DD391B">
        <w:rPr>
          <w:rFonts w:ascii="Times New Roman" w:eastAsia="Times New Roman" w:hAnsi="Times New Roman" w:cs="Times New Roman"/>
          <w:sz w:val="28"/>
          <w:szCs w:val="24"/>
          <w:lang w:eastAsia="ru-RU"/>
        </w:rPr>
        <w:t>право на оскарження рішень, дій чи бездіяльності у кримінальному провадженні</w:t>
      </w:r>
      <w:r w:rsidR="00DD391B">
        <w:rPr>
          <w:rFonts w:ascii="Times New Roman" w:eastAsia="Times New Roman" w:hAnsi="Times New Roman" w:cs="Times New Roman"/>
          <w:sz w:val="28"/>
          <w:szCs w:val="24"/>
          <w:lang w:eastAsia="ru-RU"/>
        </w:rPr>
        <w:t>.</w:t>
      </w:r>
    </w:p>
    <w:p w:rsidR="000D52EF" w:rsidRPr="000D52EF" w:rsidRDefault="000D52EF" w:rsidP="000D52EF">
      <w:pPr>
        <w:spacing w:after="0" w:line="360" w:lineRule="auto"/>
        <w:ind w:firstLine="720"/>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sz w:val="28"/>
          <w:szCs w:val="24"/>
          <w:lang w:eastAsia="ru-RU"/>
        </w:rPr>
        <w:t xml:space="preserve">Методи дослідження. </w:t>
      </w:r>
      <w:r w:rsidRPr="000D52EF">
        <w:rPr>
          <w:rFonts w:ascii="Times New Roman" w:eastAsia="Times New Roman" w:hAnsi="Times New Roman" w:cs="Times New Roman"/>
          <w:sz w:val="28"/>
          <w:szCs w:val="24"/>
          <w:lang w:eastAsia="ru-RU"/>
        </w:rPr>
        <w:t>Методологічний базис дослідження становлять загальнонаукові методи: аналіз, синтез, узагальнення, порівняння, аналогія, класифікація.</w:t>
      </w:r>
    </w:p>
    <w:p w:rsidR="000D52EF" w:rsidRPr="000D52EF" w:rsidRDefault="000D52EF" w:rsidP="000D52EF">
      <w:pPr>
        <w:spacing w:after="0" w:line="360" w:lineRule="auto"/>
        <w:ind w:firstLine="720"/>
        <w:jc w:val="both"/>
        <w:rPr>
          <w:rFonts w:ascii="Times New Roman" w:eastAsia="Times New Roman" w:hAnsi="Times New Roman" w:cs="Times New Roman"/>
          <w:sz w:val="28"/>
          <w:szCs w:val="24"/>
          <w:lang w:eastAsia="ru-RU"/>
        </w:rPr>
      </w:pPr>
      <w:r w:rsidRPr="000D52EF">
        <w:rPr>
          <w:rFonts w:ascii="Times New Roman" w:eastAsia="Times New Roman" w:hAnsi="Times New Roman" w:cs="Times New Roman"/>
          <w:b/>
          <w:sz w:val="28"/>
          <w:szCs w:val="24"/>
          <w:lang w:eastAsia="ru-RU"/>
        </w:rPr>
        <w:t>Структура роботи</w:t>
      </w:r>
      <w:r w:rsidRPr="000D52EF">
        <w:rPr>
          <w:rFonts w:ascii="Times New Roman" w:eastAsia="Times New Roman" w:hAnsi="Times New Roman" w:cs="Times New Roman"/>
          <w:sz w:val="28"/>
          <w:szCs w:val="24"/>
          <w:lang w:eastAsia="ru-RU"/>
        </w:rPr>
        <w:t>: Робота складається змісту, вступу, основної частини (2 розділів, 4 підрозділів), висновків та списку використаних джерел. Загальний обсяг курсової роботи становить 25 сторінок, список використаних джерел складає 20 найменувань.</w:t>
      </w:r>
    </w:p>
    <w:p w:rsidR="00E22913" w:rsidRPr="00E22913" w:rsidRDefault="000D52EF" w:rsidP="00E22913">
      <w:pPr>
        <w:spacing w:line="360" w:lineRule="auto"/>
        <w:jc w:val="center"/>
        <w:rPr>
          <w:rFonts w:ascii="Times New Roman" w:eastAsia="Times New Roman" w:hAnsi="Times New Roman" w:cs="Times New Roman"/>
          <w:b/>
          <w:sz w:val="28"/>
          <w:szCs w:val="24"/>
          <w:lang w:eastAsia="ru-RU"/>
        </w:rPr>
      </w:pPr>
      <w:r w:rsidRPr="000D52EF">
        <w:rPr>
          <w:rFonts w:ascii="Times New Roman" w:eastAsia="Times New Roman" w:hAnsi="Times New Roman" w:cs="Times New Roman"/>
          <w:sz w:val="28"/>
          <w:szCs w:val="24"/>
          <w:lang w:eastAsia="ru-RU"/>
        </w:rPr>
        <w:br w:type="page"/>
      </w:r>
      <w:r w:rsidR="00E22913" w:rsidRPr="00E22913">
        <w:rPr>
          <w:rFonts w:ascii="Times New Roman" w:eastAsia="Times New Roman" w:hAnsi="Times New Roman" w:cs="Times New Roman"/>
          <w:b/>
          <w:sz w:val="28"/>
          <w:szCs w:val="24"/>
          <w:lang w:eastAsia="ru-RU"/>
        </w:rPr>
        <w:lastRenderedPageBreak/>
        <w:t>РОЗДІЛ 1. ЗАГАЛЬНА ХАРАКТЕРИСТИКА ПРАВА НА ОСКАРЖЕННЯ РІШЕНЬ, ДІЙ ЧИ БЕЗДІЯЛЬНОСТІ У КРИМІНАЛЬНОМУ ПРОВАДЖЕННІ</w:t>
      </w:r>
    </w:p>
    <w:p w:rsidR="00294FFF" w:rsidRDefault="00E22913" w:rsidP="00E22913">
      <w:pPr>
        <w:spacing w:line="360" w:lineRule="auto"/>
        <w:ind w:firstLine="709"/>
        <w:rPr>
          <w:rFonts w:ascii="Times New Roman" w:eastAsia="Times New Roman" w:hAnsi="Times New Roman" w:cs="Times New Roman"/>
          <w:sz w:val="28"/>
          <w:szCs w:val="24"/>
          <w:lang w:eastAsia="ru-RU"/>
        </w:rPr>
      </w:pPr>
      <w:r w:rsidRPr="00E22913">
        <w:rPr>
          <w:rFonts w:ascii="Times New Roman" w:eastAsia="Times New Roman" w:hAnsi="Times New Roman" w:cs="Times New Roman"/>
          <w:sz w:val="28"/>
          <w:szCs w:val="24"/>
          <w:lang w:eastAsia="ru-RU"/>
        </w:rPr>
        <w:t>1.1. Поняття і зміст права на оскарження рішень, дій чи бездіяльності у кримінальному провадженні</w:t>
      </w:r>
    </w:p>
    <w:p w:rsidR="00E22913" w:rsidRPr="00E22913" w:rsidRDefault="00E22913" w:rsidP="00E22913">
      <w:pPr>
        <w:spacing w:after="0" w:line="360" w:lineRule="auto"/>
        <w:ind w:firstLine="709"/>
        <w:jc w:val="both"/>
        <w:rPr>
          <w:rFonts w:ascii="Times New Roman" w:hAnsi="Times New Roman" w:cs="Times New Roman"/>
          <w:sz w:val="28"/>
        </w:rPr>
      </w:pPr>
      <w:r w:rsidRPr="00E22913">
        <w:rPr>
          <w:rFonts w:ascii="Times New Roman" w:hAnsi="Times New Roman" w:cs="Times New Roman"/>
          <w:sz w:val="28"/>
        </w:rPr>
        <w:t>Право оскарження неостаточних процесуальних рішень є однією з основних гарантій в науці кримінального процесу та судовій практиці. Це право закріплене як у внутрішньодержавному законодавстві, так і в міжнародних нормативно-правових актах, спрямованих на захист прав людини та здійснення судочинства.</w:t>
      </w:r>
      <w:r>
        <w:rPr>
          <w:rFonts w:ascii="Times New Roman" w:hAnsi="Times New Roman" w:cs="Times New Roman"/>
          <w:sz w:val="28"/>
        </w:rPr>
        <w:t xml:space="preserve"> </w:t>
      </w:r>
      <w:r w:rsidRPr="00E22913">
        <w:rPr>
          <w:rFonts w:ascii="Times New Roman" w:hAnsi="Times New Roman" w:cs="Times New Roman"/>
          <w:sz w:val="28"/>
        </w:rPr>
        <w:t>Згідно з частиною 1 статті 55 Конституції України, кожній особі гарантується право на оскарження в суді рішень, дій чи бездіяльності органів державної влади, органів місцевого самоврядування, посадових і службових осіб. Ця конституційна норма спрямована на забезпечення відповідності міжнародним стандартам справедливого судочинства, що вимагає можливості оскарження до суду можливих порушень прав і свобод людини з боку державних органів.</w:t>
      </w:r>
    </w:p>
    <w:p w:rsidR="00E22913" w:rsidRDefault="00E22913" w:rsidP="00E22913">
      <w:pPr>
        <w:spacing w:after="0" w:line="360" w:lineRule="auto"/>
        <w:ind w:firstLine="709"/>
        <w:jc w:val="both"/>
        <w:rPr>
          <w:rFonts w:ascii="Times New Roman" w:hAnsi="Times New Roman" w:cs="Times New Roman"/>
          <w:sz w:val="28"/>
        </w:rPr>
      </w:pPr>
      <w:r w:rsidRPr="00E22913">
        <w:rPr>
          <w:rFonts w:ascii="Times New Roman" w:hAnsi="Times New Roman" w:cs="Times New Roman"/>
          <w:sz w:val="28"/>
        </w:rPr>
        <w:t>У міжнародних документах з прав людини прямо не визначено право на оскарження дій, рішень чи бездіяльності. Однак це право вважається невід'ємною складовою права на справедливий суд, яке є одним із головних принципів судового захисту в міжнародній практиці. Таким чином, система оскарження не лише забезпечує індивідуальний захист прав, але й сприяє зміцненню д</w:t>
      </w:r>
      <w:r w:rsidR="0067713D">
        <w:rPr>
          <w:rFonts w:ascii="Times New Roman" w:hAnsi="Times New Roman" w:cs="Times New Roman"/>
          <w:sz w:val="28"/>
        </w:rPr>
        <w:t>емократії та верховенства права [2</w:t>
      </w:r>
      <w:r w:rsidR="0067713D" w:rsidRPr="0067713D">
        <w:rPr>
          <w:rFonts w:ascii="Times New Roman" w:hAnsi="Times New Roman" w:cs="Times New Roman"/>
          <w:sz w:val="28"/>
        </w:rPr>
        <w:t xml:space="preserve">, с. </w:t>
      </w:r>
      <w:r w:rsidR="0067713D">
        <w:rPr>
          <w:rFonts w:ascii="Times New Roman" w:hAnsi="Times New Roman" w:cs="Times New Roman"/>
          <w:sz w:val="28"/>
        </w:rPr>
        <w:t>104</w:t>
      </w:r>
      <w:r w:rsidR="0067713D" w:rsidRPr="0067713D">
        <w:rPr>
          <w:rFonts w:ascii="Times New Roman" w:hAnsi="Times New Roman" w:cs="Times New Roman"/>
          <w:sz w:val="28"/>
        </w:rPr>
        <w:t>].</w:t>
      </w:r>
    </w:p>
    <w:p w:rsidR="00E22913" w:rsidRPr="00E22913" w:rsidRDefault="00E22913" w:rsidP="00E22913">
      <w:pPr>
        <w:spacing w:after="0" w:line="360" w:lineRule="auto"/>
        <w:ind w:firstLine="709"/>
        <w:jc w:val="both"/>
        <w:rPr>
          <w:rFonts w:ascii="Times New Roman" w:hAnsi="Times New Roman" w:cs="Times New Roman"/>
          <w:sz w:val="28"/>
        </w:rPr>
      </w:pPr>
      <w:r w:rsidRPr="00E22913">
        <w:rPr>
          <w:rFonts w:ascii="Times New Roman" w:hAnsi="Times New Roman" w:cs="Times New Roman"/>
          <w:sz w:val="28"/>
        </w:rPr>
        <w:t>Стаття 8 Загальної декларації прав людини гарантує кожній особі право на відновлення в правах через компетентність національних судів у разі порушення її основних прав, заснованих на конституції або законі. Ця норма відображає принцип недоторканності прав людини та їх захисту від будь-якого порушення з боку держави чи інших суб'єктів.</w:t>
      </w:r>
      <w:r>
        <w:rPr>
          <w:rFonts w:ascii="Times New Roman" w:hAnsi="Times New Roman" w:cs="Times New Roman"/>
          <w:sz w:val="28"/>
        </w:rPr>
        <w:t xml:space="preserve"> </w:t>
      </w:r>
      <w:r w:rsidRPr="00E22913">
        <w:rPr>
          <w:rFonts w:ascii="Times New Roman" w:hAnsi="Times New Roman" w:cs="Times New Roman"/>
          <w:sz w:val="28"/>
        </w:rPr>
        <w:t xml:space="preserve">До того ж, стаття 10 Загальної декларації прав людини закріплює, що кожна особа має право на розгляд своєї справи незалежним і безстороннім судом для визначення її прав та обов'язків, а також </w:t>
      </w:r>
      <w:r w:rsidRPr="00E22913">
        <w:rPr>
          <w:rFonts w:ascii="Times New Roman" w:hAnsi="Times New Roman" w:cs="Times New Roman"/>
          <w:sz w:val="28"/>
        </w:rPr>
        <w:lastRenderedPageBreak/>
        <w:t>обґрунтованості будь-якого кримінального обвинувачення, висунутого проти неї. Це підкреслює важливість судової незалежності та об'єктивності у забезпеченні справедливості для кожного індивіда перед законом.</w:t>
      </w:r>
    </w:p>
    <w:p w:rsidR="00E22913" w:rsidRPr="00E22913" w:rsidRDefault="00E22913" w:rsidP="00E22913">
      <w:pPr>
        <w:spacing w:after="0" w:line="360" w:lineRule="auto"/>
        <w:ind w:firstLine="709"/>
        <w:jc w:val="both"/>
        <w:rPr>
          <w:rFonts w:ascii="Times New Roman" w:hAnsi="Times New Roman" w:cs="Times New Roman"/>
          <w:sz w:val="28"/>
        </w:rPr>
      </w:pPr>
      <w:r w:rsidRPr="00E22913">
        <w:rPr>
          <w:rFonts w:ascii="Times New Roman" w:hAnsi="Times New Roman" w:cs="Times New Roman"/>
          <w:sz w:val="28"/>
        </w:rPr>
        <w:t>Зокрема, стаття 2 Міжнародного пакту про громадянські і політичні права встановлює обов'язок кожної держави забезпечити ефективний засіб правового захисту для кожної особи, чиї права були порушені, включаючи розвиток можливостей судового захисту. Це свідчить про необхідність системи судового контролю, яка б забезпечила доступність та ефективність правового захисту для всіх громадян незалежно від їх соціального статусу чи політичних переконань.</w:t>
      </w:r>
      <w:r>
        <w:rPr>
          <w:rFonts w:ascii="Times New Roman" w:hAnsi="Times New Roman" w:cs="Times New Roman"/>
          <w:sz w:val="28"/>
        </w:rPr>
        <w:t xml:space="preserve"> </w:t>
      </w:r>
      <w:r w:rsidRPr="00E22913">
        <w:rPr>
          <w:rFonts w:ascii="Times New Roman" w:hAnsi="Times New Roman" w:cs="Times New Roman"/>
          <w:sz w:val="28"/>
        </w:rPr>
        <w:t>У додаток до цього, стаття 6 Конвенції про захист прав людини і основоположних свобод гарантує право на справедливий суд, що є однією з основних складових принципу правової держави. Це відображає значення об'єктивності, справедливості та рівності п</w:t>
      </w:r>
      <w:r w:rsidR="0067713D">
        <w:rPr>
          <w:rFonts w:ascii="Times New Roman" w:hAnsi="Times New Roman" w:cs="Times New Roman"/>
          <w:sz w:val="28"/>
        </w:rPr>
        <w:t>еред законом у судовому процесі [3</w:t>
      </w:r>
      <w:r w:rsidR="0067713D" w:rsidRPr="0067713D">
        <w:rPr>
          <w:rFonts w:ascii="Times New Roman" w:hAnsi="Times New Roman" w:cs="Times New Roman"/>
          <w:sz w:val="28"/>
        </w:rPr>
        <w:t xml:space="preserve">, с. </w:t>
      </w:r>
      <w:r w:rsidR="0067713D">
        <w:rPr>
          <w:rFonts w:ascii="Times New Roman" w:hAnsi="Times New Roman" w:cs="Times New Roman"/>
          <w:sz w:val="28"/>
        </w:rPr>
        <w:t>127</w:t>
      </w:r>
      <w:r w:rsidR="0067713D" w:rsidRPr="0067713D">
        <w:rPr>
          <w:rFonts w:ascii="Times New Roman" w:hAnsi="Times New Roman" w:cs="Times New Roman"/>
          <w:sz w:val="28"/>
        </w:rPr>
        <w:t>].</w:t>
      </w:r>
    </w:p>
    <w:p w:rsidR="00E22913" w:rsidRDefault="00E22913" w:rsidP="00E22913">
      <w:pPr>
        <w:spacing w:after="0" w:line="360" w:lineRule="auto"/>
        <w:ind w:firstLine="709"/>
        <w:jc w:val="both"/>
        <w:rPr>
          <w:rFonts w:ascii="Times New Roman" w:hAnsi="Times New Roman" w:cs="Times New Roman"/>
          <w:sz w:val="28"/>
        </w:rPr>
      </w:pPr>
      <w:r w:rsidRPr="00E22913">
        <w:rPr>
          <w:rFonts w:ascii="Times New Roman" w:hAnsi="Times New Roman" w:cs="Times New Roman"/>
          <w:sz w:val="28"/>
        </w:rPr>
        <w:t>Стаття 13 тієї ж Конвенції утверджує право на ефективний засіб юридичного захисту, що підкреслює необхідність надання громадянам можливостей захисту їх прав та інтересів через судову систему. Це забезпечує реальну можливість кожній особі отримати справедливий розгляд своєї справи та захист від порушень прав.</w:t>
      </w:r>
      <w:r>
        <w:rPr>
          <w:rFonts w:ascii="Times New Roman" w:hAnsi="Times New Roman" w:cs="Times New Roman"/>
          <w:sz w:val="28"/>
        </w:rPr>
        <w:t xml:space="preserve"> </w:t>
      </w:r>
      <w:r w:rsidRPr="00E22913">
        <w:rPr>
          <w:rFonts w:ascii="Times New Roman" w:hAnsi="Times New Roman" w:cs="Times New Roman"/>
          <w:sz w:val="28"/>
        </w:rPr>
        <w:t>Таким чином, статті Загальної декларації прав людини, Міжнародного пакту про громадянські і політичні права та Конвенції про захист прав людини і основоположних свобод відображають загальний зворотній зв'язок між правовим захистом та принципами справедливості, недоторканності прав людини та правової держави.</w:t>
      </w:r>
    </w:p>
    <w:p w:rsidR="00E22913" w:rsidRPr="00E22913" w:rsidRDefault="00E22913" w:rsidP="00E22913">
      <w:pPr>
        <w:spacing w:after="0" w:line="360" w:lineRule="auto"/>
        <w:ind w:firstLine="709"/>
        <w:jc w:val="both"/>
        <w:rPr>
          <w:rFonts w:ascii="Times New Roman" w:hAnsi="Times New Roman" w:cs="Times New Roman"/>
          <w:sz w:val="28"/>
        </w:rPr>
      </w:pPr>
      <w:r w:rsidRPr="00E22913">
        <w:rPr>
          <w:rFonts w:ascii="Times New Roman" w:hAnsi="Times New Roman" w:cs="Times New Roman"/>
          <w:sz w:val="28"/>
        </w:rPr>
        <w:t>Право на справедливий суд, як вказується в науковій літературі, не лише складається з права на отримання об'єктивного та безперешкодного розгляду своєї справи, але і включає в себе право на оскарження неостаточних судових рішень, а також на оскарження в суді рішень, дій чи бездіяльності державних органів чи службових осіб. Ця внутрішня структура права на справедливий суд має вирішальне значення для забезпечення правосуддя та захисту прав і свобод людини.</w:t>
      </w:r>
      <w:r>
        <w:rPr>
          <w:rFonts w:ascii="Times New Roman" w:hAnsi="Times New Roman" w:cs="Times New Roman"/>
          <w:sz w:val="28"/>
        </w:rPr>
        <w:t xml:space="preserve"> </w:t>
      </w:r>
      <w:r w:rsidRPr="00E22913">
        <w:rPr>
          <w:rFonts w:ascii="Times New Roman" w:hAnsi="Times New Roman" w:cs="Times New Roman"/>
          <w:sz w:val="28"/>
        </w:rPr>
        <w:t xml:space="preserve">Необхідно підкреслити, що без можливості оскарження неправомірних дій, рішень чи бездіяльності неможливо максимально гарантувати право на </w:t>
      </w:r>
      <w:r w:rsidRPr="00E22913">
        <w:rPr>
          <w:rFonts w:ascii="Times New Roman" w:hAnsi="Times New Roman" w:cs="Times New Roman"/>
          <w:sz w:val="28"/>
        </w:rPr>
        <w:lastRenderedPageBreak/>
        <w:t>справедливий суд. Такий підхід забезпечує особам можливість активно захищати свої права і свободи, що є важливою склад</w:t>
      </w:r>
      <w:r w:rsidR="0067713D">
        <w:rPr>
          <w:rFonts w:ascii="Times New Roman" w:hAnsi="Times New Roman" w:cs="Times New Roman"/>
          <w:sz w:val="28"/>
        </w:rPr>
        <w:t>овою демократичного суспільства [4</w:t>
      </w:r>
      <w:r w:rsidR="0067713D" w:rsidRPr="0067713D">
        <w:rPr>
          <w:rFonts w:ascii="Times New Roman" w:hAnsi="Times New Roman" w:cs="Times New Roman"/>
          <w:sz w:val="28"/>
        </w:rPr>
        <w:t xml:space="preserve">, с. </w:t>
      </w:r>
      <w:r w:rsidR="0067713D">
        <w:rPr>
          <w:rFonts w:ascii="Times New Roman" w:hAnsi="Times New Roman" w:cs="Times New Roman"/>
          <w:sz w:val="28"/>
        </w:rPr>
        <w:t>304</w:t>
      </w:r>
      <w:r w:rsidR="0067713D" w:rsidRPr="0067713D">
        <w:rPr>
          <w:rFonts w:ascii="Times New Roman" w:hAnsi="Times New Roman" w:cs="Times New Roman"/>
          <w:sz w:val="28"/>
        </w:rPr>
        <w:t>].</w:t>
      </w:r>
    </w:p>
    <w:p w:rsidR="00E22913" w:rsidRDefault="009A7A2D" w:rsidP="00E22913">
      <w:pPr>
        <w:spacing w:after="0" w:line="360" w:lineRule="auto"/>
        <w:ind w:firstLine="709"/>
        <w:jc w:val="both"/>
        <w:rPr>
          <w:rFonts w:ascii="Times New Roman" w:hAnsi="Times New Roman" w:cs="Times New Roman"/>
          <w:sz w:val="28"/>
        </w:rPr>
      </w:pPr>
      <w:r>
        <w:rPr>
          <w:rFonts w:ascii="Times New Roman" w:hAnsi="Times New Roman" w:cs="Times New Roman"/>
          <w:sz w:val="28"/>
        </w:rPr>
        <w:t>Стаття 24</w:t>
      </w:r>
      <w:r w:rsidR="00E22913" w:rsidRPr="00E22913">
        <w:rPr>
          <w:rFonts w:ascii="Times New Roman" w:hAnsi="Times New Roman" w:cs="Times New Roman"/>
          <w:sz w:val="28"/>
        </w:rPr>
        <w:t xml:space="preserve"> Кримінального процесуального кодексу України</w:t>
      </w:r>
      <w:r w:rsidR="0053130F" w:rsidRPr="0067713D">
        <w:rPr>
          <w:rFonts w:ascii="Times New Roman" w:hAnsi="Times New Roman" w:cs="Times New Roman"/>
          <w:sz w:val="28"/>
        </w:rPr>
        <w:t xml:space="preserve"> (дал</w:t>
      </w:r>
      <w:r w:rsidR="0053130F">
        <w:rPr>
          <w:rFonts w:ascii="Times New Roman" w:hAnsi="Times New Roman" w:cs="Times New Roman"/>
          <w:sz w:val="28"/>
        </w:rPr>
        <w:t>і – КПК</w:t>
      </w:r>
      <w:r w:rsidR="0053130F" w:rsidRPr="0067713D">
        <w:rPr>
          <w:rFonts w:ascii="Times New Roman" w:hAnsi="Times New Roman" w:cs="Times New Roman"/>
          <w:sz w:val="28"/>
        </w:rPr>
        <w:t>)</w:t>
      </w:r>
      <w:r w:rsidR="00E22913" w:rsidRPr="00E22913">
        <w:rPr>
          <w:rFonts w:ascii="Times New Roman" w:hAnsi="Times New Roman" w:cs="Times New Roman"/>
          <w:sz w:val="28"/>
        </w:rPr>
        <w:t xml:space="preserve"> та інші правові акти країни чітко визначають і гарантують це право на оскарження, що свідчить про його</w:t>
      </w:r>
      <w:r w:rsidR="0067713D">
        <w:rPr>
          <w:rFonts w:ascii="Times New Roman" w:hAnsi="Times New Roman" w:cs="Times New Roman"/>
          <w:sz w:val="28"/>
        </w:rPr>
        <w:t xml:space="preserve"> значущість у правовій системі </w:t>
      </w:r>
      <w:r w:rsidR="0067713D" w:rsidRPr="0067713D">
        <w:rPr>
          <w:rFonts w:ascii="Times New Roman" w:hAnsi="Times New Roman" w:cs="Times New Roman"/>
          <w:sz w:val="28"/>
        </w:rPr>
        <w:t>[</w:t>
      </w:r>
      <w:r w:rsidR="0067713D">
        <w:rPr>
          <w:rFonts w:ascii="Times New Roman" w:hAnsi="Times New Roman" w:cs="Times New Roman"/>
          <w:sz w:val="28"/>
        </w:rPr>
        <w:t>1</w:t>
      </w:r>
      <w:r w:rsidR="0067713D" w:rsidRPr="0067713D">
        <w:rPr>
          <w:rFonts w:ascii="Times New Roman" w:hAnsi="Times New Roman" w:cs="Times New Roman"/>
          <w:sz w:val="28"/>
        </w:rPr>
        <w:t>].</w:t>
      </w:r>
      <w:r w:rsidR="0067713D">
        <w:rPr>
          <w:rFonts w:ascii="Times New Roman" w:hAnsi="Times New Roman" w:cs="Times New Roman"/>
          <w:sz w:val="28"/>
        </w:rPr>
        <w:t xml:space="preserve"> </w:t>
      </w:r>
      <w:r w:rsidR="00E22913" w:rsidRPr="00E22913">
        <w:rPr>
          <w:rFonts w:ascii="Times New Roman" w:hAnsi="Times New Roman" w:cs="Times New Roman"/>
          <w:sz w:val="28"/>
        </w:rPr>
        <w:t>Забезпечення цього права є ключовою умовою для забезпечення справедливості та правової державності.</w:t>
      </w:r>
      <w:r w:rsidR="00E22913">
        <w:rPr>
          <w:rFonts w:ascii="Times New Roman" w:hAnsi="Times New Roman" w:cs="Times New Roman"/>
          <w:sz w:val="28"/>
        </w:rPr>
        <w:t xml:space="preserve"> </w:t>
      </w:r>
      <w:r w:rsidR="00E22913" w:rsidRPr="00E22913">
        <w:rPr>
          <w:rFonts w:ascii="Times New Roman" w:hAnsi="Times New Roman" w:cs="Times New Roman"/>
          <w:sz w:val="28"/>
        </w:rPr>
        <w:t xml:space="preserve">Право на оскарження рішень, дій чи бездіяльності, як зазначається в юридичній літературі, має важливе значення як одна з основних гарантій захисту прав людини. Це дозволяє </w:t>
      </w:r>
      <w:r>
        <w:rPr>
          <w:rFonts w:ascii="Times New Roman" w:hAnsi="Times New Roman" w:cs="Times New Roman"/>
          <w:sz w:val="28"/>
        </w:rPr>
        <w:t>особам</w:t>
      </w:r>
      <w:r w:rsidR="00E22913" w:rsidRPr="00E22913">
        <w:rPr>
          <w:rFonts w:ascii="Times New Roman" w:hAnsi="Times New Roman" w:cs="Times New Roman"/>
          <w:sz w:val="28"/>
        </w:rPr>
        <w:t xml:space="preserve"> ефективно впливати на процес захисту своїх інтересів та уникнення можливих правопорушень як з боку державних органів, так і з боку інших учасників правовідносин. Такий підхід сприяє підвищенню довіри громадян до правосуддя та реалізації принципу верховенства права.</w:t>
      </w:r>
    </w:p>
    <w:p w:rsidR="009A7A2D" w:rsidRDefault="009A7A2D" w:rsidP="009A7A2D">
      <w:pPr>
        <w:spacing w:after="0" w:line="360" w:lineRule="auto"/>
        <w:ind w:firstLine="709"/>
        <w:jc w:val="both"/>
        <w:rPr>
          <w:rFonts w:ascii="Times New Roman" w:hAnsi="Times New Roman" w:cs="Times New Roman"/>
          <w:sz w:val="28"/>
        </w:rPr>
      </w:pPr>
      <w:r w:rsidRPr="009A7A2D">
        <w:rPr>
          <w:rFonts w:ascii="Times New Roman" w:hAnsi="Times New Roman" w:cs="Times New Roman"/>
          <w:sz w:val="28"/>
        </w:rPr>
        <w:t>Вивчення оскарження у кримінальному процесі відображається в різних підходах в науковій літературі. Дослідники розглядають оскарження як основне право людини, форму правового захисту, кримінально-процесуальну гарантію, а також як інститут кримінального процесуального права. При цьому важливо враховувати, що оскарження включає в себе не лише подання скарги, а й дії з її приймання, реєстрації та вирішення.</w:t>
      </w:r>
      <w:r>
        <w:rPr>
          <w:rFonts w:ascii="Times New Roman" w:hAnsi="Times New Roman" w:cs="Times New Roman"/>
          <w:sz w:val="28"/>
        </w:rPr>
        <w:t xml:space="preserve"> </w:t>
      </w:r>
      <w:r w:rsidRPr="009A7A2D">
        <w:rPr>
          <w:rFonts w:ascii="Times New Roman" w:hAnsi="Times New Roman" w:cs="Times New Roman"/>
          <w:sz w:val="28"/>
        </w:rPr>
        <w:t>Д. І. Клепка правильно вказує на різноманітність підходів до оскарження, але можна зазначити, що не всі з них є повністю обґрунтованими. Особл</w:t>
      </w:r>
      <w:r w:rsidR="005C0458">
        <w:rPr>
          <w:rFonts w:ascii="Times New Roman" w:hAnsi="Times New Roman" w:cs="Times New Roman"/>
          <w:sz w:val="28"/>
        </w:rPr>
        <w:t>иво важливо розрізняти поняття «</w:t>
      </w:r>
      <w:r w:rsidRPr="009A7A2D">
        <w:rPr>
          <w:rFonts w:ascii="Times New Roman" w:hAnsi="Times New Roman" w:cs="Times New Roman"/>
          <w:sz w:val="28"/>
        </w:rPr>
        <w:t xml:space="preserve">право на </w:t>
      </w:r>
      <w:r w:rsidR="005C0458">
        <w:rPr>
          <w:rFonts w:ascii="Times New Roman" w:hAnsi="Times New Roman" w:cs="Times New Roman"/>
          <w:sz w:val="28"/>
        </w:rPr>
        <w:t>оскарження» та саме «оскарження»</w:t>
      </w:r>
      <w:r w:rsidR="0067713D">
        <w:rPr>
          <w:rFonts w:ascii="Times New Roman" w:hAnsi="Times New Roman" w:cs="Times New Roman"/>
          <w:sz w:val="28"/>
        </w:rPr>
        <w:t xml:space="preserve"> [5</w:t>
      </w:r>
      <w:r w:rsidR="0067713D" w:rsidRPr="0067713D">
        <w:rPr>
          <w:rFonts w:ascii="Times New Roman" w:hAnsi="Times New Roman" w:cs="Times New Roman"/>
          <w:sz w:val="28"/>
        </w:rPr>
        <w:t xml:space="preserve">, с. </w:t>
      </w:r>
      <w:r w:rsidR="0067713D">
        <w:rPr>
          <w:rFonts w:ascii="Times New Roman" w:hAnsi="Times New Roman" w:cs="Times New Roman"/>
          <w:sz w:val="28"/>
        </w:rPr>
        <w:t>153</w:t>
      </w:r>
      <w:r w:rsidR="0067713D" w:rsidRPr="0067713D">
        <w:rPr>
          <w:rFonts w:ascii="Times New Roman" w:hAnsi="Times New Roman" w:cs="Times New Roman"/>
          <w:sz w:val="28"/>
        </w:rPr>
        <w:t>].</w:t>
      </w:r>
      <w:r w:rsidRPr="009A7A2D">
        <w:rPr>
          <w:rFonts w:ascii="Times New Roman" w:hAnsi="Times New Roman" w:cs="Times New Roman"/>
          <w:sz w:val="28"/>
        </w:rPr>
        <w:t xml:space="preserve"> Право на оскарження, як законом гарантована можливість, дозволяє особі подати скаргу на процесуальні рішення, дії або бездіяльність, які вона вважає порушенням її прав. Це право надається законодавством і є важливою складовою правової системи. </w:t>
      </w:r>
      <w:r w:rsidR="005C0458">
        <w:rPr>
          <w:rFonts w:ascii="Times New Roman" w:hAnsi="Times New Roman" w:cs="Times New Roman"/>
          <w:sz w:val="28"/>
        </w:rPr>
        <w:t xml:space="preserve"> </w:t>
      </w:r>
      <w:r w:rsidRPr="009A7A2D">
        <w:rPr>
          <w:rFonts w:ascii="Times New Roman" w:hAnsi="Times New Roman" w:cs="Times New Roman"/>
          <w:sz w:val="28"/>
        </w:rPr>
        <w:t xml:space="preserve">З іншого боку, саме оскарження </w:t>
      </w:r>
      <w:r w:rsidR="005C0458">
        <w:rPr>
          <w:rFonts w:ascii="Times New Roman" w:hAnsi="Times New Roman" w:cs="Times New Roman"/>
          <w:sz w:val="28"/>
        </w:rPr>
        <w:t>–</w:t>
      </w:r>
      <w:r w:rsidRPr="009A7A2D">
        <w:rPr>
          <w:rFonts w:ascii="Times New Roman" w:hAnsi="Times New Roman" w:cs="Times New Roman"/>
          <w:sz w:val="28"/>
        </w:rPr>
        <w:t xml:space="preserve"> це процес, який включає в себе подання, приймання та вирішення скарги. Це безпосередня діяльність, спрямована на захист прав особи в кримінальному процесі. Таким чином, оскарження є відображенням права на оскарження у конкретних процесуальних діях.</w:t>
      </w:r>
    </w:p>
    <w:p w:rsidR="005C0458" w:rsidRPr="005C0458" w:rsidRDefault="005C0458" w:rsidP="005C0458">
      <w:pPr>
        <w:spacing w:after="0" w:line="360" w:lineRule="auto"/>
        <w:ind w:firstLine="709"/>
        <w:jc w:val="both"/>
        <w:rPr>
          <w:rFonts w:ascii="Times New Roman" w:hAnsi="Times New Roman" w:cs="Times New Roman"/>
          <w:sz w:val="28"/>
        </w:rPr>
      </w:pPr>
      <w:r w:rsidRPr="005C0458">
        <w:rPr>
          <w:rFonts w:ascii="Times New Roman" w:hAnsi="Times New Roman" w:cs="Times New Roman"/>
          <w:sz w:val="28"/>
        </w:rPr>
        <w:lastRenderedPageBreak/>
        <w:t>Оскарження рішень, дій чи бездіяльності органів досудового розслідування визначається як важлива складова кримінального процесуального права, яка визначається сукупністю процесуальних норм. В. О. Попелюшко відзначає, що це процедурне право грає ключову роль у забезпеченні прав особи під час кримінального провадження. Поняття оскарження рішень охоплює широкий спектр аспектів, включаючи суб'єктів, порядок подачі та розгляду скарги,</w:t>
      </w:r>
      <w:r w:rsidR="0067713D">
        <w:rPr>
          <w:rFonts w:ascii="Times New Roman" w:hAnsi="Times New Roman" w:cs="Times New Roman"/>
          <w:sz w:val="28"/>
        </w:rPr>
        <w:t xml:space="preserve"> а також наслідки цього процесу [6, с. 188</w:t>
      </w:r>
      <w:r w:rsidR="0067713D" w:rsidRPr="0067713D">
        <w:rPr>
          <w:rFonts w:ascii="Times New Roman" w:hAnsi="Times New Roman" w:cs="Times New Roman"/>
          <w:sz w:val="28"/>
        </w:rPr>
        <w:t>].</w:t>
      </w:r>
    </w:p>
    <w:p w:rsidR="009A7A2D" w:rsidRDefault="005C0458" w:rsidP="005C0458">
      <w:pPr>
        <w:spacing w:after="0" w:line="360" w:lineRule="auto"/>
        <w:ind w:firstLine="709"/>
        <w:jc w:val="both"/>
        <w:rPr>
          <w:rFonts w:ascii="Times New Roman" w:hAnsi="Times New Roman" w:cs="Times New Roman"/>
          <w:sz w:val="28"/>
        </w:rPr>
      </w:pPr>
      <w:r w:rsidRPr="005C0458">
        <w:rPr>
          <w:rFonts w:ascii="Times New Roman" w:hAnsi="Times New Roman" w:cs="Times New Roman"/>
          <w:sz w:val="28"/>
        </w:rPr>
        <w:t>Приписи процесуальних норм щодо оскарження визначають як сам процес оскарження, так і його параметри. Цей інститут відіграє важливу роль у забезпеченні справедливості та правового порядку в кримінальному процесі. Детальна регламентація оскарження рішень, дій чи бездіяльності державних органів та службових осіб, що здійснюють кримінальне провадження, сприяє уникненню зловживань та випадків порушення прав особи.</w:t>
      </w:r>
      <w:r>
        <w:rPr>
          <w:rFonts w:ascii="Times New Roman" w:hAnsi="Times New Roman" w:cs="Times New Roman"/>
          <w:sz w:val="28"/>
        </w:rPr>
        <w:t xml:space="preserve"> </w:t>
      </w:r>
      <w:r w:rsidRPr="005C0458">
        <w:rPr>
          <w:rFonts w:ascii="Times New Roman" w:hAnsi="Times New Roman" w:cs="Times New Roman"/>
          <w:sz w:val="28"/>
        </w:rPr>
        <w:t>Основна мета цього інституту полягає в забезпеченні можливості оскаржувати рішення, дії чи бездіяльність, які порушують права та законні інтереси особи в кримінальному процесі. Важливо підкреслити, що це право є одним з фундаментальних принципів кримінального провадження України, оскільки воно спрямоване на захист прав людини та гарантує правову відповідність у діяльності правоохоронних органів.</w:t>
      </w:r>
    </w:p>
    <w:p w:rsidR="005C0458" w:rsidRDefault="005C0458" w:rsidP="005C0458">
      <w:pPr>
        <w:spacing w:after="0" w:line="360" w:lineRule="auto"/>
        <w:ind w:firstLine="709"/>
        <w:jc w:val="both"/>
        <w:rPr>
          <w:rFonts w:ascii="Times New Roman" w:hAnsi="Times New Roman" w:cs="Times New Roman"/>
          <w:sz w:val="28"/>
        </w:rPr>
      </w:pPr>
      <w:r w:rsidRPr="005C0458">
        <w:rPr>
          <w:rFonts w:ascii="Times New Roman" w:hAnsi="Times New Roman" w:cs="Times New Roman"/>
          <w:sz w:val="28"/>
        </w:rPr>
        <w:t>Визначення природи права оскарження відіграє ключову роль у встановленні його обсягу та встановленні законодавчих обмежень на оскарження у кримінальному процесі. Розглядаючи це питання, необхідно враховувати різні аспекти правового регулювання оскарження рішень суду та процесуальних рішень, дій чи бездіяльності слідчого та прокурора. Наукова література активно обговорює цю тему, пропонуючи різні підходи та тлумачення.</w:t>
      </w:r>
      <w:r>
        <w:rPr>
          <w:rFonts w:ascii="Times New Roman" w:hAnsi="Times New Roman" w:cs="Times New Roman"/>
          <w:sz w:val="28"/>
        </w:rPr>
        <w:t xml:space="preserve"> Д</w:t>
      </w:r>
      <w:r w:rsidRPr="005C0458">
        <w:rPr>
          <w:rFonts w:ascii="Times New Roman" w:hAnsi="Times New Roman" w:cs="Times New Roman"/>
          <w:sz w:val="28"/>
        </w:rPr>
        <w:t>еякі автори, зокрема І. І. Заболотний, розглядають право на оскарження процесуальних рішень, дій чи бездіяльності на досудовому розслідуванні як невід’ємне диспозитивне право учасника кримінального провадження. Вони вважають, що це право спрямоване на захист порушених прав та законних інтересів через звернен</w:t>
      </w:r>
      <w:r>
        <w:rPr>
          <w:rFonts w:ascii="Times New Roman" w:hAnsi="Times New Roman" w:cs="Times New Roman"/>
          <w:sz w:val="28"/>
        </w:rPr>
        <w:t>ня до незаангажованого арбітра –</w:t>
      </w:r>
      <w:r w:rsidRPr="005C0458">
        <w:rPr>
          <w:rFonts w:ascii="Times New Roman" w:hAnsi="Times New Roman" w:cs="Times New Roman"/>
          <w:sz w:val="28"/>
        </w:rPr>
        <w:t xml:space="preserve"> представника судової</w:t>
      </w:r>
      <w:r w:rsidR="0067713D">
        <w:rPr>
          <w:rFonts w:ascii="Times New Roman" w:hAnsi="Times New Roman" w:cs="Times New Roman"/>
          <w:sz w:val="28"/>
        </w:rPr>
        <w:t xml:space="preserve"> влади, такого як </w:t>
      </w:r>
      <w:r w:rsidR="0067713D">
        <w:rPr>
          <w:rFonts w:ascii="Times New Roman" w:hAnsi="Times New Roman" w:cs="Times New Roman"/>
          <w:sz w:val="28"/>
        </w:rPr>
        <w:lastRenderedPageBreak/>
        <w:t>слідчий суддя</w:t>
      </w:r>
      <w:r w:rsidR="0067713D" w:rsidRPr="0067713D">
        <w:rPr>
          <w:rFonts w:ascii="Times New Roman" w:hAnsi="Times New Roman" w:cs="Times New Roman"/>
          <w:sz w:val="28"/>
        </w:rPr>
        <w:t>.</w:t>
      </w:r>
      <w:r w:rsidR="0067713D">
        <w:rPr>
          <w:rFonts w:ascii="Times New Roman" w:hAnsi="Times New Roman" w:cs="Times New Roman"/>
          <w:sz w:val="28"/>
        </w:rPr>
        <w:t xml:space="preserve"> </w:t>
      </w:r>
      <w:r w:rsidRPr="005C0458">
        <w:rPr>
          <w:rFonts w:ascii="Times New Roman" w:hAnsi="Times New Roman" w:cs="Times New Roman"/>
          <w:sz w:val="28"/>
        </w:rPr>
        <w:t>Проте існують думки, що оскарження процесуальних рішень на досудовому етапі має відмінну від оскарження судових рішень правову природу. Цей підхід базується на переконанні, що надання права на оскарження не може бути розглянуте як абсолютна гарантія, оскільки його ефективність пов'язана з наданням учасникам кримінального провадження ефективних засобів правового захисту, таких як судовий контроль і прокурорський нагляд. Таке розуміння дозволяє обґрунтувати необхідність обмежень оскарження на досудовому етапі для запобігання можливим зловживанням правом та забезпечення ефективності досудового розслідування.</w:t>
      </w:r>
    </w:p>
    <w:p w:rsidR="005C0458" w:rsidRPr="005C0458" w:rsidRDefault="005C0458" w:rsidP="005C0458">
      <w:pPr>
        <w:spacing w:after="0" w:line="360" w:lineRule="auto"/>
        <w:ind w:firstLine="709"/>
        <w:jc w:val="both"/>
        <w:rPr>
          <w:rFonts w:ascii="Times New Roman" w:hAnsi="Times New Roman" w:cs="Times New Roman"/>
          <w:sz w:val="28"/>
        </w:rPr>
      </w:pPr>
      <w:r w:rsidRPr="005C0458">
        <w:rPr>
          <w:rFonts w:ascii="Times New Roman" w:hAnsi="Times New Roman" w:cs="Times New Roman"/>
          <w:sz w:val="28"/>
        </w:rPr>
        <w:t xml:space="preserve">У сучасному правовому контексті </w:t>
      </w:r>
      <w:r w:rsidR="00DB7492">
        <w:rPr>
          <w:rFonts w:ascii="Times New Roman" w:hAnsi="Times New Roman" w:cs="Times New Roman"/>
          <w:sz w:val="28"/>
        </w:rPr>
        <w:t>беззаперечно</w:t>
      </w:r>
      <w:r w:rsidRPr="005C0458">
        <w:rPr>
          <w:rFonts w:ascii="Times New Roman" w:hAnsi="Times New Roman" w:cs="Times New Roman"/>
          <w:sz w:val="28"/>
        </w:rPr>
        <w:t xml:space="preserve">, що право на оскарження рішень, дій чи бездіяльності у кримінальному провадженні становить </w:t>
      </w:r>
      <w:r w:rsidR="00DB7492">
        <w:rPr>
          <w:rFonts w:ascii="Times New Roman" w:hAnsi="Times New Roman" w:cs="Times New Roman"/>
          <w:sz w:val="28"/>
        </w:rPr>
        <w:t xml:space="preserve">надто </w:t>
      </w:r>
      <w:r w:rsidRPr="005C0458">
        <w:rPr>
          <w:rFonts w:ascii="Times New Roman" w:hAnsi="Times New Roman" w:cs="Times New Roman"/>
          <w:sz w:val="28"/>
        </w:rPr>
        <w:t xml:space="preserve">важливий аспект індивідуальних прав та гарантій, що дозволяє забезпечити справедливий судовий процес. Це право прямо відображене в таких міжнародних документах, як Загальна декларація прав людини, а також в національному законодавстві, зокрема, у частині </w:t>
      </w:r>
      <w:r w:rsidR="0067713D">
        <w:rPr>
          <w:rFonts w:ascii="Times New Roman" w:hAnsi="Times New Roman" w:cs="Times New Roman"/>
          <w:sz w:val="28"/>
        </w:rPr>
        <w:t xml:space="preserve">1 статті 55 Конституції України </w:t>
      </w:r>
      <w:r w:rsidR="008707C9">
        <w:rPr>
          <w:rFonts w:ascii="Times New Roman" w:hAnsi="Times New Roman" w:cs="Times New Roman"/>
          <w:sz w:val="28"/>
        </w:rPr>
        <w:t>[6</w:t>
      </w:r>
      <w:r w:rsidR="008707C9" w:rsidRPr="008707C9">
        <w:rPr>
          <w:rFonts w:ascii="Times New Roman" w:hAnsi="Times New Roman" w:cs="Times New Roman"/>
          <w:sz w:val="28"/>
        </w:rPr>
        <w:t xml:space="preserve">, с. </w:t>
      </w:r>
      <w:r w:rsidR="008707C9">
        <w:rPr>
          <w:rFonts w:ascii="Times New Roman" w:hAnsi="Times New Roman" w:cs="Times New Roman"/>
          <w:sz w:val="28"/>
        </w:rPr>
        <w:t>189</w:t>
      </w:r>
      <w:r w:rsidR="008707C9" w:rsidRPr="008707C9">
        <w:rPr>
          <w:rFonts w:ascii="Times New Roman" w:hAnsi="Times New Roman" w:cs="Times New Roman"/>
          <w:sz w:val="28"/>
        </w:rPr>
        <w:t>]</w:t>
      </w:r>
    </w:p>
    <w:p w:rsidR="00DB7492" w:rsidRDefault="005C0458" w:rsidP="005C0458">
      <w:pPr>
        <w:spacing w:after="0" w:line="360" w:lineRule="auto"/>
        <w:ind w:firstLine="709"/>
        <w:jc w:val="both"/>
        <w:rPr>
          <w:rFonts w:ascii="Times New Roman" w:hAnsi="Times New Roman" w:cs="Times New Roman"/>
          <w:sz w:val="28"/>
        </w:rPr>
      </w:pPr>
      <w:r w:rsidRPr="005C0458">
        <w:rPr>
          <w:rFonts w:ascii="Times New Roman" w:hAnsi="Times New Roman" w:cs="Times New Roman"/>
          <w:sz w:val="28"/>
        </w:rPr>
        <w:t>Важливо підкреслити, що обмеження права на оскарження має бути обґрунтованим і виправданим, особливо у випадках, коли порушуються основні права людини. Наприклад, коли йдеться про порушення права на свободу, недоторканість особи чи право на справедливий судовий процес, звернення до суду має бути доступним і необмеженим. Однак, у інших випадках, коли йдеться про менш суттєві порушення, можливе використання альтернативних засобів захисту, що також можуть бути ефективними та відповідати вимогам справедливості.</w:t>
      </w:r>
      <w:r>
        <w:rPr>
          <w:rFonts w:ascii="Times New Roman" w:hAnsi="Times New Roman" w:cs="Times New Roman"/>
          <w:sz w:val="28"/>
        </w:rPr>
        <w:t xml:space="preserve"> </w:t>
      </w:r>
      <w:r w:rsidRPr="005C0458">
        <w:rPr>
          <w:rFonts w:ascii="Times New Roman" w:hAnsi="Times New Roman" w:cs="Times New Roman"/>
          <w:sz w:val="28"/>
        </w:rPr>
        <w:t xml:space="preserve">Зокрема, вирішальним критерієм у встановленні обмежень на право на оскарження є характер порушеного права. Необхідно враховувати, що оскарження може бути важливим не лише для захисту конкретних інтересів особи, а й для забезпечення загального захисту правового порядку та демократичних цінностей суспільства. </w:t>
      </w:r>
    </w:p>
    <w:p w:rsidR="00CA6F62" w:rsidRPr="00CA6F62" w:rsidRDefault="00CA6F62" w:rsidP="00CA6F62">
      <w:pPr>
        <w:spacing w:after="0" w:line="360" w:lineRule="auto"/>
        <w:ind w:firstLine="709"/>
        <w:jc w:val="both"/>
        <w:rPr>
          <w:rFonts w:ascii="Times New Roman" w:hAnsi="Times New Roman" w:cs="Times New Roman"/>
          <w:sz w:val="28"/>
        </w:rPr>
      </w:pPr>
      <w:r w:rsidRPr="00CA6F62">
        <w:rPr>
          <w:rFonts w:ascii="Times New Roman" w:hAnsi="Times New Roman" w:cs="Times New Roman"/>
          <w:sz w:val="28"/>
        </w:rPr>
        <w:t xml:space="preserve">Забезпечення реалізації права на оскарження процесуальних рішень, дій чи бездіяльності органів, що ведуть кримінальне провадження, має вирішальне значення для забезпечення справедливості та захисту прав людини в правовій </w:t>
      </w:r>
      <w:r w:rsidRPr="00CA6F62">
        <w:rPr>
          <w:rFonts w:ascii="Times New Roman" w:hAnsi="Times New Roman" w:cs="Times New Roman"/>
          <w:sz w:val="28"/>
        </w:rPr>
        <w:lastRenderedPageBreak/>
        <w:t>системі. Цей процес є ключовим в кожній стадії кримінального провадження і є важливим механізмом контролю за діями правоохоронних органів.</w:t>
      </w:r>
      <w:r>
        <w:rPr>
          <w:rFonts w:ascii="Times New Roman" w:hAnsi="Times New Roman" w:cs="Times New Roman"/>
          <w:sz w:val="28"/>
        </w:rPr>
        <w:t xml:space="preserve"> </w:t>
      </w:r>
      <w:r w:rsidRPr="00CA6F62">
        <w:rPr>
          <w:rFonts w:ascii="Times New Roman" w:hAnsi="Times New Roman" w:cs="Times New Roman"/>
          <w:sz w:val="28"/>
        </w:rPr>
        <w:t>Оскарження може мати місце на будь-якій стадії кримінального провадження, де виникає ситуація, яка потребує перевірки та коригування. Особливо важливою є можливість оскарження на стадії досудового розслідування, коли порушуються основні права, свободи та інтереси осіб. Це становить період, коли вища увага приділяється забезпеченню дотримання процесуальних гарантій і прав заарештованих чи підозрюваних.</w:t>
      </w:r>
      <w:r>
        <w:rPr>
          <w:rFonts w:ascii="Times New Roman" w:hAnsi="Times New Roman" w:cs="Times New Roman"/>
          <w:sz w:val="28"/>
        </w:rPr>
        <w:t xml:space="preserve"> </w:t>
      </w:r>
      <w:r w:rsidRPr="00CA6F62">
        <w:rPr>
          <w:rFonts w:ascii="Times New Roman" w:hAnsi="Times New Roman" w:cs="Times New Roman"/>
          <w:sz w:val="28"/>
        </w:rPr>
        <w:t>Оскарження процесуальних рішень, дій чи бездіяльності органів досудового розслідування та прокурора може бути реалізов</w:t>
      </w:r>
      <w:r>
        <w:rPr>
          <w:rFonts w:ascii="Times New Roman" w:hAnsi="Times New Roman" w:cs="Times New Roman"/>
          <w:sz w:val="28"/>
        </w:rPr>
        <w:t>ане через два основних порядки –</w:t>
      </w:r>
      <w:r w:rsidRPr="00CA6F62">
        <w:rPr>
          <w:rFonts w:ascii="Times New Roman" w:hAnsi="Times New Roman" w:cs="Times New Roman"/>
          <w:sz w:val="28"/>
        </w:rPr>
        <w:t xml:space="preserve"> відомчий і судовий. Відомчий порядок передбачає подання скарги до вищого органу або надзвичайного відомства, яке має повноваження переглядати та вирішувати такі справи. Судовий порядок, з свого боку, передбачає звернення до суду за рішенням у справі про </w:t>
      </w:r>
      <w:r w:rsidR="0067713D">
        <w:rPr>
          <w:rFonts w:ascii="Times New Roman" w:hAnsi="Times New Roman" w:cs="Times New Roman"/>
          <w:sz w:val="28"/>
        </w:rPr>
        <w:t xml:space="preserve">права та законні інтереси особи </w:t>
      </w:r>
      <w:r w:rsidR="008707C9">
        <w:rPr>
          <w:rFonts w:ascii="Times New Roman" w:hAnsi="Times New Roman" w:cs="Times New Roman"/>
          <w:sz w:val="28"/>
        </w:rPr>
        <w:t>[8</w:t>
      </w:r>
      <w:r w:rsidR="008707C9" w:rsidRPr="008707C9">
        <w:rPr>
          <w:rFonts w:ascii="Times New Roman" w:hAnsi="Times New Roman" w:cs="Times New Roman"/>
          <w:sz w:val="28"/>
        </w:rPr>
        <w:t xml:space="preserve">, с. </w:t>
      </w:r>
      <w:r w:rsidR="008707C9">
        <w:rPr>
          <w:rFonts w:ascii="Times New Roman" w:hAnsi="Times New Roman" w:cs="Times New Roman"/>
          <w:sz w:val="28"/>
        </w:rPr>
        <w:t>178</w:t>
      </w:r>
      <w:r w:rsidR="008707C9" w:rsidRPr="008707C9">
        <w:rPr>
          <w:rFonts w:ascii="Times New Roman" w:hAnsi="Times New Roman" w:cs="Times New Roman"/>
          <w:sz w:val="28"/>
        </w:rPr>
        <w:t>]</w:t>
      </w:r>
      <w:r w:rsidR="008707C9">
        <w:rPr>
          <w:rFonts w:ascii="Times New Roman" w:hAnsi="Times New Roman" w:cs="Times New Roman"/>
          <w:sz w:val="28"/>
        </w:rPr>
        <w:t>.</w:t>
      </w:r>
    </w:p>
    <w:p w:rsidR="005C0458" w:rsidRDefault="00CA6F62" w:rsidP="00CA6F62">
      <w:pPr>
        <w:spacing w:after="0" w:line="360" w:lineRule="auto"/>
        <w:ind w:firstLine="709"/>
        <w:jc w:val="both"/>
        <w:rPr>
          <w:rFonts w:ascii="Times New Roman" w:hAnsi="Times New Roman" w:cs="Times New Roman"/>
          <w:sz w:val="28"/>
        </w:rPr>
      </w:pPr>
      <w:r w:rsidRPr="00CA6F62">
        <w:rPr>
          <w:rFonts w:ascii="Times New Roman" w:hAnsi="Times New Roman" w:cs="Times New Roman"/>
          <w:sz w:val="28"/>
        </w:rPr>
        <w:t>Таким чином,</w:t>
      </w:r>
      <w:r>
        <w:rPr>
          <w:rFonts w:ascii="Times New Roman" w:hAnsi="Times New Roman" w:cs="Times New Roman"/>
          <w:sz w:val="28"/>
        </w:rPr>
        <w:t xml:space="preserve"> право на</w:t>
      </w:r>
      <w:r w:rsidRPr="00CA6F62">
        <w:rPr>
          <w:rFonts w:ascii="Times New Roman" w:hAnsi="Times New Roman" w:cs="Times New Roman"/>
          <w:sz w:val="28"/>
        </w:rPr>
        <w:t xml:space="preserve"> оскарження на стадії досудового розслідування відіграє критичну роль у забезпеченні правосуддя та захисті прав громадян. Він дозволяє виявляти та виправляти можливі порушення, що відбуваються на ранніх етапах кримінального провадження, тим самим забезпечуючи збереження довіри громадян до справедливості та законності.</w:t>
      </w:r>
    </w:p>
    <w:p w:rsidR="005003D9" w:rsidRDefault="005003D9" w:rsidP="005C0458">
      <w:pPr>
        <w:spacing w:after="0" w:line="360" w:lineRule="auto"/>
        <w:ind w:firstLine="709"/>
        <w:jc w:val="both"/>
        <w:rPr>
          <w:rFonts w:ascii="Times New Roman" w:hAnsi="Times New Roman" w:cs="Times New Roman"/>
          <w:sz w:val="28"/>
        </w:rPr>
      </w:pPr>
    </w:p>
    <w:p w:rsidR="005003D9" w:rsidRDefault="005003D9" w:rsidP="005C0458">
      <w:pPr>
        <w:spacing w:after="0" w:line="360" w:lineRule="auto"/>
        <w:ind w:firstLine="709"/>
        <w:jc w:val="both"/>
        <w:rPr>
          <w:rFonts w:ascii="Times New Roman" w:hAnsi="Times New Roman" w:cs="Times New Roman"/>
          <w:sz w:val="28"/>
        </w:rPr>
      </w:pPr>
      <w:r w:rsidRPr="005003D9">
        <w:rPr>
          <w:rFonts w:ascii="Times New Roman" w:hAnsi="Times New Roman" w:cs="Times New Roman"/>
          <w:sz w:val="28"/>
        </w:rPr>
        <w:t>1.2. Порядок оскарження рішень, дій чи бездіяльності органів досудового розслідування</w:t>
      </w:r>
    </w:p>
    <w:p w:rsidR="005003D9" w:rsidRDefault="005003D9" w:rsidP="005C0458">
      <w:pPr>
        <w:spacing w:after="0" w:line="360" w:lineRule="auto"/>
        <w:ind w:firstLine="709"/>
        <w:jc w:val="both"/>
        <w:rPr>
          <w:rFonts w:ascii="Times New Roman" w:hAnsi="Times New Roman" w:cs="Times New Roman"/>
          <w:sz w:val="28"/>
        </w:rPr>
      </w:pPr>
    </w:p>
    <w:p w:rsidR="0053130F" w:rsidRP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t>Судовий контроль на стадії досудового розслідування є важливим аспектом забезпечення прав та законних інтересів учасників кримінального процесу. Він реалізується через різноманітні форми, одна з яких – оскарження рішень, дій та бездіяльності слідчого або прокурора до слідчого судді. Стаття 303 КПК України визначає вичерпний перелік ситуацій, які можуть бути предметом оскарження, а також круг осіб, що мають право подавати відп</w:t>
      </w:r>
      <w:r w:rsidR="008707C9">
        <w:rPr>
          <w:rFonts w:ascii="Times New Roman" w:hAnsi="Times New Roman" w:cs="Times New Roman"/>
          <w:sz w:val="28"/>
        </w:rPr>
        <w:t xml:space="preserve">овідні скарги до слідчого судді </w:t>
      </w:r>
      <w:r w:rsidR="008707C9" w:rsidRPr="008707C9">
        <w:rPr>
          <w:rFonts w:ascii="Times New Roman" w:hAnsi="Times New Roman" w:cs="Times New Roman"/>
          <w:sz w:val="28"/>
        </w:rPr>
        <w:t>[1].</w:t>
      </w:r>
    </w:p>
    <w:p w:rsidR="005003D9"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lastRenderedPageBreak/>
        <w:t>Важливо підкреслити, що ця стаття дозволяє оскаржувати лише рішення, дії та бездіяльність саме слідчого, дізнавача або прокурора. Інші суб'єкти, як-от керівник органу досудового розслідування, підпадають під інші положення КПК України або навіть можуть мати рішення, які не передбачають можливості оскарження згідно з кримінальним процесуальним законодавством.</w:t>
      </w:r>
      <w:r>
        <w:rPr>
          <w:rFonts w:ascii="Times New Roman" w:hAnsi="Times New Roman" w:cs="Times New Roman"/>
          <w:sz w:val="28"/>
        </w:rPr>
        <w:t xml:space="preserve"> </w:t>
      </w:r>
      <w:r w:rsidRPr="0053130F">
        <w:rPr>
          <w:rFonts w:ascii="Times New Roman" w:hAnsi="Times New Roman" w:cs="Times New Roman"/>
          <w:sz w:val="28"/>
        </w:rPr>
        <w:t>Зазначене у пункті 1 включає в себе конкретні випадки бездіяльності, що можуть бути оскаржені до слідчого судді. Наприклад, невнесення відомостей про кримінальне правопорушення до Єдиного реєстру досудових розслідувань після отримання заяви чи повідомлення, неповернення тимчасово вилученого майна згідно з вимогами законодавства, а також нездійснення інших процесуальних дій у визначений строк, які відповідно до КПК України повинні були бути вчинені слідчим або прокурором.</w:t>
      </w:r>
    </w:p>
    <w:p w:rsidR="0053130F" w:rsidRP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t>Внесення інформації до Єдиної реєстрацій</w:t>
      </w:r>
      <w:r>
        <w:rPr>
          <w:rFonts w:ascii="Times New Roman" w:hAnsi="Times New Roman" w:cs="Times New Roman"/>
          <w:sz w:val="28"/>
        </w:rPr>
        <w:t xml:space="preserve">ної та досудового розслідування </w:t>
      </w:r>
      <w:r w:rsidRPr="0053130F">
        <w:rPr>
          <w:rFonts w:ascii="Times New Roman" w:hAnsi="Times New Roman" w:cs="Times New Roman"/>
          <w:sz w:val="28"/>
        </w:rPr>
        <w:t>в Україні є не лише процедурою, але й ключовим елементом в забезпеченні правосуддя та встановленні правопорушень. Однак законодавство не чітко визначає, що саме має бути включено до цього реєстру. Це приводить до нерівності в тлумаченні та застосуванні статті 214 Кримінального процесуального кодексу України серед компете</w:t>
      </w:r>
      <w:r w:rsidR="008707C9">
        <w:rPr>
          <w:rFonts w:ascii="Times New Roman" w:hAnsi="Times New Roman" w:cs="Times New Roman"/>
          <w:sz w:val="28"/>
        </w:rPr>
        <w:t xml:space="preserve">нтних органів та посадових осіб </w:t>
      </w:r>
      <w:r w:rsidR="008707C9" w:rsidRPr="008707C9">
        <w:rPr>
          <w:rFonts w:ascii="Times New Roman" w:hAnsi="Times New Roman" w:cs="Times New Roman"/>
          <w:sz w:val="28"/>
        </w:rPr>
        <w:t xml:space="preserve">[1]. </w:t>
      </w:r>
      <w:r w:rsidRPr="0053130F">
        <w:rPr>
          <w:rFonts w:ascii="Times New Roman" w:hAnsi="Times New Roman" w:cs="Times New Roman"/>
          <w:sz w:val="28"/>
        </w:rPr>
        <w:t>Результатом цього є різноманіття судової практики, особливо у випадках подання скарг до слідчого судді на бездіяльність слідчого та прокурора у зв’язку з</w:t>
      </w:r>
      <w:r w:rsidR="0067713D">
        <w:rPr>
          <w:rFonts w:ascii="Times New Roman" w:hAnsi="Times New Roman" w:cs="Times New Roman"/>
          <w:sz w:val="28"/>
        </w:rPr>
        <w:t xml:space="preserve"> невнесенням інформації до ЄРДР </w:t>
      </w:r>
      <w:r w:rsidR="008707C9">
        <w:rPr>
          <w:rFonts w:ascii="Times New Roman" w:hAnsi="Times New Roman" w:cs="Times New Roman"/>
          <w:sz w:val="28"/>
        </w:rPr>
        <w:t>[9, с. 234</w:t>
      </w:r>
      <w:r w:rsidR="008707C9" w:rsidRPr="008707C9">
        <w:rPr>
          <w:rFonts w:ascii="Times New Roman" w:hAnsi="Times New Roman" w:cs="Times New Roman"/>
          <w:sz w:val="28"/>
        </w:rPr>
        <w:t>]</w:t>
      </w:r>
    </w:p>
    <w:p w:rsid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t>Аналізуючи загальну судову практику, зокрема узагальнення судових рішень щодо розгляду скарг на рішення, дії або бездіяльність органів досудового розслідування чи прокурора, можна виокремити дві основні позиції слідчих суддів. Перша передбачає автоматичне внесення інформації до ЄРДР, незалежно від змісту заяви чи повідомлення. Друга позиція виходить з положень Закону України «Про звернення громадян», згідно з якими заяви, що не містять достатньої інформації для визначення кримінального правопорушення, розглядаються відповідно до встановленого порядку.</w:t>
      </w:r>
      <w:r>
        <w:rPr>
          <w:rFonts w:ascii="Times New Roman" w:hAnsi="Times New Roman" w:cs="Times New Roman"/>
          <w:sz w:val="28"/>
        </w:rPr>
        <w:t xml:space="preserve"> </w:t>
      </w:r>
      <w:r w:rsidRPr="0053130F">
        <w:rPr>
          <w:rFonts w:ascii="Times New Roman" w:hAnsi="Times New Roman" w:cs="Times New Roman"/>
          <w:sz w:val="28"/>
        </w:rPr>
        <w:t xml:space="preserve">Варто відзначити, що на даному етапі розвитку правових відносин стосовно потенційних злочинів </w:t>
      </w:r>
      <w:r w:rsidRPr="0053130F">
        <w:rPr>
          <w:rFonts w:ascii="Times New Roman" w:hAnsi="Times New Roman" w:cs="Times New Roman"/>
          <w:sz w:val="28"/>
        </w:rPr>
        <w:lastRenderedPageBreak/>
        <w:t>нерідко відсутні об'єктивні дані для визначення наявності або відсутності ознак злочину. Тому посилання на статтю 2 Кримінального кодексу України, яка визначає підстави кримінальної відповідальності, може бути неефективним на даному етапі.</w:t>
      </w:r>
    </w:p>
    <w:p w:rsid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t>Положення пункту 1 частини 1 статті 303 Кримінальног</w:t>
      </w:r>
      <w:r>
        <w:rPr>
          <w:rFonts w:ascii="Times New Roman" w:hAnsi="Times New Roman" w:cs="Times New Roman"/>
          <w:sz w:val="28"/>
        </w:rPr>
        <w:t>о процесуального кодексу</w:t>
      </w:r>
      <w:r w:rsidRPr="0053130F">
        <w:rPr>
          <w:rFonts w:ascii="Times New Roman" w:hAnsi="Times New Roman" w:cs="Times New Roman"/>
          <w:sz w:val="28"/>
        </w:rPr>
        <w:t xml:space="preserve"> України визначає умови оскарження бездіяльності слідчого, дізнавача або</w:t>
      </w:r>
      <w:r w:rsidR="008707C9">
        <w:rPr>
          <w:rFonts w:ascii="Times New Roman" w:hAnsi="Times New Roman" w:cs="Times New Roman"/>
          <w:sz w:val="28"/>
        </w:rPr>
        <w:t xml:space="preserve"> прокурора перед слідчим суддею </w:t>
      </w:r>
      <w:r w:rsidR="008707C9" w:rsidRPr="008707C9">
        <w:rPr>
          <w:rFonts w:ascii="Times New Roman" w:hAnsi="Times New Roman" w:cs="Times New Roman"/>
          <w:sz w:val="28"/>
        </w:rPr>
        <w:t>[1]</w:t>
      </w:r>
      <w:r w:rsidR="008707C9">
        <w:rPr>
          <w:rFonts w:ascii="Times New Roman" w:hAnsi="Times New Roman" w:cs="Times New Roman"/>
          <w:sz w:val="28"/>
        </w:rPr>
        <w:t>.</w:t>
      </w:r>
      <w:r w:rsidRPr="0053130F">
        <w:rPr>
          <w:rFonts w:ascii="Times New Roman" w:hAnsi="Times New Roman" w:cs="Times New Roman"/>
          <w:sz w:val="28"/>
        </w:rPr>
        <w:t xml:space="preserve"> Однак, законодавець не конкретизує конкретних випадків бездіяльності, які підлягають оскарженню, обмежившись лише встановленням умов для такого оскарження. Отже, в контексті статті 303 КПК, бездіяльність, яка може бути оскаржена, включає три ключові ознаки: а) наявність обов’язку у слідчого або прокурора вчинити певну процесуальну дію; б) необхідність виконання цієї дії протягом визначеного строку згідно зі законом; в) факт невиконання відповідної процесуальної </w:t>
      </w:r>
      <w:r w:rsidR="008707C9">
        <w:rPr>
          <w:rFonts w:ascii="Times New Roman" w:hAnsi="Times New Roman" w:cs="Times New Roman"/>
          <w:sz w:val="28"/>
        </w:rPr>
        <w:t>дії протягом зазначеного строку</w:t>
      </w:r>
      <w:r w:rsidRPr="0053130F">
        <w:rPr>
          <w:rFonts w:ascii="Times New Roman" w:hAnsi="Times New Roman" w:cs="Times New Roman"/>
          <w:sz w:val="28"/>
        </w:rPr>
        <w:t xml:space="preserve"> З цього випливає, що до слідчого судді може бути оскаржена, наприклад, бездіяльність слідчого, дізнавача або прокурора, що проявляється у невчиненні процесуальних дій, які були запропоновані стороною захисту, потерпілим або їх представником, чи у невчасному наданні матеріалів досудового розслідування за вимогою цих осіб. </w:t>
      </w:r>
    </w:p>
    <w:p w:rsidR="0053130F" w:rsidRP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t xml:space="preserve">Відповідно до пункту 2 частини 1 згаданої статті </w:t>
      </w:r>
      <w:r>
        <w:rPr>
          <w:rFonts w:ascii="Times New Roman" w:hAnsi="Times New Roman" w:cs="Times New Roman"/>
          <w:sz w:val="28"/>
        </w:rPr>
        <w:t>КПК</w:t>
      </w:r>
      <w:r w:rsidRPr="0053130F">
        <w:rPr>
          <w:rFonts w:ascii="Times New Roman" w:hAnsi="Times New Roman" w:cs="Times New Roman"/>
          <w:sz w:val="28"/>
        </w:rPr>
        <w:t>, визначеної становищем слідчого судді, можливість оскарження постанови, ухваленої слідчим, дізнавачем або прокурором, про зупинення досудового розслідування. Це право на оскарження може бути здійснене за ініціативою потерпілого, його представника чи законного заступника, підозрюваного, його захисника чи законного заступника, а також представника юридичної особи, у відношенні якої ведеться розслідування.</w:t>
      </w:r>
      <w:r>
        <w:rPr>
          <w:rFonts w:ascii="Times New Roman" w:hAnsi="Times New Roman" w:cs="Times New Roman"/>
          <w:sz w:val="28"/>
        </w:rPr>
        <w:t xml:space="preserve"> </w:t>
      </w:r>
      <w:r w:rsidRPr="0053130F">
        <w:rPr>
          <w:rFonts w:ascii="Times New Roman" w:hAnsi="Times New Roman" w:cs="Times New Roman"/>
          <w:sz w:val="28"/>
        </w:rPr>
        <w:t>Стаття 280 Кримінального процесуального кодексу України визначає підстави та порядок зуп</w:t>
      </w:r>
      <w:r w:rsidR="00D22CB3">
        <w:rPr>
          <w:rFonts w:ascii="Times New Roman" w:hAnsi="Times New Roman" w:cs="Times New Roman"/>
          <w:sz w:val="28"/>
        </w:rPr>
        <w:t xml:space="preserve">инення досудового розслідування </w:t>
      </w:r>
      <w:r w:rsidR="00D22CB3" w:rsidRPr="00D22CB3">
        <w:rPr>
          <w:rFonts w:ascii="Times New Roman" w:hAnsi="Times New Roman" w:cs="Times New Roman"/>
          <w:sz w:val="28"/>
        </w:rPr>
        <w:t>[1].</w:t>
      </w:r>
      <w:r w:rsidR="00D22CB3">
        <w:rPr>
          <w:rFonts w:ascii="Times New Roman" w:hAnsi="Times New Roman" w:cs="Times New Roman"/>
          <w:sz w:val="28"/>
        </w:rPr>
        <w:t xml:space="preserve"> </w:t>
      </w:r>
      <w:r w:rsidRPr="0053130F">
        <w:rPr>
          <w:rFonts w:ascii="Times New Roman" w:hAnsi="Times New Roman" w:cs="Times New Roman"/>
          <w:sz w:val="28"/>
        </w:rPr>
        <w:t xml:space="preserve">При цьому слідчий суддя зобов'язаний ретельно вивчити обставини, які стали причиною зупинення розслідування, докази, підтверджуючи такі обставини, та виконання слідчим, дізнавачем або прокурором встановленого </w:t>
      </w:r>
      <w:r w:rsidR="0067713D">
        <w:rPr>
          <w:rFonts w:ascii="Times New Roman" w:hAnsi="Times New Roman" w:cs="Times New Roman"/>
          <w:sz w:val="28"/>
        </w:rPr>
        <w:t xml:space="preserve">порядку зупинення розслідування </w:t>
      </w:r>
      <w:r w:rsidR="008707C9">
        <w:rPr>
          <w:rFonts w:ascii="Times New Roman" w:hAnsi="Times New Roman" w:cs="Times New Roman"/>
          <w:sz w:val="28"/>
        </w:rPr>
        <w:t>[10</w:t>
      </w:r>
      <w:r w:rsidR="008707C9" w:rsidRPr="008707C9">
        <w:rPr>
          <w:rFonts w:ascii="Times New Roman" w:hAnsi="Times New Roman" w:cs="Times New Roman"/>
          <w:sz w:val="28"/>
        </w:rPr>
        <w:t xml:space="preserve">, с. </w:t>
      </w:r>
      <w:r w:rsidR="008707C9">
        <w:rPr>
          <w:rFonts w:ascii="Times New Roman" w:hAnsi="Times New Roman" w:cs="Times New Roman"/>
          <w:sz w:val="28"/>
        </w:rPr>
        <w:t>51</w:t>
      </w:r>
      <w:r w:rsidR="008707C9" w:rsidRPr="008707C9">
        <w:rPr>
          <w:rFonts w:ascii="Times New Roman" w:hAnsi="Times New Roman" w:cs="Times New Roman"/>
          <w:sz w:val="28"/>
        </w:rPr>
        <w:t>]</w:t>
      </w:r>
      <w:r w:rsidR="00D22CB3">
        <w:rPr>
          <w:rFonts w:ascii="Times New Roman" w:hAnsi="Times New Roman" w:cs="Times New Roman"/>
          <w:sz w:val="28"/>
        </w:rPr>
        <w:t>.</w:t>
      </w:r>
    </w:p>
    <w:p w:rsidR="0053130F" w:rsidRP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lastRenderedPageBreak/>
        <w:t>Наприклад, якщо розслідування припинено через серйозну хворобу підозрюваного, яка перешкоджає його участі у кримінальному провадженні, важливо встановити не лише сам факт хвороби, а й довести неможливість участі підозрюваного у досудовому розслідуванні саме через цю хворобу.</w:t>
      </w:r>
    </w:p>
    <w:p w:rsid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t xml:space="preserve">Крім того, </w:t>
      </w:r>
      <w:r>
        <w:rPr>
          <w:rFonts w:ascii="Times New Roman" w:hAnsi="Times New Roman" w:cs="Times New Roman"/>
          <w:sz w:val="28"/>
        </w:rPr>
        <w:t>ВССУ</w:t>
      </w:r>
      <w:r w:rsidRPr="0053130F">
        <w:rPr>
          <w:rFonts w:ascii="Times New Roman" w:hAnsi="Times New Roman" w:cs="Times New Roman"/>
          <w:sz w:val="28"/>
        </w:rPr>
        <w:t xml:space="preserve"> у своїй практиці звернув увагу на те, що слідчі судді повинні приділяти спеціальну увагу провадженням, у яких є кілька підозрюваних, та обґрунтовуються підстави для зупинення досудового розслідування не для всіх підозрюваних. При цьому, якщо прийнято постанову про припинення розслідування, потрібно перевірити можливість виділення провадження у окреме розслідування та продовження досудового розслідування стосовно інших підозрюваних.</w:t>
      </w:r>
      <w:r>
        <w:rPr>
          <w:rFonts w:ascii="Times New Roman" w:hAnsi="Times New Roman" w:cs="Times New Roman"/>
          <w:sz w:val="28"/>
        </w:rPr>
        <w:t xml:space="preserve"> </w:t>
      </w:r>
      <w:r w:rsidRPr="0053130F">
        <w:rPr>
          <w:rFonts w:ascii="Times New Roman" w:hAnsi="Times New Roman" w:cs="Times New Roman"/>
          <w:sz w:val="28"/>
        </w:rPr>
        <w:t>Окрім цього, слідчі судді вправі здійснювати судовий контроль не лише за підставами для зупинення досудового розслідування, а й у випадках, коли такі підстави втратили свою актуальність.</w:t>
      </w:r>
    </w:p>
    <w:p w:rsidR="0053130F" w:rsidRDefault="0053130F" w:rsidP="0053130F">
      <w:pPr>
        <w:spacing w:after="0" w:line="360" w:lineRule="auto"/>
        <w:ind w:firstLine="709"/>
        <w:jc w:val="both"/>
        <w:rPr>
          <w:rFonts w:ascii="Times New Roman" w:hAnsi="Times New Roman" w:cs="Times New Roman"/>
          <w:sz w:val="28"/>
        </w:rPr>
      </w:pPr>
      <w:r w:rsidRPr="0053130F">
        <w:rPr>
          <w:rFonts w:ascii="Times New Roman" w:hAnsi="Times New Roman" w:cs="Times New Roman"/>
          <w:sz w:val="28"/>
        </w:rPr>
        <w:t>Відповідно до частини 2 статті</w:t>
      </w:r>
      <w:r>
        <w:rPr>
          <w:rFonts w:ascii="Times New Roman" w:hAnsi="Times New Roman" w:cs="Times New Roman"/>
          <w:sz w:val="28"/>
        </w:rPr>
        <w:t xml:space="preserve"> 303 КПК</w:t>
      </w:r>
      <w:r w:rsidRPr="0053130F">
        <w:rPr>
          <w:rFonts w:ascii="Times New Roman" w:hAnsi="Times New Roman" w:cs="Times New Roman"/>
          <w:sz w:val="28"/>
        </w:rPr>
        <w:t xml:space="preserve">, під час досудового розслідування не приймаються до уваги скарги на інші рішення, дії або бездіяльність слідчого чи прокурора. Отже, визначений частиною 1 перелік є вичерпним, і в разі будь-якого іншого звернення із скаргою, слідчі судді повинні відмовити у відкритті провадження (згідно з частиною 4 статті 304 КПК України). </w:t>
      </w:r>
      <w:r w:rsidR="00D22CB3">
        <w:rPr>
          <w:rFonts w:ascii="Times New Roman" w:hAnsi="Times New Roman" w:cs="Times New Roman"/>
          <w:sz w:val="28"/>
        </w:rPr>
        <w:t>Варто зазначити</w:t>
      </w:r>
      <w:r w:rsidRPr="0053130F">
        <w:rPr>
          <w:rFonts w:ascii="Times New Roman" w:hAnsi="Times New Roman" w:cs="Times New Roman"/>
          <w:sz w:val="28"/>
        </w:rPr>
        <w:t>, що рішення, дії або бездіяльність слідчого чи прокурора, які не врегульовані у частині 1 статті 303 КПК, можуть бути оскаржені під час підготовчого судового засідання.</w:t>
      </w:r>
      <w:r>
        <w:rPr>
          <w:rFonts w:ascii="Times New Roman" w:hAnsi="Times New Roman" w:cs="Times New Roman"/>
          <w:sz w:val="28"/>
        </w:rPr>
        <w:t xml:space="preserve"> </w:t>
      </w:r>
      <w:r w:rsidRPr="0053130F">
        <w:rPr>
          <w:rFonts w:ascii="Times New Roman" w:hAnsi="Times New Roman" w:cs="Times New Roman"/>
          <w:sz w:val="28"/>
        </w:rPr>
        <w:t>Додатково, згідно з частиною 3 цієї статті, на підготовчому судовому засіданні можуть бути оскаржені такі питання: а) рішення прокурора чи слідчого про відмову у визнанні потерпілим; б) рішення, дії або бездіяльність слідчого чи прокурора що</w:t>
      </w:r>
      <w:r w:rsidR="00D22CB3">
        <w:rPr>
          <w:rFonts w:ascii="Times New Roman" w:hAnsi="Times New Roman" w:cs="Times New Roman"/>
          <w:sz w:val="28"/>
        </w:rPr>
        <w:t xml:space="preserve">до застосування заходів безпеки </w:t>
      </w:r>
      <w:r w:rsidR="00D22CB3" w:rsidRPr="00D22CB3">
        <w:rPr>
          <w:rFonts w:ascii="Times New Roman" w:hAnsi="Times New Roman" w:cs="Times New Roman"/>
          <w:sz w:val="28"/>
        </w:rPr>
        <w:t>[1].</w:t>
      </w:r>
      <w:r w:rsidR="00D22CB3">
        <w:rPr>
          <w:rFonts w:ascii="Times New Roman" w:hAnsi="Times New Roman" w:cs="Times New Roman"/>
          <w:sz w:val="28"/>
        </w:rPr>
        <w:t xml:space="preserve"> </w:t>
      </w:r>
      <w:r w:rsidRPr="0053130F">
        <w:rPr>
          <w:rFonts w:ascii="Times New Roman" w:hAnsi="Times New Roman" w:cs="Times New Roman"/>
          <w:sz w:val="28"/>
        </w:rPr>
        <w:t>Таким чином, підготовче судове засідання відкриває можливість перегляду рішень та дій відносно визнання потерпілим і застосування заходів безпеки, що сприяє забезпеченню прав пот</w:t>
      </w:r>
      <w:r w:rsidR="0067713D">
        <w:rPr>
          <w:rFonts w:ascii="Times New Roman" w:hAnsi="Times New Roman" w:cs="Times New Roman"/>
          <w:sz w:val="28"/>
        </w:rPr>
        <w:t xml:space="preserve">ерпілих у кримінальному процесі </w:t>
      </w:r>
      <w:r w:rsidR="008707C9" w:rsidRPr="008707C9">
        <w:rPr>
          <w:rFonts w:ascii="Times New Roman" w:hAnsi="Times New Roman" w:cs="Times New Roman"/>
          <w:sz w:val="28"/>
        </w:rPr>
        <w:t>[11, с. 139]</w:t>
      </w:r>
    </w:p>
    <w:p w:rsidR="005468BF" w:rsidRDefault="0053130F" w:rsidP="0053130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Отже, </w:t>
      </w:r>
      <w:r w:rsidRPr="0053130F">
        <w:rPr>
          <w:rFonts w:ascii="Times New Roman" w:hAnsi="Times New Roman" w:cs="Times New Roman"/>
          <w:sz w:val="28"/>
        </w:rPr>
        <w:t>визначені в статті</w:t>
      </w:r>
      <w:r>
        <w:rPr>
          <w:rFonts w:ascii="Times New Roman" w:hAnsi="Times New Roman" w:cs="Times New Roman"/>
          <w:sz w:val="28"/>
        </w:rPr>
        <w:t xml:space="preserve"> 303 КПК</w:t>
      </w:r>
      <w:r w:rsidRPr="0053130F">
        <w:rPr>
          <w:rFonts w:ascii="Times New Roman" w:hAnsi="Times New Roman" w:cs="Times New Roman"/>
          <w:sz w:val="28"/>
        </w:rPr>
        <w:t xml:space="preserve"> процедури та обмеження, пов'язані з оскарженням рішень, дій та бездіяльності слідчих та прокурорів, покликані забезпечити ефективність та розбірливість у кримінальному процесі. Ці правила </w:t>
      </w:r>
      <w:r w:rsidRPr="0053130F">
        <w:rPr>
          <w:rFonts w:ascii="Times New Roman" w:hAnsi="Times New Roman" w:cs="Times New Roman"/>
          <w:sz w:val="28"/>
        </w:rPr>
        <w:lastRenderedPageBreak/>
        <w:t xml:space="preserve">забезпечують раціональне використання часу та ресурсів судової системи, а також встановлюють межі для оскарження, сприяючи збереженню правопорядку та ефективному проведенню розслідування. </w:t>
      </w:r>
      <w:r w:rsidR="00CD3455">
        <w:rPr>
          <w:rFonts w:ascii="Times New Roman" w:hAnsi="Times New Roman" w:cs="Times New Roman"/>
          <w:sz w:val="28"/>
        </w:rPr>
        <w:t>В</w:t>
      </w:r>
      <w:r w:rsidRPr="0053130F">
        <w:rPr>
          <w:rFonts w:ascii="Times New Roman" w:hAnsi="Times New Roman" w:cs="Times New Roman"/>
          <w:sz w:val="28"/>
        </w:rPr>
        <w:t>раховуючи вищезазначені положення, можна зробити висновок, що українське кримінальне законодавство має чітко визначені механізми оскарження, які сприяють забезпеченню справедливості та захисту прав учасників процесу.</w:t>
      </w:r>
      <w:r w:rsidR="009F53D9">
        <w:rPr>
          <w:rFonts w:ascii="Times New Roman" w:hAnsi="Times New Roman" w:cs="Times New Roman"/>
          <w:sz w:val="28"/>
        </w:rPr>
        <w:t xml:space="preserve"> Але все одно деякі аспекти потребують покращення на внесення відповідних змін задля знищення колізій між нормами.</w:t>
      </w:r>
    </w:p>
    <w:p w:rsidR="005468BF" w:rsidRDefault="005468BF">
      <w:pPr>
        <w:rPr>
          <w:rFonts w:ascii="Times New Roman" w:hAnsi="Times New Roman" w:cs="Times New Roman"/>
          <w:sz w:val="28"/>
        </w:rPr>
      </w:pPr>
      <w:r>
        <w:rPr>
          <w:rFonts w:ascii="Times New Roman" w:hAnsi="Times New Roman" w:cs="Times New Roman"/>
          <w:sz w:val="28"/>
        </w:rPr>
        <w:br w:type="page"/>
      </w:r>
    </w:p>
    <w:p w:rsidR="005468BF" w:rsidRPr="005468BF" w:rsidRDefault="005468BF" w:rsidP="005468BF">
      <w:pPr>
        <w:spacing w:after="0" w:line="360" w:lineRule="auto"/>
        <w:jc w:val="center"/>
        <w:rPr>
          <w:rFonts w:ascii="Times New Roman" w:hAnsi="Times New Roman" w:cs="Times New Roman"/>
          <w:b/>
          <w:sz w:val="28"/>
        </w:rPr>
      </w:pPr>
      <w:r w:rsidRPr="005468BF">
        <w:rPr>
          <w:rFonts w:ascii="Times New Roman" w:hAnsi="Times New Roman" w:cs="Times New Roman"/>
          <w:b/>
          <w:sz w:val="28"/>
        </w:rPr>
        <w:lastRenderedPageBreak/>
        <w:t>РОЗДІЛ 2. ДЕЯКІ АСПЕКТИ ОСКАРЖЕННЯ ПРОЦЕСУАЛЬНИХ РІШЕНЬ, ДІЙ ЧИ БЕЗДІЯЛЬНОСТІ</w:t>
      </w:r>
    </w:p>
    <w:p w:rsidR="0053130F" w:rsidRDefault="005468BF" w:rsidP="00EC07A7">
      <w:pPr>
        <w:spacing w:line="360" w:lineRule="auto"/>
        <w:ind w:firstLine="709"/>
        <w:jc w:val="both"/>
        <w:rPr>
          <w:rFonts w:ascii="Times New Roman" w:hAnsi="Times New Roman" w:cs="Times New Roman"/>
          <w:sz w:val="28"/>
        </w:rPr>
      </w:pPr>
      <w:r w:rsidRPr="005468BF">
        <w:rPr>
          <w:rFonts w:ascii="Times New Roman" w:hAnsi="Times New Roman" w:cs="Times New Roman"/>
          <w:sz w:val="28"/>
        </w:rPr>
        <w:t>2.1. Проблеми оскарження слідчому судді рішень, дій чи бездіяльності слідчого та прокурора</w:t>
      </w:r>
    </w:p>
    <w:p w:rsidR="005468BF" w:rsidRDefault="005468BF" w:rsidP="005468BF">
      <w:pPr>
        <w:spacing w:after="0" w:line="360" w:lineRule="auto"/>
        <w:ind w:firstLine="709"/>
        <w:jc w:val="both"/>
        <w:rPr>
          <w:rFonts w:ascii="Times New Roman" w:hAnsi="Times New Roman" w:cs="Times New Roman"/>
          <w:sz w:val="28"/>
        </w:rPr>
      </w:pPr>
      <w:r w:rsidRPr="005468BF">
        <w:rPr>
          <w:rFonts w:ascii="Times New Roman" w:hAnsi="Times New Roman" w:cs="Times New Roman"/>
          <w:sz w:val="28"/>
        </w:rPr>
        <w:t>Деякі дослідники аналізують положення статті 303, частини 1 Кримінального процесуального кодексу, що встановлює можливість оскарження лише окремих дій слідчого та прокурора, а не всіх їхніх незаконних рішень</w:t>
      </w:r>
      <w:r w:rsidR="00EC07A7">
        <w:rPr>
          <w:rFonts w:ascii="Times New Roman" w:hAnsi="Times New Roman" w:cs="Times New Roman"/>
          <w:sz w:val="28"/>
        </w:rPr>
        <w:t>, і визначають це як головний недолік</w:t>
      </w:r>
      <w:r w:rsidRPr="005468BF">
        <w:rPr>
          <w:rFonts w:ascii="Times New Roman" w:hAnsi="Times New Roman" w:cs="Times New Roman"/>
          <w:sz w:val="28"/>
        </w:rPr>
        <w:t xml:space="preserve">. У контексті дії КПК 1960 року, </w:t>
      </w:r>
      <w:r w:rsidR="00EC07A7">
        <w:rPr>
          <w:rFonts w:ascii="Times New Roman" w:hAnsi="Times New Roman" w:cs="Times New Roman"/>
          <w:sz w:val="28"/>
        </w:rPr>
        <w:t>наукова</w:t>
      </w:r>
      <w:r w:rsidRPr="005468BF">
        <w:rPr>
          <w:rFonts w:ascii="Times New Roman" w:hAnsi="Times New Roman" w:cs="Times New Roman"/>
          <w:sz w:val="28"/>
        </w:rPr>
        <w:t xml:space="preserve"> література вказувала на те, що визначення вичерпного переліку дій і рішень, які підлягають судовому контролю, є не тільки неможливим, а й неправильним. Законодавче обмеження процесуальних актів, що підлягають оскарженню, може порушити право особи на судовий захист.</w:t>
      </w:r>
      <w:r>
        <w:rPr>
          <w:rFonts w:ascii="Times New Roman" w:hAnsi="Times New Roman" w:cs="Times New Roman"/>
          <w:sz w:val="28"/>
        </w:rPr>
        <w:t xml:space="preserve"> Варто зазначити</w:t>
      </w:r>
      <w:r w:rsidRPr="005468BF">
        <w:rPr>
          <w:rFonts w:ascii="Times New Roman" w:hAnsi="Times New Roman" w:cs="Times New Roman"/>
          <w:sz w:val="28"/>
        </w:rPr>
        <w:t>,</w:t>
      </w:r>
      <w:r>
        <w:rPr>
          <w:rFonts w:ascii="Times New Roman" w:hAnsi="Times New Roman" w:cs="Times New Roman"/>
          <w:sz w:val="28"/>
        </w:rPr>
        <w:t xml:space="preserve"> що</w:t>
      </w:r>
      <w:r w:rsidRPr="005468BF">
        <w:rPr>
          <w:rFonts w:ascii="Times New Roman" w:hAnsi="Times New Roman" w:cs="Times New Roman"/>
          <w:sz w:val="28"/>
        </w:rPr>
        <w:t xml:space="preserve"> становище в якому оскарження будь-яких дій слідчого </w:t>
      </w:r>
      <w:r w:rsidR="00EC07A7">
        <w:rPr>
          <w:rFonts w:ascii="Times New Roman" w:hAnsi="Times New Roman" w:cs="Times New Roman"/>
          <w:sz w:val="28"/>
        </w:rPr>
        <w:t xml:space="preserve">чи прокурора стає обов'язковим і </w:t>
      </w:r>
      <w:r w:rsidRPr="005468BF">
        <w:rPr>
          <w:rFonts w:ascii="Times New Roman" w:hAnsi="Times New Roman" w:cs="Times New Roman"/>
          <w:sz w:val="28"/>
        </w:rPr>
        <w:t>може відіграти негативну роль у кримінальному провадженні. Перш за все, це може спричинити затримки та ускладнення в ході розслідування, а також негативно вплинути на результати досудового та судового розгляду. Зокрема, оскарження кожного рішення або дії може спричинити паралізацію процесу розслідування через необхідність участі представників правоохоронних органів у судових процедурах. Крім того, вирішення суддівськими органами скарг на дії слідчих та прокурорів до завершення досудового розслідування може призвести до передчасної оцінки доказів, що відбиватиметься на об'єктивності</w:t>
      </w:r>
      <w:r w:rsidR="0067713D">
        <w:rPr>
          <w:rFonts w:ascii="Times New Roman" w:hAnsi="Times New Roman" w:cs="Times New Roman"/>
          <w:sz w:val="28"/>
        </w:rPr>
        <w:t xml:space="preserve"> розслідування </w:t>
      </w:r>
      <w:r w:rsidR="008707C9" w:rsidRPr="008707C9">
        <w:rPr>
          <w:rFonts w:ascii="Times New Roman" w:hAnsi="Times New Roman" w:cs="Times New Roman"/>
          <w:sz w:val="28"/>
        </w:rPr>
        <w:t>[12, с. 35].</w:t>
      </w:r>
    </w:p>
    <w:p w:rsidR="00EC07A7" w:rsidRDefault="00EC07A7" w:rsidP="00EC07A7">
      <w:pPr>
        <w:spacing w:after="0" w:line="360" w:lineRule="auto"/>
        <w:ind w:firstLine="709"/>
        <w:jc w:val="both"/>
        <w:rPr>
          <w:rFonts w:ascii="Times New Roman" w:hAnsi="Times New Roman" w:cs="Times New Roman"/>
          <w:sz w:val="28"/>
        </w:rPr>
      </w:pPr>
      <w:r w:rsidRPr="00EC07A7">
        <w:rPr>
          <w:rFonts w:ascii="Times New Roman" w:hAnsi="Times New Roman" w:cs="Times New Roman"/>
          <w:sz w:val="28"/>
        </w:rPr>
        <w:t>Цілком зрозуміло, що процес оскарження затримання є ключовим аспектом у забезпеченні прав і законних інтересів затриманої особи. Ю.М. Грошевий та О.Г. Шил</w:t>
      </w:r>
      <w:r>
        <w:rPr>
          <w:rFonts w:ascii="Times New Roman" w:hAnsi="Times New Roman" w:cs="Times New Roman"/>
          <w:sz w:val="28"/>
        </w:rPr>
        <w:t>о правильно вказують на те, що «</w:t>
      </w:r>
      <w:r w:rsidRPr="00EC07A7">
        <w:rPr>
          <w:rFonts w:ascii="Times New Roman" w:hAnsi="Times New Roman" w:cs="Times New Roman"/>
          <w:sz w:val="28"/>
        </w:rPr>
        <w:t>процедура оскарження затримання перед судом є важливою складовою механізму забезпечення прав і законних інтересів затриманої особи, тому необхідною є її закріплення в законі у формі, що гарантує затриманому швидкий с</w:t>
      </w:r>
      <w:r>
        <w:rPr>
          <w:rFonts w:ascii="Times New Roman" w:hAnsi="Times New Roman" w:cs="Times New Roman"/>
          <w:sz w:val="28"/>
        </w:rPr>
        <w:t>удовий захист»</w:t>
      </w:r>
      <w:r w:rsidRPr="00EC07A7">
        <w:rPr>
          <w:rFonts w:ascii="Times New Roman" w:hAnsi="Times New Roman" w:cs="Times New Roman"/>
          <w:sz w:val="28"/>
        </w:rPr>
        <w:t xml:space="preserve">. Зокрема, стаття 29 Конституції України гарантує кожному затриманому право будь-коли оскаржити </w:t>
      </w:r>
      <w:r w:rsidRPr="00EC07A7">
        <w:rPr>
          <w:rFonts w:ascii="Times New Roman" w:hAnsi="Times New Roman" w:cs="Times New Roman"/>
          <w:sz w:val="28"/>
        </w:rPr>
        <w:lastRenderedPageBreak/>
        <w:t>своє утримання перед судом. З цього погляду, введення такого порядку є важливим, особливо з урахуванням частини 4 статті 208 КПК України, яка забезпечує право затриманого на перевірку обґрунтованості його утримання.</w:t>
      </w:r>
      <w:r>
        <w:rPr>
          <w:rFonts w:ascii="Times New Roman" w:hAnsi="Times New Roman" w:cs="Times New Roman"/>
          <w:sz w:val="28"/>
        </w:rPr>
        <w:t xml:space="preserve"> </w:t>
      </w:r>
      <w:r w:rsidRPr="00EC07A7">
        <w:rPr>
          <w:rFonts w:ascii="Times New Roman" w:hAnsi="Times New Roman" w:cs="Times New Roman"/>
          <w:sz w:val="28"/>
        </w:rPr>
        <w:t>Ураховуючи вищезазначене, розумно підтримати С.О. Пшенічка, який пропонує доповнити частину 1 статті 303 КПК положенням щодо можливості оскарження рішення про затримання особи, яка підозрюється у вчиненні злочину, особисто або через її захисника чи законного представника, у порядку, передбач</w:t>
      </w:r>
      <w:r w:rsidR="008707C9">
        <w:rPr>
          <w:rFonts w:ascii="Times New Roman" w:hAnsi="Times New Roman" w:cs="Times New Roman"/>
          <w:sz w:val="28"/>
        </w:rPr>
        <w:t xml:space="preserve">еному статтею 208 цього Кодексу </w:t>
      </w:r>
      <w:r w:rsidR="008707C9" w:rsidRPr="008707C9">
        <w:rPr>
          <w:rFonts w:ascii="Times New Roman" w:hAnsi="Times New Roman" w:cs="Times New Roman"/>
          <w:sz w:val="28"/>
        </w:rPr>
        <w:t>[13, с. 200].</w:t>
      </w:r>
    </w:p>
    <w:p w:rsidR="00EC07A7" w:rsidRDefault="00EC07A7" w:rsidP="00EC07A7">
      <w:pPr>
        <w:spacing w:after="0" w:line="360" w:lineRule="auto"/>
        <w:ind w:firstLine="709"/>
        <w:jc w:val="both"/>
        <w:rPr>
          <w:rFonts w:ascii="Times New Roman" w:hAnsi="Times New Roman" w:cs="Times New Roman"/>
          <w:sz w:val="28"/>
        </w:rPr>
      </w:pPr>
      <w:r w:rsidRPr="00EC07A7">
        <w:rPr>
          <w:rFonts w:ascii="Times New Roman" w:hAnsi="Times New Roman" w:cs="Times New Roman"/>
          <w:sz w:val="28"/>
        </w:rPr>
        <w:t xml:space="preserve">У сучасній юридичній дискусії відзначається, що недоліком чинного Кримінального процесуального кодексу </w:t>
      </w:r>
      <w:r>
        <w:rPr>
          <w:rFonts w:ascii="Times New Roman" w:hAnsi="Times New Roman" w:cs="Times New Roman"/>
          <w:sz w:val="28"/>
        </w:rPr>
        <w:t xml:space="preserve">також </w:t>
      </w:r>
      <w:r w:rsidRPr="00EC07A7">
        <w:rPr>
          <w:rFonts w:ascii="Times New Roman" w:hAnsi="Times New Roman" w:cs="Times New Roman"/>
          <w:sz w:val="28"/>
        </w:rPr>
        <w:t>є відсутність можливості для учасників кримінального провадження оскаржувати перед слідчим суддею рішення прокурора щодо продовження строку досудового розслідування (згідно зі статтею 303 цього Кодексу). Це обмеження у правах може призвести до затримки розгляду справи в суді та ускладнити доступ учасників процесу до справедливого судочинства. З метою виправлення цього недоліку Т.Г. Ільєва пропонує доповнити статтю 303 КПК положенням про можливість оскарження рішення прокурора щодо продовження досудового розслідування слідчому суддею за підозрюваним, його захисником, потерпілим та їх представниками.</w:t>
      </w:r>
      <w:r>
        <w:rPr>
          <w:rFonts w:ascii="Times New Roman" w:hAnsi="Times New Roman" w:cs="Times New Roman"/>
          <w:sz w:val="28"/>
        </w:rPr>
        <w:t xml:space="preserve"> </w:t>
      </w:r>
      <w:r w:rsidRPr="00EC07A7">
        <w:rPr>
          <w:rFonts w:ascii="Times New Roman" w:hAnsi="Times New Roman" w:cs="Times New Roman"/>
          <w:sz w:val="28"/>
        </w:rPr>
        <w:t>Наголошується, що деякі дослідники висловлюють думку щодо необхідності надання учасникам кримінального провадження права оскарження рішення слідчого та прокурора про внесення відомостей про вчинення кримінального правопорушення до Єдиного реєстру досудових розслідувань. Проте, ця пропозиція спричиняє обґрунтовані сумніви. Виникає питання, які можливості має слідчий суддя у разі отримання повноважень на розгляд таких скарг. Очевидно, що слідчий суддя не може визнати незаконність рішення про внесення відомостей до реєстру, оскільки згідно з пунктом 1 статті 214 КПК це є о</w:t>
      </w:r>
      <w:r w:rsidR="0067713D">
        <w:rPr>
          <w:rFonts w:ascii="Times New Roman" w:hAnsi="Times New Roman" w:cs="Times New Roman"/>
          <w:sz w:val="28"/>
        </w:rPr>
        <w:t xml:space="preserve">бов'язком слідчого та прокурора </w:t>
      </w:r>
      <w:r w:rsidR="008707C9" w:rsidRPr="008707C9">
        <w:rPr>
          <w:rFonts w:ascii="Times New Roman" w:hAnsi="Times New Roman" w:cs="Times New Roman"/>
          <w:sz w:val="28"/>
        </w:rPr>
        <w:t>[14, с. 75].</w:t>
      </w:r>
    </w:p>
    <w:p w:rsidR="00BE7C34" w:rsidRDefault="00BE7C34" w:rsidP="00EC07A7">
      <w:pPr>
        <w:spacing w:after="0" w:line="360" w:lineRule="auto"/>
        <w:ind w:firstLine="709"/>
        <w:jc w:val="both"/>
        <w:rPr>
          <w:rFonts w:ascii="Times New Roman" w:hAnsi="Times New Roman" w:cs="Times New Roman"/>
          <w:sz w:val="28"/>
        </w:rPr>
      </w:pPr>
      <w:r w:rsidRPr="00BE7C34">
        <w:rPr>
          <w:rFonts w:ascii="Times New Roman" w:hAnsi="Times New Roman" w:cs="Times New Roman"/>
          <w:sz w:val="28"/>
        </w:rPr>
        <w:t xml:space="preserve">Отже, аналізуючи пропозиції щодо внесення змін до Кримінального процесуального кодексу стосовно оскарження рішень щодо продовження строку досудового розслідування, можна зробити висновок, що такі зміни мають </w:t>
      </w:r>
      <w:r w:rsidRPr="00BE7C34">
        <w:rPr>
          <w:rFonts w:ascii="Times New Roman" w:hAnsi="Times New Roman" w:cs="Times New Roman"/>
          <w:sz w:val="28"/>
        </w:rPr>
        <w:lastRenderedPageBreak/>
        <w:t>потенціал поліпшити правову систему. Варто враховувати не лише інтереси учасників кримінального провадження, а й збалансовувати їх з необхідністю забезпечення ефективного функціонування правосуддя. При цьому, важливо зазначити, що будь-які зміни в законодавстві мають бути обґрунтованими та враховувати можливі наслідки для всіх сторін процесу. Тільки такий підхід дозволить створити ефективну та справедливу систему кримінального правосуддя.</w:t>
      </w:r>
    </w:p>
    <w:p w:rsidR="00BE7C34" w:rsidRDefault="00BE7C34" w:rsidP="00EC07A7">
      <w:pPr>
        <w:spacing w:after="0" w:line="360" w:lineRule="auto"/>
        <w:ind w:firstLine="709"/>
        <w:jc w:val="both"/>
        <w:rPr>
          <w:rFonts w:ascii="Times New Roman" w:hAnsi="Times New Roman" w:cs="Times New Roman"/>
          <w:sz w:val="28"/>
        </w:rPr>
      </w:pPr>
    </w:p>
    <w:p w:rsidR="00BE7C34" w:rsidRDefault="00BE7C34" w:rsidP="00EC07A7">
      <w:pPr>
        <w:spacing w:after="0" w:line="360" w:lineRule="auto"/>
        <w:ind w:firstLine="709"/>
        <w:jc w:val="both"/>
        <w:rPr>
          <w:rFonts w:ascii="Times New Roman" w:hAnsi="Times New Roman" w:cs="Times New Roman"/>
          <w:sz w:val="28"/>
        </w:rPr>
      </w:pPr>
      <w:r w:rsidRPr="00BE7C34">
        <w:rPr>
          <w:rFonts w:ascii="Times New Roman" w:hAnsi="Times New Roman" w:cs="Times New Roman"/>
          <w:sz w:val="28"/>
        </w:rPr>
        <w:t>2.2. Окремі проблеми реалізації права на оскарження повідомлення про підозру</w:t>
      </w:r>
    </w:p>
    <w:p w:rsidR="00BE7C34" w:rsidRDefault="00BE7C34" w:rsidP="00EC07A7">
      <w:pPr>
        <w:spacing w:after="0" w:line="360" w:lineRule="auto"/>
        <w:ind w:firstLine="709"/>
        <w:jc w:val="both"/>
        <w:rPr>
          <w:rFonts w:ascii="Times New Roman" w:hAnsi="Times New Roman" w:cs="Times New Roman"/>
          <w:sz w:val="28"/>
        </w:rPr>
      </w:pPr>
    </w:p>
    <w:p w:rsidR="00EC07A7" w:rsidRDefault="00BE7C34" w:rsidP="00BE7C34">
      <w:pPr>
        <w:spacing w:after="0" w:line="360" w:lineRule="auto"/>
        <w:ind w:firstLine="709"/>
        <w:jc w:val="both"/>
        <w:rPr>
          <w:rFonts w:ascii="Times New Roman" w:hAnsi="Times New Roman" w:cs="Times New Roman"/>
          <w:sz w:val="28"/>
        </w:rPr>
      </w:pPr>
      <w:r w:rsidRPr="00BE7C34">
        <w:rPr>
          <w:rFonts w:ascii="Times New Roman" w:hAnsi="Times New Roman" w:cs="Times New Roman"/>
          <w:sz w:val="28"/>
        </w:rPr>
        <w:t>Повідомлення про підозру виступає не лише як процесуальний акт, але й як важлива складова гарантує доступ громадян до правосуддя, їхнього захисту і законності у кримінальному провадженні. Це не просто формальний елемент, але і невід’ємна частина реалізації загальних засад кримінального правосуддя.</w:t>
      </w:r>
      <w:r>
        <w:rPr>
          <w:rFonts w:ascii="Times New Roman" w:hAnsi="Times New Roman" w:cs="Times New Roman"/>
          <w:sz w:val="28"/>
        </w:rPr>
        <w:t xml:space="preserve"> </w:t>
      </w:r>
      <w:r w:rsidRPr="00BE7C34">
        <w:rPr>
          <w:rFonts w:ascii="Times New Roman" w:hAnsi="Times New Roman" w:cs="Times New Roman"/>
          <w:sz w:val="28"/>
        </w:rPr>
        <w:t xml:space="preserve">З правового погляду, особа, що стала об’єктом підозри у вчиненні кримінального правопорушення, перебуває під особливим наглядом та захистом закону. Це відображає невід’ємну ділянку кримінального процесу, яка вимагає найвищого </w:t>
      </w:r>
      <w:r w:rsidR="008707C9">
        <w:rPr>
          <w:rFonts w:ascii="Times New Roman" w:hAnsi="Times New Roman" w:cs="Times New Roman"/>
          <w:sz w:val="28"/>
        </w:rPr>
        <w:t xml:space="preserve">рівня уваги та дотримання права </w:t>
      </w:r>
      <w:r w:rsidR="008707C9" w:rsidRPr="008707C9">
        <w:rPr>
          <w:rFonts w:ascii="Times New Roman" w:hAnsi="Times New Roman" w:cs="Times New Roman"/>
          <w:sz w:val="28"/>
        </w:rPr>
        <w:t>[15, с. 125].</w:t>
      </w:r>
      <w:r w:rsidRPr="00BE7C34">
        <w:rPr>
          <w:rFonts w:ascii="Times New Roman" w:hAnsi="Times New Roman" w:cs="Times New Roman"/>
          <w:sz w:val="28"/>
        </w:rPr>
        <w:t xml:space="preserve"> Досудове розслідування, як складова частина цього процесу, не лише формує та легалізує підозру, але й визначає майбутній хід справи. Кожен етап цього розслідування потребує дбайливої регуляції з боку законодавства, при цьому не слід забувати, що сутність завжди має переважати над формою.</w:t>
      </w:r>
      <w:r>
        <w:rPr>
          <w:rFonts w:ascii="Times New Roman" w:hAnsi="Times New Roman" w:cs="Times New Roman"/>
          <w:sz w:val="28"/>
        </w:rPr>
        <w:t xml:space="preserve"> </w:t>
      </w:r>
      <w:r w:rsidRPr="00BE7C34">
        <w:rPr>
          <w:rFonts w:ascii="Times New Roman" w:hAnsi="Times New Roman" w:cs="Times New Roman"/>
          <w:sz w:val="28"/>
        </w:rPr>
        <w:t>Значна частина порушень прав людини може траплятися саме на етапі підозри через недостатню чіткість нормати</w:t>
      </w:r>
      <w:r>
        <w:rPr>
          <w:rFonts w:ascii="Times New Roman" w:hAnsi="Times New Roman" w:cs="Times New Roman"/>
          <w:sz w:val="28"/>
        </w:rPr>
        <w:t>вного регулювання. Це стає наріж</w:t>
      </w:r>
      <w:r w:rsidRPr="00BE7C34">
        <w:rPr>
          <w:rFonts w:ascii="Times New Roman" w:hAnsi="Times New Roman" w:cs="Times New Roman"/>
          <w:sz w:val="28"/>
        </w:rPr>
        <w:t>ним каменем, який необхідно вирішувати через вдосконалення процесуального законодавства.</w:t>
      </w:r>
      <w:r>
        <w:rPr>
          <w:rFonts w:ascii="Times New Roman" w:hAnsi="Times New Roman" w:cs="Times New Roman"/>
          <w:sz w:val="28"/>
        </w:rPr>
        <w:t xml:space="preserve"> </w:t>
      </w:r>
      <w:r w:rsidRPr="00BE7C34">
        <w:rPr>
          <w:rFonts w:ascii="Times New Roman" w:hAnsi="Times New Roman" w:cs="Times New Roman"/>
          <w:sz w:val="28"/>
        </w:rPr>
        <w:t>Підозра, як інститут кримінального процесу, залишається важливою, проте часто недостатньо розглянутою частиною українського законодавства, потребуючи подальшого вдосконалення та уточнення для забезпечення більш ефективного захисту прав та свобод громадян.</w:t>
      </w:r>
    </w:p>
    <w:p w:rsidR="00BE7C34" w:rsidRDefault="00BE7C34" w:rsidP="00BE7C34">
      <w:pPr>
        <w:spacing w:after="0" w:line="360" w:lineRule="auto"/>
        <w:ind w:firstLine="709"/>
        <w:jc w:val="both"/>
        <w:rPr>
          <w:rFonts w:ascii="Times New Roman" w:hAnsi="Times New Roman" w:cs="Times New Roman"/>
          <w:sz w:val="28"/>
        </w:rPr>
      </w:pPr>
      <w:r w:rsidRPr="00BE7C34">
        <w:rPr>
          <w:rFonts w:ascii="Times New Roman" w:hAnsi="Times New Roman" w:cs="Times New Roman"/>
          <w:sz w:val="28"/>
        </w:rPr>
        <w:lastRenderedPageBreak/>
        <w:t>Інститут підозри в кримінальному процесі, за відсутності чіткої дефініції в законі, тр</w:t>
      </w:r>
      <w:r>
        <w:rPr>
          <w:rFonts w:ascii="Times New Roman" w:hAnsi="Times New Roman" w:cs="Times New Roman"/>
          <w:sz w:val="28"/>
        </w:rPr>
        <w:t>актується через призму поняття «підозрюваний»</w:t>
      </w:r>
      <w:r w:rsidRPr="00BE7C34">
        <w:rPr>
          <w:rFonts w:ascii="Times New Roman" w:hAnsi="Times New Roman" w:cs="Times New Roman"/>
          <w:sz w:val="28"/>
        </w:rPr>
        <w:t>, який визначається згідно зі статтею 42 Кримінального процесуального кодексу як особа, що отримала повідомлення про підозру, була затримана за підозрою у вчиненні злочину, або щодо якої складено повідомлення про підозру, проте воно не було їй вручено через невстановлення місцезнаходження, але були вжиті заходи для в</w:t>
      </w:r>
      <w:r w:rsidR="00D22CB3">
        <w:rPr>
          <w:rFonts w:ascii="Times New Roman" w:hAnsi="Times New Roman" w:cs="Times New Roman"/>
          <w:sz w:val="28"/>
        </w:rPr>
        <w:t xml:space="preserve">ручення відповідно до вимог КПК </w:t>
      </w:r>
      <w:r w:rsidR="00D22CB3" w:rsidRPr="00D22CB3">
        <w:rPr>
          <w:rFonts w:ascii="Times New Roman" w:hAnsi="Times New Roman" w:cs="Times New Roman"/>
          <w:sz w:val="28"/>
        </w:rPr>
        <w:t>[1].</w:t>
      </w:r>
      <w:r w:rsidRPr="00BE7C34">
        <w:rPr>
          <w:rFonts w:ascii="Times New Roman" w:hAnsi="Times New Roman" w:cs="Times New Roman"/>
          <w:sz w:val="28"/>
        </w:rPr>
        <w:t xml:space="preserve"> Однак, інститут підозри виступає не лише як юридична концепція, але й як складна система взаємопов'язаних норм, спрямованих на забезпечення участі підозрюваної особи у кримінальному провадженні, одночасно надаючи їй можливість реалізувати свої права й законні інтереси. Поняття підозри, яке у цьому контексті виступає ядром, має низку невід’ємних характеристик, що властиві правовим інститутам, включаючи автономність функціонування, визначені часом виникнення й закінчення, а також наявність специфічної групи термінів і понять, що регулюють процедури й</w:t>
      </w:r>
      <w:r w:rsidR="0067713D">
        <w:rPr>
          <w:rFonts w:ascii="Times New Roman" w:hAnsi="Times New Roman" w:cs="Times New Roman"/>
          <w:sz w:val="28"/>
        </w:rPr>
        <w:t xml:space="preserve">ого застосування в межах закону </w:t>
      </w:r>
      <w:r w:rsidR="008707C9" w:rsidRPr="008707C9">
        <w:rPr>
          <w:rFonts w:ascii="Times New Roman" w:hAnsi="Times New Roman" w:cs="Times New Roman"/>
          <w:sz w:val="28"/>
        </w:rPr>
        <w:t>[16, с. 315].</w:t>
      </w:r>
    </w:p>
    <w:p w:rsidR="00BE7C34" w:rsidRDefault="00BE7C34" w:rsidP="00BE7C34">
      <w:pPr>
        <w:spacing w:after="0" w:line="360" w:lineRule="auto"/>
        <w:ind w:firstLine="709"/>
        <w:jc w:val="both"/>
        <w:rPr>
          <w:rFonts w:ascii="Times New Roman" w:hAnsi="Times New Roman" w:cs="Times New Roman"/>
          <w:sz w:val="28"/>
        </w:rPr>
      </w:pPr>
      <w:r w:rsidRPr="00BE7C34">
        <w:rPr>
          <w:rFonts w:ascii="Times New Roman" w:hAnsi="Times New Roman" w:cs="Times New Roman"/>
          <w:sz w:val="28"/>
        </w:rPr>
        <w:t>З 16 березня 2018 року набули чинності зміни до Кримінального процесуального кодексу, які розширили права підозрюваних та їх захисників. Згідно з пунктом 10 частини 1 статті 303 КПК, особа, якій повідомлено про підозру у вчиненні кримінального проступку або злочину, має право оскаржити це повідомлення слідчого чи прокурора пі</w:t>
      </w:r>
      <w:r w:rsidR="00D22CB3">
        <w:rPr>
          <w:rFonts w:ascii="Times New Roman" w:hAnsi="Times New Roman" w:cs="Times New Roman"/>
          <w:sz w:val="28"/>
        </w:rPr>
        <w:t xml:space="preserve">д час досудового розслідування </w:t>
      </w:r>
      <w:r w:rsidR="00D22CB3" w:rsidRPr="00D22CB3">
        <w:rPr>
          <w:rFonts w:ascii="Times New Roman" w:hAnsi="Times New Roman" w:cs="Times New Roman"/>
          <w:sz w:val="28"/>
        </w:rPr>
        <w:t>[1].</w:t>
      </w:r>
      <w:r w:rsidR="00D22CB3">
        <w:rPr>
          <w:rFonts w:ascii="Times New Roman" w:hAnsi="Times New Roman" w:cs="Times New Roman"/>
          <w:sz w:val="28"/>
        </w:rPr>
        <w:t xml:space="preserve"> </w:t>
      </w:r>
      <w:r w:rsidRPr="00BE7C34">
        <w:rPr>
          <w:rFonts w:ascii="Times New Roman" w:hAnsi="Times New Roman" w:cs="Times New Roman"/>
          <w:sz w:val="28"/>
        </w:rPr>
        <w:t>Таке право виникає після спливу одного місяця з моменту повідомлення особі про підозру у вчиненні кримінального проступку або двох місяців з моменту повідомлення про підозру у вчиненні злочину, проте не пізніше закриття кримінального провадження прокурором або звернення до суду з обвинувальним актом.</w:t>
      </w:r>
      <w:r>
        <w:rPr>
          <w:rFonts w:ascii="Times New Roman" w:hAnsi="Times New Roman" w:cs="Times New Roman"/>
          <w:sz w:val="28"/>
        </w:rPr>
        <w:t xml:space="preserve"> </w:t>
      </w:r>
      <w:r w:rsidRPr="00BE7C34">
        <w:rPr>
          <w:rFonts w:ascii="Times New Roman" w:hAnsi="Times New Roman" w:cs="Times New Roman"/>
          <w:sz w:val="28"/>
        </w:rPr>
        <w:t xml:space="preserve">Зауважимо, що згідно з </w:t>
      </w:r>
      <w:r w:rsidR="008707C9">
        <w:rPr>
          <w:rFonts w:ascii="Times New Roman" w:hAnsi="Times New Roman" w:cs="Times New Roman"/>
          <w:sz w:val="28"/>
        </w:rPr>
        <w:t>Законом</w:t>
      </w:r>
      <w:r w:rsidRPr="00BE7C34">
        <w:rPr>
          <w:rFonts w:ascii="Times New Roman" w:hAnsi="Times New Roman" w:cs="Times New Roman"/>
          <w:sz w:val="28"/>
        </w:rPr>
        <w:t xml:space="preserve"> України «Про внесення змін до Господарського процесуального кодексу України, Цивільного процесуального кодексу України, Кодексу адміністративного судочинства України та інших законодавчих актів» від 3 жовтня 2017 року № 2147-VIII, викладені вище зміни до КПК не мають зворотної дії у часі та застосовуються до справ, в яких відомості про кримінальне правопорушення внесені в Єдини</w:t>
      </w:r>
      <w:r>
        <w:rPr>
          <w:rFonts w:ascii="Times New Roman" w:hAnsi="Times New Roman" w:cs="Times New Roman"/>
          <w:sz w:val="28"/>
        </w:rPr>
        <w:t xml:space="preserve">й реєстр досудових </w:t>
      </w:r>
      <w:r>
        <w:rPr>
          <w:rFonts w:ascii="Times New Roman" w:hAnsi="Times New Roman" w:cs="Times New Roman"/>
          <w:sz w:val="28"/>
        </w:rPr>
        <w:lastRenderedPageBreak/>
        <w:t>розслідувань</w:t>
      </w:r>
      <w:r w:rsidRPr="00BE7C34">
        <w:rPr>
          <w:rFonts w:ascii="Times New Roman" w:hAnsi="Times New Roman" w:cs="Times New Roman"/>
          <w:sz w:val="28"/>
        </w:rPr>
        <w:t xml:space="preserve"> після введення в дію цих змін.</w:t>
      </w:r>
      <w:r>
        <w:rPr>
          <w:rFonts w:ascii="Times New Roman" w:hAnsi="Times New Roman" w:cs="Times New Roman"/>
          <w:sz w:val="28"/>
        </w:rPr>
        <w:t xml:space="preserve"> </w:t>
      </w:r>
      <w:r w:rsidRPr="00BE7C34">
        <w:rPr>
          <w:rFonts w:ascii="Times New Roman" w:hAnsi="Times New Roman" w:cs="Times New Roman"/>
          <w:sz w:val="28"/>
        </w:rPr>
        <w:t>Таким чином, особи, які підпадають під цей закон, мають право звертатися зі скаргою на повідомлення слідчого чи прокурора про підозру, якщо кримінальне провадження, в рамках якого було здійснено повідомлення, внесене в ЄРДР після 16 березня 2018 року та пройшло два місяці з моменту повідомлення про підозру у вчиненні злочину (або один місяць з моменту повідомлення про підозру у вчиненні кримінального проступку), тобто не</w:t>
      </w:r>
      <w:r w:rsidR="008707C9">
        <w:rPr>
          <w:rFonts w:ascii="Times New Roman" w:hAnsi="Times New Roman" w:cs="Times New Roman"/>
          <w:sz w:val="28"/>
        </w:rPr>
        <w:t xml:space="preserve"> раніше ніж 16 травня 2018 року </w:t>
      </w:r>
      <w:r w:rsidR="008707C9" w:rsidRPr="008707C9">
        <w:rPr>
          <w:rFonts w:ascii="Times New Roman" w:hAnsi="Times New Roman" w:cs="Times New Roman"/>
          <w:sz w:val="28"/>
        </w:rPr>
        <w:t>[17, с. 128].</w:t>
      </w:r>
    </w:p>
    <w:p w:rsidR="00BE7C34" w:rsidRDefault="00BE7C34" w:rsidP="00BE7C34">
      <w:pPr>
        <w:spacing w:after="0" w:line="360" w:lineRule="auto"/>
        <w:ind w:firstLine="709"/>
        <w:jc w:val="both"/>
        <w:rPr>
          <w:rFonts w:ascii="Times New Roman" w:hAnsi="Times New Roman" w:cs="Times New Roman"/>
          <w:sz w:val="28"/>
        </w:rPr>
      </w:pPr>
      <w:r w:rsidRPr="00BE7C34">
        <w:rPr>
          <w:rFonts w:ascii="Times New Roman" w:hAnsi="Times New Roman" w:cs="Times New Roman"/>
          <w:sz w:val="28"/>
        </w:rPr>
        <w:t>У світлі сучасних юридичних реформ та постанов</w:t>
      </w:r>
      <w:r>
        <w:rPr>
          <w:rFonts w:ascii="Times New Roman" w:hAnsi="Times New Roman" w:cs="Times New Roman"/>
          <w:sz w:val="28"/>
        </w:rPr>
        <w:t>и</w:t>
      </w:r>
      <w:r w:rsidRPr="00BE7C34">
        <w:rPr>
          <w:rFonts w:ascii="Times New Roman" w:hAnsi="Times New Roman" w:cs="Times New Roman"/>
          <w:sz w:val="28"/>
        </w:rPr>
        <w:t xml:space="preserve"> Верховного Суду України від 17 грудня 2015 року, щодо кримінального процесуального законодавства, виникає необхідність ретельніше розглянути питання стосовно впливу часових змін у законодавстві на кримінальний процес. Судова практика та аналіз норм законодавства стверджують, що кримінальне процесуальне законодавство визначає порядок провадження у кримінальних справах, включаючи проце</w:t>
      </w:r>
      <w:r w:rsidR="0067713D">
        <w:rPr>
          <w:rFonts w:ascii="Times New Roman" w:hAnsi="Times New Roman" w:cs="Times New Roman"/>
          <w:sz w:val="28"/>
        </w:rPr>
        <w:t xml:space="preserve">суальні дії та прийняття рішень </w:t>
      </w:r>
      <w:r w:rsidR="0067713D" w:rsidRPr="0067713D">
        <w:rPr>
          <w:rFonts w:ascii="Times New Roman" w:hAnsi="Times New Roman" w:cs="Times New Roman"/>
          <w:sz w:val="28"/>
        </w:rPr>
        <w:t>[18, с. 201].</w:t>
      </w:r>
      <w:r w:rsidRPr="00BE7C34">
        <w:rPr>
          <w:rFonts w:ascii="Times New Roman" w:hAnsi="Times New Roman" w:cs="Times New Roman"/>
          <w:sz w:val="28"/>
        </w:rPr>
        <w:t xml:space="preserve"> Варто відзначити, що відмінно від кримінального матеріального закону, нові положення кримінального процесуального закону не можуть мати зворотної сили, навіть якщо вони є більш сприятливими для учасників кримінального провадження. Це обумовлено частиною першою статті 5 Кримінального процесуального кодексу, яка визначає, що процесуальна дія проводиться та рішення приймається згідно з положеннями чинного на момент початку виконання дії або прийняття рішення законодавства. Таким чином, навіть у випадках, коли нові правила визначають більш лагідні умови для учасників кримінального процесу, вони не мо</w:t>
      </w:r>
      <w:r w:rsidR="0067713D">
        <w:rPr>
          <w:rFonts w:ascii="Times New Roman" w:hAnsi="Times New Roman" w:cs="Times New Roman"/>
          <w:sz w:val="28"/>
        </w:rPr>
        <w:t xml:space="preserve">жуть бути застосовані зворотно </w:t>
      </w:r>
    </w:p>
    <w:p w:rsidR="00D702DF" w:rsidRDefault="00D702DF" w:rsidP="00D702DF">
      <w:pPr>
        <w:spacing w:after="0" w:line="360" w:lineRule="auto"/>
        <w:ind w:firstLine="709"/>
        <w:jc w:val="both"/>
        <w:rPr>
          <w:rFonts w:ascii="Times New Roman" w:hAnsi="Times New Roman" w:cs="Times New Roman"/>
          <w:sz w:val="28"/>
        </w:rPr>
      </w:pPr>
      <w:r w:rsidRPr="00D702DF">
        <w:rPr>
          <w:rFonts w:ascii="Times New Roman" w:hAnsi="Times New Roman" w:cs="Times New Roman"/>
          <w:sz w:val="28"/>
        </w:rPr>
        <w:t>Аналізуючи законодавчий підхід до визначення строків на оскарження повідомлення про підозру, адвокати ретельно досліджують становище сторони захисту. Вони вказують на відсутність ефективного механізму протидії незаконному переслідуванню особи та виокремлюють декілька ключових аргументів для підтримки цієї позиції.</w:t>
      </w:r>
      <w:r>
        <w:rPr>
          <w:rFonts w:ascii="Times New Roman" w:hAnsi="Times New Roman" w:cs="Times New Roman"/>
          <w:sz w:val="28"/>
        </w:rPr>
        <w:t xml:space="preserve"> </w:t>
      </w:r>
      <w:r w:rsidRPr="00D702DF">
        <w:rPr>
          <w:rFonts w:ascii="Times New Roman" w:hAnsi="Times New Roman" w:cs="Times New Roman"/>
          <w:sz w:val="28"/>
        </w:rPr>
        <w:t xml:space="preserve">По-перше, в перший період після отримання повідомлення про підозру, слідство активно здійснює слідчі дії, часто отримуючи санкції в суді, такі як дозвіл на затримання, обрання запобіжного </w:t>
      </w:r>
      <w:r w:rsidRPr="00D702DF">
        <w:rPr>
          <w:rFonts w:ascii="Times New Roman" w:hAnsi="Times New Roman" w:cs="Times New Roman"/>
          <w:sz w:val="28"/>
        </w:rPr>
        <w:lastRenderedPageBreak/>
        <w:t>заходу, арешт майна тощо. Це створює тиск на сторону захисту та обмежує час для підготовки ефективної відповіді.</w:t>
      </w:r>
      <w:r>
        <w:rPr>
          <w:rFonts w:ascii="Times New Roman" w:hAnsi="Times New Roman" w:cs="Times New Roman"/>
          <w:sz w:val="28"/>
        </w:rPr>
        <w:t xml:space="preserve"> </w:t>
      </w:r>
      <w:r w:rsidRPr="00D702DF">
        <w:rPr>
          <w:rFonts w:ascii="Times New Roman" w:hAnsi="Times New Roman" w:cs="Times New Roman"/>
          <w:sz w:val="28"/>
        </w:rPr>
        <w:t>По-друге, слідчий може завершити розслідування та передати справу до суду з обвинувальним актом навіть до завершення двомісячного строку, встановленого для оскарження повідомлення про підозру. Це ускладнює можливість сторони захисту адекватно реагувати та готувати свою позицію.</w:t>
      </w:r>
      <w:r>
        <w:rPr>
          <w:rFonts w:ascii="Times New Roman" w:hAnsi="Times New Roman" w:cs="Times New Roman"/>
          <w:sz w:val="28"/>
        </w:rPr>
        <w:t xml:space="preserve"> </w:t>
      </w:r>
      <w:r w:rsidRPr="00D702DF">
        <w:rPr>
          <w:rFonts w:ascii="Times New Roman" w:hAnsi="Times New Roman" w:cs="Times New Roman"/>
          <w:sz w:val="28"/>
        </w:rPr>
        <w:t>По-третє, в разі подання скарги на необґрунтованість повідомлення про підозру, слідчий суддя, який розглядає таку скаргу, може бути обмежений своїми власними рішеннями у справі. Це чергове обмеження можливостей сторони захис</w:t>
      </w:r>
      <w:r w:rsidR="0067713D">
        <w:rPr>
          <w:rFonts w:ascii="Times New Roman" w:hAnsi="Times New Roman" w:cs="Times New Roman"/>
          <w:sz w:val="28"/>
        </w:rPr>
        <w:t xml:space="preserve">ту отримати справедливе рішення </w:t>
      </w:r>
      <w:r w:rsidR="0067713D" w:rsidRPr="0067713D">
        <w:rPr>
          <w:rFonts w:ascii="Times New Roman" w:hAnsi="Times New Roman" w:cs="Times New Roman"/>
          <w:sz w:val="28"/>
        </w:rPr>
        <w:t>[19, с. 98].</w:t>
      </w:r>
    </w:p>
    <w:p w:rsidR="00D702DF" w:rsidRDefault="00D702DF" w:rsidP="00D702DF">
      <w:pPr>
        <w:spacing w:after="0" w:line="360" w:lineRule="auto"/>
        <w:ind w:firstLine="709"/>
        <w:jc w:val="both"/>
        <w:rPr>
          <w:rFonts w:ascii="Times New Roman" w:hAnsi="Times New Roman" w:cs="Times New Roman"/>
          <w:sz w:val="28"/>
        </w:rPr>
      </w:pPr>
      <w:r w:rsidRPr="00D702DF">
        <w:rPr>
          <w:rFonts w:ascii="Times New Roman" w:hAnsi="Times New Roman" w:cs="Times New Roman"/>
          <w:sz w:val="28"/>
        </w:rPr>
        <w:t>Законодавство, яке стосується можливості оскарження повідомлення про підозру, визначається не лише самим процесом оскарження, але й питаннями, пов'язаними з підставами для скасування такого повідомлення та правовими наслідками цього рішення. Хоча Кримінальний процесуальний кодекс передбачає можливість скасування повідомлення про підозру на підставі рішення слідчого судді, підходи до такого розгляду можуть відрізнятися в залежності від конкретних обставин справи.</w:t>
      </w:r>
      <w:r>
        <w:rPr>
          <w:rFonts w:ascii="Times New Roman" w:hAnsi="Times New Roman" w:cs="Times New Roman"/>
          <w:sz w:val="28"/>
        </w:rPr>
        <w:t xml:space="preserve"> </w:t>
      </w:r>
      <w:r w:rsidRPr="00D702DF">
        <w:rPr>
          <w:rFonts w:ascii="Times New Roman" w:hAnsi="Times New Roman" w:cs="Times New Roman"/>
          <w:sz w:val="28"/>
        </w:rPr>
        <w:t>На основі аналізу ухвал, які можна знайти у Єдиному державному реєстрі судових рішень, можна виявити різноманітні підходи слідчих суддів до розгляду скарг на повідомлення про підозру. У деяких випадках вони вдаються до оцінки доказів, що стосуються обґрунтування підозри, зокрема перевіряючи їхню достовірність та відп</w:t>
      </w:r>
      <w:r w:rsidR="0067713D">
        <w:rPr>
          <w:rFonts w:ascii="Times New Roman" w:hAnsi="Times New Roman" w:cs="Times New Roman"/>
          <w:sz w:val="28"/>
        </w:rPr>
        <w:t xml:space="preserve">овідність законодавчим вимогам </w:t>
      </w:r>
      <w:r w:rsidR="0067713D" w:rsidRPr="0067713D">
        <w:rPr>
          <w:rFonts w:ascii="Times New Roman" w:hAnsi="Times New Roman" w:cs="Times New Roman"/>
          <w:sz w:val="28"/>
        </w:rPr>
        <w:t>[20, с. 134].</w:t>
      </w:r>
      <w:r w:rsidR="0067713D">
        <w:rPr>
          <w:rFonts w:ascii="Times New Roman" w:hAnsi="Times New Roman" w:cs="Times New Roman"/>
          <w:sz w:val="28"/>
        </w:rPr>
        <w:t xml:space="preserve"> </w:t>
      </w:r>
      <w:r w:rsidRPr="00D702DF">
        <w:rPr>
          <w:rFonts w:ascii="Times New Roman" w:hAnsi="Times New Roman" w:cs="Times New Roman"/>
          <w:sz w:val="28"/>
        </w:rPr>
        <w:t>У інших випадках, акцент здійснюється на перевірці процедурних аспектів, таких як додержання прав і процедур під час встановлення підозри.</w:t>
      </w:r>
      <w:r>
        <w:rPr>
          <w:rFonts w:ascii="Times New Roman" w:hAnsi="Times New Roman" w:cs="Times New Roman"/>
          <w:sz w:val="28"/>
        </w:rPr>
        <w:t xml:space="preserve"> </w:t>
      </w:r>
      <w:r w:rsidRPr="00D702DF">
        <w:rPr>
          <w:rFonts w:ascii="Times New Roman" w:hAnsi="Times New Roman" w:cs="Times New Roman"/>
          <w:sz w:val="28"/>
        </w:rPr>
        <w:t>Необхідно також враховувати, що скасування повідомлення про підозру може мати значний вплив на хід кримінального провадження. Зокрема, це може призвести до припинення кримінального провадження або зміни кваліфікації злочину, що вплине на подальший порядок дій правоохоронних органів та судових інстанцій</w:t>
      </w:r>
      <w:r>
        <w:rPr>
          <w:rFonts w:ascii="Times New Roman" w:hAnsi="Times New Roman" w:cs="Times New Roman"/>
          <w:sz w:val="28"/>
        </w:rPr>
        <w:t>.</w:t>
      </w:r>
    </w:p>
    <w:p w:rsidR="00D702DF" w:rsidRDefault="00D702DF" w:rsidP="00D702DF">
      <w:pPr>
        <w:spacing w:after="0" w:line="360" w:lineRule="auto"/>
        <w:ind w:firstLine="709"/>
        <w:jc w:val="both"/>
        <w:rPr>
          <w:rFonts w:ascii="Times New Roman" w:hAnsi="Times New Roman" w:cs="Times New Roman"/>
          <w:sz w:val="28"/>
        </w:rPr>
      </w:pPr>
      <w:r w:rsidRPr="00D702DF">
        <w:rPr>
          <w:rFonts w:ascii="Times New Roman" w:hAnsi="Times New Roman" w:cs="Times New Roman"/>
          <w:sz w:val="28"/>
        </w:rPr>
        <w:t>Таким чином, недоліки у законодавстві створюють нерівні умови для сторони захисту, що може призвести до порушення принципу рівності сторін перед законом та недостатньої гарантії прав особи, яка перебуває підозрюваним.</w:t>
      </w:r>
    </w:p>
    <w:p w:rsidR="00D702DF" w:rsidRDefault="00D702DF" w:rsidP="00BE2622">
      <w:pPr>
        <w:spacing w:line="360" w:lineRule="auto"/>
        <w:jc w:val="center"/>
        <w:rPr>
          <w:rFonts w:ascii="Times New Roman" w:hAnsi="Times New Roman" w:cs="Times New Roman"/>
          <w:b/>
          <w:sz w:val="28"/>
        </w:rPr>
      </w:pPr>
      <w:r w:rsidRPr="00D702DF">
        <w:rPr>
          <w:rFonts w:ascii="Times New Roman" w:hAnsi="Times New Roman" w:cs="Times New Roman"/>
          <w:b/>
          <w:sz w:val="28"/>
        </w:rPr>
        <w:lastRenderedPageBreak/>
        <w:t>ВИСНОВКИ</w:t>
      </w:r>
    </w:p>
    <w:p w:rsidR="00D702DF" w:rsidRDefault="00BE2622" w:rsidP="00BE2622">
      <w:pPr>
        <w:spacing w:after="0" w:line="360" w:lineRule="auto"/>
        <w:ind w:firstLine="709"/>
        <w:jc w:val="both"/>
        <w:rPr>
          <w:rFonts w:ascii="Times New Roman" w:hAnsi="Times New Roman" w:cs="Times New Roman"/>
          <w:sz w:val="28"/>
        </w:rPr>
      </w:pPr>
      <w:r w:rsidRPr="00BE2622">
        <w:rPr>
          <w:rFonts w:ascii="Times New Roman" w:hAnsi="Times New Roman" w:cs="Times New Roman"/>
          <w:sz w:val="28"/>
        </w:rPr>
        <w:t>Аналізуючи механізм оскарження рішень, дії чи бездіяльність слідчого або прокурора, можна зробити висновок, що цей процес є невід'ємною складовою правової системи країни. Оскарження вироків та рішень, прийнятих правоохоронними органами, є важливим механізмом забезпечення справедливості та захисту прав громадян.</w:t>
      </w:r>
      <w:r>
        <w:rPr>
          <w:rFonts w:ascii="Times New Roman" w:hAnsi="Times New Roman" w:cs="Times New Roman"/>
          <w:sz w:val="28"/>
        </w:rPr>
        <w:t xml:space="preserve"> Окрім цього, можна узагальнити наступне:</w:t>
      </w:r>
    </w:p>
    <w:p w:rsidR="00BE2622" w:rsidRPr="00BE2622" w:rsidRDefault="00BE2622" w:rsidP="00BE2622">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1. </w:t>
      </w:r>
      <w:r w:rsidRPr="00BE2622">
        <w:rPr>
          <w:rFonts w:ascii="Times New Roman" w:hAnsi="Times New Roman" w:cs="Times New Roman"/>
          <w:sz w:val="28"/>
        </w:rPr>
        <w:t>Засада забезпечення права на оскарження процесуальних рішень, дій чи бездіяльності органів та службових осіб, які ведуть провадження, є важливим елементом правової системи України. Ця засада конкретизується у статті 55 Конституції України, що гарантує кожному право на оскарження в суді рішень, дій чи бездіяльності органів державної вла</w:t>
      </w:r>
      <w:r w:rsidR="001519E1">
        <w:rPr>
          <w:rFonts w:ascii="Times New Roman" w:hAnsi="Times New Roman" w:cs="Times New Roman"/>
          <w:sz w:val="28"/>
        </w:rPr>
        <w:t xml:space="preserve">ди, посадових і службових осіб. </w:t>
      </w:r>
      <w:r w:rsidRPr="00BE2622">
        <w:rPr>
          <w:rFonts w:ascii="Times New Roman" w:hAnsi="Times New Roman" w:cs="Times New Roman"/>
          <w:sz w:val="28"/>
        </w:rPr>
        <w:t>Забезпечення реалізації права на оскарження процесуальних рішень, дій чи бездіяльності органів, які ведуть кримінальне провадження, слугує насамперед стадійна побудова провадження. Важливо наголосити, що оскарження можливе як на окремій стадії, де розглядається скарга, так і на наступних етапах. Особливу увагу слід приділити стадії досудового розслідування, де зачіпаються найбільш чутливі права, свободи та інтереси осіб.</w:t>
      </w:r>
    </w:p>
    <w:p w:rsidR="00BE2622" w:rsidRDefault="001519E1" w:rsidP="001519E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2. </w:t>
      </w:r>
      <w:r w:rsidRPr="001519E1">
        <w:rPr>
          <w:rFonts w:ascii="Times New Roman" w:hAnsi="Times New Roman" w:cs="Times New Roman"/>
          <w:sz w:val="28"/>
        </w:rPr>
        <w:t xml:space="preserve">У </w:t>
      </w:r>
      <w:r>
        <w:rPr>
          <w:rFonts w:ascii="Times New Roman" w:hAnsi="Times New Roman" w:cs="Times New Roman"/>
          <w:sz w:val="28"/>
        </w:rPr>
        <w:t xml:space="preserve">частині 1 </w:t>
      </w:r>
      <w:r w:rsidRPr="001519E1">
        <w:rPr>
          <w:rFonts w:ascii="Times New Roman" w:hAnsi="Times New Roman" w:cs="Times New Roman"/>
          <w:sz w:val="28"/>
        </w:rPr>
        <w:t xml:space="preserve">статті 303 Кримінального процесуального кодексу України визначено вичерпний перелік рішень, дій або бездіяльності слідчого чи прокурора, які можуть бути оспорювані учасниками кримінального провадження перед слідчим суддею під час досудового розслідування. Відзначається, що вказані рішення, дії або бездіяльність можуть бути оскаржені на етапі досудового розслідування, однак не підлягають оскарженню на етапі підготовчого судового засідання. Згідно з КПК, рішення, дії або бездіяльність, які не включені до переліку у частині 1 статті 303, можуть бути оскаржені під час підготовчого судового засідання. Підкреслюється, що як під час досудового розслідування, так і під час підготовчого судового засідання можуть бути оскаржені лише певні рішення: 1) рішення прокурора чи слідчого про відмову у визнанні </w:t>
      </w:r>
      <w:r>
        <w:rPr>
          <w:rFonts w:ascii="Times New Roman" w:hAnsi="Times New Roman" w:cs="Times New Roman"/>
          <w:sz w:val="28"/>
        </w:rPr>
        <w:t xml:space="preserve">потерпілого; </w:t>
      </w:r>
      <w:r w:rsidRPr="001519E1">
        <w:rPr>
          <w:rFonts w:ascii="Times New Roman" w:hAnsi="Times New Roman" w:cs="Times New Roman"/>
          <w:sz w:val="28"/>
        </w:rPr>
        <w:lastRenderedPageBreak/>
        <w:t>2) рішення, дії або бездіяльність слідчого чи прокурора у зв'язку з застосуванням заходів безпеки. Це обмеження оспорювання рішень забезпечує баланс між правом потерпілих на ефективний захист та необхідністю ефективного проведення кримінального розслідування.</w:t>
      </w:r>
    </w:p>
    <w:p w:rsidR="001519E1" w:rsidRDefault="001519E1" w:rsidP="001519E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3. </w:t>
      </w:r>
      <w:r w:rsidRPr="001519E1">
        <w:rPr>
          <w:rFonts w:ascii="Times New Roman" w:hAnsi="Times New Roman" w:cs="Times New Roman"/>
          <w:sz w:val="28"/>
        </w:rPr>
        <w:t xml:space="preserve">Механізм оскарження дій чи рішень слідчих, суддів та прокурорів є </w:t>
      </w:r>
      <w:r>
        <w:rPr>
          <w:rFonts w:ascii="Times New Roman" w:hAnsi="Times New Roman" w:cs="Times New Roman"/>
          <w:sz w:val="28"/>
        </w:rPr>
        <w:t>вкрай</w:t>
      </w:r>
      <w:r w:rsidRPr="001519E1">
        <w:rPr>
          <w:rFonts w:ascii="Times New Roman" w:hAnsi="Times New Roman" w:cs="Times New Roman"/>
          <w:sz w:val="28"/>
        </w:rPr>
        <w:t xml:space="preserve"> важливим аспектом забезпечення прав і свобод громадян. Необхідність у доступному та ефективному засобі захисту прав виникає в контексті забезпечення справедливості та правопорядку в суспільстві. Проте, нещодавнє виявлення прогалин у законодавстві викликає серйозні обурення і потребу у внесенні змін.</w:t>
      </w:r>
      <w:r>
        <w:rPr>
          <w:rFonts w:ascii="Times New Roman" w:hAnsi="Times New Roman" w:cs="Times New Roman"/>
          <w:sz w:val="28"/>
        </w:rPr>
        <w:t xml:space="preserve"> </w:t>
      </w:r>
      <w:r w:rsidRPr="001519E1">
        <w:rPr>
          <w:rFonts w:ascii="Times New Roman" w:hAnsi="Times New Roman" w:cs="Times New Roman"/>
          <w:sz w:val="28"/>
        </w:rPr>
        <w:t>Положення ч.1 ст.303 Кримінального процесуального кодексу України не врегульоване щодо можливості оскарження рішень уповноваженої службової особи, слідчого чи прокурора про затримання особи у порядку, передбаченому ст. 208 цього Кодексу. Така недоречність закону порушує конституційні права громадян.</w:t>
      </w:r>
      <w:r>
        <w:rPr>
          <w:rFonts w:ascii="Times New Roman" w:hAnsi="Times New Roman" w:cs="Times New Roman"/>
          <w:sz w:val="28"/>
        </w:rPr>
        <w:t xml:space="preserve"> </w:t>
      </w:r>
      <w:r w:rsidRPr="001519E1">
        <w:rPr>
          <w:rFonts w:ascii="Times New Roman" w:hAnsi="Times New Roman" w:cs="Times New Roman"/>
          <w:sz w:val="28"/>
        </w:rPr>
        <w:t>Нездійснення такого права може призвести до порушення принципу справедливості та порушення особистої свободи. Отже, необхідно внести відповідні поправки до законодавства з метою забезпечення повного захисту прав громадян у сфері кримінального провадження.</w:t>
      </w:r>
      <w:r>
        <w:rPr>
          <w:rFonts w:ascii="Times New Roman" w:hAnsi="Times New Roman" w:cs="Times New Roman"/>
          <w:sz w:val="28"/>
        </w:rPr>
        <w:t xml:space="preserve"> </w:t>
      </w:r>
      <w:r w:rsidRPr="001519E1">
        <w:rPr>
          <w:rFonts w:ascii="Times New Roman" w:hAnsi="Times New Roman" w:cs="Times New Roman"/>
          <w:sz w:val="28"/>
        </w:rPr>
        <w:t>У юридичній літературі відзначається, що одним з недоліків чинного Кримінального процесуального кодексу є обмеження учасників кримінального провадження у праві оскарження рішень прокурора щодо продовження строків досудового розслідування згідно зі статтею 303 зазначеного Кодексу. Ця норма позбавляє осіб, участь яких стосується проведення розслідування, можливості впливати на процес розгляду справи на етапі досудового розслідування через оскарження рішень прокурора. Таке обмеження викликає обґрунтовану необхідність перегляду відповідних положень КПК для забезпечення більшої гарантії прав учасників кримінального провадження та забезпечення ефективності судочинства в цілому.</w:t>
      </w:r>
    </w:p>
    <w:p w:rsidR="005D7DC4" w:rsidRDefault="001519E1" w:rsidP="001519E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4. </w:t>
      </w:r>
      <w:r w:rsidRPr="001519E1">
        <w:rPr>
          <w:rFonts w:ascii="Times New Roman" w:hAnsi="Times New Roman" w:cs="Times New Roman"/>
          <w:sz w:val="28"/>
        </w:rPr>
        <w:t xml:space="preserve">Процедура повідомлення про підозру є ключовим етапом у кримінальному провадженні, де уповноважені особи зобов'язані у відповідній процесуальній формі інформувати зацікавлених осіб про їхні права та обов'язки, </w:t>
      </w:r>
      <w:r w:rsidRPr="001519E1">
        <w:rPr>
          <w:rFonts w:ascii="Times New Roman" w:hAnsi="Times New Roman" w:cs="Times New Roman"/>
          <w:sz w:val="28"/>
        </w:rPr>
        <w:lastRenderedPageBreak/>
        <w:t>викладати інформацію про проведені дії та прийняті рішення, які стосуються їхніх прав і свобод. Проведене дослідження розкрило недоліки в практиці застосування оскарження повідомлення про підозру під час досудового розслідування, проте цей перелік не є вичерпним.</w:t>
      </w:r>
      <w:r>
        <w:rPr>
          <w:rFonts w:ascii="Times New Roman" w:hAnsi="Times New Roman" w:cs="Times New Roman"/>
          <w:sz w:val="28"/>
        </w:rPr>
        <w:t xml:space="preserve"> </w:t>
      </w:r>
      <w:r w:rsidRPr="001519E1">
        <w:rPr>
          <w:rFonts w:ascii="Times New Roman" w:hAnsi="Times New Roman" w:cs="Times New Roman"/>
          <w:sz w:val="28"/>
        </w:rPr>
        <w:t>Підвищена увага до вирішення цих проблем свідчить про необхідність комплексного аналізу самого інституту оскарження. Такий аналіз має включати оцінку ефективності інструментів оскарження, їхню відповідність міжнародним стандартам та потребам правопорядку. Крім того, виникає необхідність у внесенні відповідних змін до чинного кримінального процесуального законодавства з метою оптимізації та підвищення ефективності його використання. Такий підхід дозволить забезпечити більшу захищеність прав осіб, що перебувають під підозрою, та забезпечити більш ефективне функціонування правосуддя.</w:t>
      </w:r>
    </w:p>
    <w:p w:rsidR="005D7DC4" w:rsidRDefault="005D7DC4">
      <w:pPr>
        <w:rPr>
          <w:rFonts w:ascii="Times New Roman" w:hAnsi="Times New Roman" w:cs="Times New Roman"/>
          <w:sz w:val="28"/>
        </w:rPr>
      </w:pPr>
      <w:r>
        <w:rPr>
          <w:rFonts w:ascii="Times New Roman" w:hAnsi="Times New Roman" w:cs="Times New Roman"/>
          <w:sz w:val="28"/>
        </w:rPr>
        <w:br w:type="page"/>
      </w:r>
    </w:p>
    <w:p w:rsidR="001519E1" w:rsidRDefault="005D7DC4" w:rsidP="00C3129D">
      <w:pPr>
        <w:spacing w:line="360" w:lineRule="auto"/>
        <w:jc w:val="center"/>
        <w:rPr>
          <w:rFonts w:ascii="Times New Roman" w:hAnsi="Times New Roman" w:cs="Times New Roman"/>
          <w:b/>
          <w:sz w:val="28"/>
        </w:rPr>
      </w:pPr>
      <w:r w:rsidRPr="005D7DC4">
        <w:rPr>
          <w:rFonts w:ascii="Times New Roman" w:hAnsi="Times New Roman" w:cs="Times New Roman"/>
          <w:b/>
          <w:sz w:val="28"/>
        </w:rPr>
        <w:lastRenderedPageBreak/>
        <w:t>СПИСОК ВИКОРИСТАНИХ ДЖЕРЕЛ</w:t>
      </w:r>
    </w:p>
    <w:p w:rsidR="00EC1446" w:rsidRPr="00EC1446" w:rsidRDefault="00EC1446" w:rsidP="009A0ADF">
      <w:pPr>
        <w:pStyle w:val="aa"/>
        <w:numPr>
          <w:ilvl w:val="0"/>
          <w:numId w:val="3"/>
        </w:numPr>
        <w:spacing w:before="0" w:beforeAutospacing="0" w:after="0" w:afterAutospacing="0" w:line="360" w:lineRule="auto"/>
        <w:ind w:left="0" w:firstLine="709"/>
        <w:jc w:val="both"/>
        <w:rPr>
          <w:sz w:val="28"/>
        </w:rPr>
      </w:pPr>
      <w:r w:rsidRPr="00EC1446">
        <w:rPr>
          <w:color w:val="000000"/>
          <w:sz w:val="28"/>
        </w:rPr>
        <w:t>Кримінальний процесуальний кодекс України : Кодекс України від 13.04.2012 р. № 4651-VI : станом на 19 квіт. 2024 р. URL: https://zakon.rada.gov.ua/laws/show/4651-17 (дата звернення: 13.05.2024).</w:t>
      </w:r>
    </w:p>
    <w:p w:rsidR="00D605BA" w:rsidRPr="00AB1460" w:rsidRDefault="00D605BA" w:rsidP="00EC1446">
      <w:pPr>
        <w:pStyle w:val="a9"/>
        <w:numPr>
          <w:ilvl w:val="0"/>
          <w:numId w:val="3"/>
        </w:numPr>
        <w:spacing w:after="0" w:line="360" w:lineRule="auto"/>
        <w:ind w:left="0" w:firstLine="709"/>
        <w:jc w:val="both"/>
        <w:rPr>
          <w:rFonts w:ascii="Times New Roman" w:hAnsi="Times New Roman" w:cs="Times New Roman"/>
          <w:sz w:val="28"/>
        </w:rPr>
      </w:pPr>
      <w:r w:rsidRPr="00AB1460">
        <w:rPr>
          <w:rFonts w:ascii="Times New Roman" w:hAnsi="Times New Roman" w:cs="Times New Roman"/>
          <w:sz w:val="28"/>
        </w:rPr>
        <w:t>Банах С. В. Кримінальний процес : підручник. Тернопіль : ТНЕУ, 2016. 264 с.</w:t>
      </w:r>
    </w:p>
    <w:p w:rsidR="00D605BA" w:rsidRPr="00AB1460" w:rsidRDefault="00D605BA" w:rsidP="00EC1446">
      <w:pPr>
        <w:pStyle w:val="a9"/>
        <w:numPr>
          <w:ilvl w:val="0"/>
          <w:numId w:val="3"/>
        </w:numPr>
        <w:spacing w:after="0" w:line="360" w:lineRule="auto"/>
        <w:ind w:left="0" w:firstLine="709"/>
        <w:jc w:val="both"/>
        <w:rPr>
          <w:rFonts w:ascii="Times New Roman" w:hAnsi="Times New Roman" w:cs="Times New Roman"/>
          <w:sz w:val="28"/>
        </w:rPr>
      </w:pPr>
      <w:r w:rsidRPr="00AB1460">
        <w:rPr>
          <w:rFonts w:ascii="Times New Roman" w:hAnsi="Times New Roman" w:cs="Times New Roman"/>
          <w:sz w:val="28"/>
        </w:rPr>
        <w:t>Благута Р. І., Гуцуляк О. М. Кримінальний процес : підручник. Львів : ЛьвДУВС, 2019. 532 с.</w:t>
      </w:r>
    </w:p>
    <w:p w:rsidR="00D605BA" w:rsidRPr="00AB1460" w:rsidRDefault="00D605BA" w:rsidP="00EC1446">
      <w:pPr>
        <w:pStyle w:val="a9"/>
        <w:numPr>
          <w:ilvl w:val="0"/>
          <w:numId w:val="3"/>
        </w:numPr>
        <w:spacing w:after="0" w:line="360" w:lineRule="auto"/>
        <w:ind w:left="0" w:firstLine="709"/>
        <w:jc w:val="both"/>
        <w:rPr>
          <w:rFonts w:ascii="Times New Roman" w:hAnsi="Times New Roman" w:cs="Times New Roman"/>
          <w:sz w:val="28"/>
        </w:rPr>
      </w:pPr>
      <w:r w:rsidRPr="00AB1460">
        <w:rPr>
          <w:rFonts w:ascii="Times New Roman" w:hAnsi="Times New Roman" w:cs="Times New Roman"/>
          <w:sz w:val="28"/>
        </w:rPr>
        <w:t>Благута Р. І., Гуцуляк Ю. В. Кримінальний процес : підручник. 2-ге вид. Львів : ЛьвДУВС, 2019. 616 с.</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Бобечко Н. Р. Суть, мета, завдання та функції інституту оскарження й перевірки судових рішень у кримінальному провадженні. </w:t>
      </w:r>
      <w:r w:rsidRPr="00EC1446">
        <w:rPr>
          <w:i/>
          <w:iCs/>
          <w:color w:val="000000"/>
          <w:sz w:val="28"/>
        </w:rPr>
        <w:t>Публічне право</w:t>
      </w:r>
      <w:r w:rsidRPr="00EC1446">
        <w:rPr>
          <w:color w:val="000000"/>
          <w:sz w:val="28"/>
        </w:rPr>
        <w:t>. 2016. № 2. С. 152–157.</w:t>
      </w:r>
    </w:p>
    <w:p w:rsidR="00D605BA" w:rsidRPr="00AB1460" w:rsidRDefault="00D605BA" w:rsidP="00EC1446">
      <w:pPr>
        <w:pStyle w:val="a9"/>
        <w:numPr>
          <w:ilvl w:val="0"/>
          <w:numId w:val="3"/>
        </w:numPr>
        <w:spacing w:after="0" w:line="360" w:lineRule="auto"/>
        <w:ind w:left="0" w:firstLine="709"/>
        <w:jc w:val="both"/>
        <w:rPr>
          <w:rFonts w:ascii="Times New Roman" w:hAnsi="Times New Roman" w:cs="Times New Roman"/>
          <w:sz w:val="28"/>
        </w:rPr>
      </w:pPr>
      <w:r w:rsidRPr="00AB1460">
        <w:rPr>
          <w:rFonts w:ascii="Times New Roman" w:hAnsi="Times New Roman" w:cs="Times New Roman"/>
          <w:sz w:val="28"/>
        </w:rPr>
        <w:t>Бойко О. Кримінальний процес : підручник. Дніпро : Ліра ЛТД, 2017. 337 с.</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Братінов І. І. Прокурор як суб’єкт апеляційного оскарження в кримінальному провадженні. </w:t>
      </w:r>
      <w:r w:rsidRPr="00EC1446">
        <w:rPr>
          <w:i/>
          <w:iCs/>
          <w:color w:val="000000"/>
          <w:sz w:val="28"/>
        </w:rPr>
        <w:t>Юридичний науковий електронний журнал</w:t>
      </w:r>
      <w:r w:rsidRPr="00EC1446">
        <w:rPr>
          <w:color w:val="000000"/>
          <w:sz w:val="28"/>
        </w:rPr>
        <w:t>. 2015. С. 200–221.</w:t>
      </w:r>
    </w:p>
    <w:p w:rsidR="00D605BA" w:rsidRPr="00AB1460" w:rsidRDefault="00D605BA" w:rsidP="00EC1446">
      <w:pPr>
        <w:pStyle w:val="a9"/>
        <w:numPr>
          <w:ilvl w:val="0"/>
          <w:numId w:val="3"/>
        </w:numPr>
        <w:spacing w:after="0" w:line="360" w:lineRule="auto"/>
        <w:ind w:left="0" w:firstLine="709"/>
        <w:jc w:val="both"/>
        <w:rPr>
          <w:rFonts w:ascii="Times New Roman" w:hAnsi="Times New Roman" w:cs="Times New Roman"/>
          <w:sz w:val="28"/>
        </w:rPr>
      </w:pPr>
      <w:r w:rsidRPr="00AB1460">
        <w:rPr>
          <w:rFonts w:ascii="Times New Roman" w:hAnsi="Times New Roman" w:cs="Times New Roman"/>
          <w:sz w:val="28"/>
        </w:rPr>
        <w:t>Дуфенюк О. М. Кримінальне процесуальне право України : навч. посіб. Львів : ЛьвДУВС, 2017. 774 с.</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Ейбатов З. Сутність та зміст інституту судового оскарження у кримінальному процесі. </w:t>
      </w:r>
      <w:r w:rsidRPr="00EC1446">
        <w:rPr>
          <w:i/>
          <w:iCs/>
          <w:color w:val="000000"/>
          <w:sz w:val="28"/>
        </w:rPr>
        <w:t>Вісник Харківського національного університету імені ВН Каразіна. Серія «Право»</w:t>
      </w:r>
      <w:r w:rsidRPr="00EC1446">
        <w:rPr>
          <w:color w:val="000000"/>
          <w:sz w:val="28"/>
        </w:rPr>
        <w:t>. 2017. № 24. С. 233–236.</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Лобойко Л. М. Щодо потреби правової регламентації права на оскарження початку досудового розслідування. </w:t>
      </w:r>
      <w:r w:rsidRPr="00EC1446">
        <w:rPr>
          <w:i/>
          <w:iCs/>
          <w:color w:val="000000"/>
          <w:sz w:val="28"/>
        </w:rPr>
        <w:t>Вісник кримінального судочинства</w:t>
      </w:r>
      <w:r w:rsidRPr="00EC1446">
        <w:rPr>
          <w:color w:val="000000"/>
          <w:sz w:val="28"/>
        </w:rPr>
        <w:t>. 2015. № 2. С. 50–56.</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Макаров М. А. Межі оскарження слідчому судді рішень, дій чи бездіяльності слідчого та прокурора. </w:t>
      </w:r>
      <w:r w:rsidRPr="00EC1446">
        <w:rPr>
          <w:i/>
          <w:iCs/>
          <w:color w:val="000000"/>
          <w:sz w:val="28"/>
        </w:rPr>
        <w:t>Юридична наука</w:t>
      </w:r>
      <w:r w:rsidRPr="00EC1446">
        <w:rPr>
          <w:color w:val="000000"/>
          <w:sz w:val="28"/>
        </w:rPr>
        <w:t>. 2015. № 6. С. 138–143.</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lastRenderedPageBreak/>
        <w:t>Макаров М. А. Оскарження слідчому судді постанови слідчого, прокурора про закриття кримінального провадження. </w:t>
      </w:r>
      <w:r w:rsidRPr="00EC1446">
        <w:rPr>
          <w:i/>
          <w:iCs/>
          <w:color w:val="000000"/>
          <w:sz w:val="28"/>
        </w:rPr>
        <w:t>Судова апеляція</w:t>
      </w:r>
      <w:r w:rsidRPr="00EC1446">
        <w:rPr>
          <w:color w:val="000000"/>
          <w:sz w:val="28"/>
        </w:rPr>
        <w:t>. 2015. № 2. С. 33–40.</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Максименко А. С. Оскарження повідомлення про підозру у кримінальному провадженні. </w:t>
      </w:r>
      <w:r w:rsidRPr="00EC1446">
        <w:rPr>
          <w:i/>
          <w:iCs/>
          <w:color w:val="000000"/>
          <w:sz w:val="28"/>
        </w:rPr>
        <w:t>Юридична наука</w:t>
      </w:r>
      <w:r w:rsidRPr="00EC1446">
        <w:rPr>
          <w:color w:val="000000"/>
          <w:sz w:val="28"/>
        </w:rPr>
        <w:t>. 2020. № 8 (110). С. 199–207.</w:t>
      </w:r>
    </w:p>
    <w:p w:rsidR="00D605BA" w:rsidRPr="00AB1460" w:rsidRDefault="00D605BA" w:rsidP="00EC1446">
      <w:pPr>
        <w:pStyle w:val="a9"/>
        <w:numPr>
          <w:ilvl w:val="0"/>
          <w:numId w:val="3"/>
        </w:numPr>
        <w:spacing w:after="0" w:line="360" w:lineRule="auto"/>
        <w:ind w:left="0" w:firstLine="709"/>
        <w:jc w:val="both"/>
        <w:rPr>
          <w:rFonts w:ascii="Times New Roman" w:hAnsi="Times New Roman" w:cs="Times New Roman"/>
          <w:sz w:val="28"/>
        </w:rPr>
      </w:pPr>
      <w:r w:rsidRPr="00AB1460">
        <w:rPr>
          <w:rFonts w:ascii="Times New Roman" w:hAnsi="Times New Roman" w:cs="Times New Roman"/>
          <w:sz w:val="28"/>
        </w:rPr>
        <w:t>Пчеліна О. В., Фоміна Т. Г. Основи кримінального процесу : навч. посіб. Харків : Харків. нац. ун-т внутр. справ, 2023. 140 с.</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Слінько Д. Оскарження процесуальних рішень щодо звільнення від кримінальної відповідальності. </w:t>
      </w:r>
      <w:r w:rsidRPr="00EC1446">
        <w:rPr>
          <w:i/>
          <w:iCs/>
          <w:color w:val="000000"/>
          <w:sz w:val="28"/>
        </w:rPr>
        <w:t>Вісник Харківського національного університету імені ВН Каразіна. Серія «Право»</w:t>
      </w:r>
      <w:r w:rsidRPr="00EC1446">
        <w:rPr>
          <w:color w:val="000000"/>
          <w:sz w:val="28"/>
        </w:rPr>
        <w:t>. 2018. № 25. С. 124–128.</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Слюсарчук Х. Р. Оскарження повідомлення про підозру у кримінальному провадженні: contra spem spero!. </w:t>
      </w:r>
      <w:r w:rsidRPr="00EC1446">
        <w:rPr>
          <w:i/>
          <w:iCs/>
          <w:color w:val="000000"/>
          <w:sz w:val="28"/>
        </w:rPr>
        <w:t>Право і суспільство</w:t>
      </w:r>
      <w:r w:rsidRPr="00EC1446">
        <w:rPr>
          <w:color w:val="000000"/>
          <w:sz w:val="28"/>
        </w:rPr>
        <w:t>. 2019. № 4. С. 314–322.</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Тітко І. Окремі питання реалізації права на оскарження судового рішення як форма захисту приватного інтересу в кримінальному процесі. </w:t>
      </w:r>
      <w:r w:rsidRPr="00EC1446">
        <w:rPr>
          <w:i/>
          <w:iCs/>
          <w:color w:val="000000"/>
          <w:sz w:val="28"/>
        </w:rPr>
        <w:t>Науковий вісник Ужгородського національного університету</w:t>
      </w:r>
      <w:r w:rsidRPr="00EC1446">
        <w:rPr>
          <w:color w:val="000000"/>
          <w:sz w:val="28"/>
        </w:rPr>
        <w:t>. 2017. Т. 2, № 45. С. 127–130.</w:t>
      </w:r>
    </w:p>
    <w:p w:rsidR="00D605BA" w:rsidRDefault="00D605BA" w:rsidP="00EC1446">
      <w:pPr>
        <w:pStyle w:val="a9"/>
        <w:numPr>
          <w:ilvl w:val="0"/>
          <w:numId w:val="3"/>
        </w:numPr>
        <w:spacing w:after="0" w:line="360" w:lineRule="auto"/>
        <w:ind w:left="0" w:firstLine="709"/>
        <w:jc w:val="both"/>
        <w:rPr>
          <w:rFonts w:ascii="Times New Roman" w:hAnsi="Times New Roman" w:cs="Times New Roman"/>
          <w:sz w:val="28"/>
        </w:rPr>
      </w:pPr>
      <w:r w:rsidRPr="00AB1460">
        <w:rPr>
          <w:rFonts w:ascii="Times New Roman" w:hAnsi="Times New Roman" w:cs="Times New Roman"/>
          <w:sz w:val="28"/>
        </w:rPr>
        <w:t>Фомінова Т. Г. Кримінальний процес України: у питаннях і відповідях : навч. посіб. Харків : ХНУВС, 2021. 300 с.</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Шестаков В. І. Поняття і зміст права на оскарження рішень, дій чи бездіяльності у кримінальному провадженні. </w:t>
      </w:r>
      <w:r w:rsidRPr="00EC1446">
        <w:rPr>
          <w:i/>
          <w:iCs/>
          <w:color w:val="000000"/>
          <w:sz w:val="28"/>
        </w:rPr>
        <w:t>Право.ua.</w:t>
      </w:r>
      <w:r w:rsidRPr="00EC1446">
        <w:rPr>
          <w:color w:val="000000"/>
          <w:sz w:val="28"/>
        </w:rPr>
        <w:t> 2018. № 1. С. 97–102.</w:t>
      </w:r>
    </w:p>
    <w:p w:rsidR="00D605BA" w:rsidRPr="00EC1446" w:rsidRDefault="00D605BA" w:rsidP="00EC1446">
      <w:pPr>
        <w:pStyle w:val="aa"/>
        <w:numPr>
          <w:ilvl w:val="0"/>
          <w:numId w:val="3"/>
        </w:numPr>
        <w:spacing w:before="0" w:beforeAutospacing="0" w:after="0" w:afterAutospacing="0" w:line="360" w:lineRule="auto"/>
        <w:ind w:left="0" w:firstLine="709"/>
        <w:jc w:val="both"/>
        <w:rPr>
          <w:color w:val="000000"/>
          <w:sz w:val="28"/>
        </w:rPr>
      </w:pPr>
      <w:r w:rsidRPr="00EC1446">
        <w:rPr>
          <w:color w:val="000000"/>
          <w:sz w:val="28"/>
        </w:rPr>
        <w:t>Шестаков В. І. Рішення, дії чи бездіяльність слідчого або прокурора як предмет оскарження у кримінальному провадженні. </w:t>
      </w:r>
      <w:r w:rsidRPr="00EC1446">
        <w:rPr>
          <w:i/>
          <w:iCs/>
          <w:color w:val="000000"/>
          <w:sz w:val="28"/>
        </w:rPr>
        <w:t>Форум права</w:t>
      </w:r>
      <w:r w:rsidRPr="00EC1446">
        <w:rPr>
          <w:color w:val="000000"/>
          <w:sz w:val="28"/>
        </w:rPr>
        <w:t>. 2018. № 3. С. 131–140.</w:t>
      </w:r>
    </w:p>
    <w:p w:rsidR="005D7DC4" w:rsidRPr="005D7DC4" w:rsidRDefault="005D7DC4" w:rsidP="005D7DC4">
      <w:pPr>
        <w:spacing w:after="0" w:line="360" w:lineRule="auto"/>
        <w:ind w:firstLine="709"/>
        <w:jc w:val="both"/>
        <w:rPr>
          <w:rFonts w:ascii="Times New Roman" w:hAnsi="Times New Roman" w:cs="Times New Roman"/>
          <w:sz w:val="28"/>
        </w:rPr>
      </w:pPr>
    </w:p>
    <w:sectPr w:rsidR="005D7DC4" w:rsidRPr="005D7DC4" w:rsidSect="00511E6A">
      <w:headerReference w:type="default" r:id="rId7"/>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1618" w:rsidRDefault="00791618" w:rsidP="00511E6A">
      <w:pPr>
        <w:spacing w:after="0" w:line="240" w:lineRule="auto"/>
      </w:pPr>
      <w:r>
        <w:separator/>
      </w:r>
    </w:p>
  </w:endnote>
  <w:endnote w:type="continuationSeparator" w:id="0">
    <w:p w:rsidR="00791618" w:rsidRDefault="00791618" w:rsidP="00511E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1618" w:rsidRDefault="00791618" w:rsidP="00511E6A">
      <w:pPr>
        <w:spacing w:after="0" w:line="240" w:lineRule="auto"/>
      </w:pPr>
      <w:r>
        <w:separator/>
      </w:r>
    </w:p>
  </w:footnote>
  <w:footnote w:type="continuationSeparator" w:id="0">
    <w:p w:rsidR="00791618" w:rsidRDefault="00791618" w:rsidP="00511E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57709895"/>
      <w:docPartObj>
        <w:docPartGallery w:val="Page Numbers (Top of Page)"/>
        <w:docPartUnique/>
      </w:docPartObj>
    </w:sdtPr>
    <w:sdtEndPr/>
    <w:sdtContent>
      <w:p w:rsidR="00511E6A" w:rsidRDefault="00511E6A">
        <w:pPr>
          <w:pStyle w:val="a5"/>
          <w:jc w:val="right"/>
        </w:pPr>
        <w:r>
          <w:fldChar w:fldCharType="begin"/>
        </w:r>
        <w:r>
          <w:instrText>PAGE   \* MERGEFORMAT</w:instrText>
        </w:r>
        <w:r>
          <w:fldChar w:fldCharType="separate"/>
        </w:r>
        <w:r w:rsidR="00256339" w:rsidRPr="00256339">
          <w:rPr>
            <w:noProof/>
            <w:lang w:val="ru-RU"/>
          </w:rPr>
          <w:t>25</w:t>
        </w:r>
        <w:r>
          <w:fldChar w:fldCharType="end"/>
        </w:r>
      </w:p>
    </w:sdtContent>
  </w:sdt>
  <w:p w:rsidR="00511E6A" w:rsidRDefault="00511E6A">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F32C8A"/>
    <w:multiLevelType w:val="hybridMultilevel"/>
    <w:tmpl w:val="AC84CA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A625788"/>
    <w:multiLevelType w:val="hybridMultilevel"/>
    <w:tmpl w:val="AC84CA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6B82264E"/>
    <w:multiLevelType w:val="hybridMultilevel"/>
    <w:tmpl w:val="DE2CC4EA"/>
    <w:lvl w:ilvl="0" w:tplc="2D2C3B4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349B"/>
    <w:rsid w:val="00072A8B"/>
    <w:rsid w:val="000857AF"/>
    <w:rsid w:val="000D52EF"/>
    <w:rsid w:val="000E7CB6"/>
    <w:rsid w:val="001519E1"/>
    <w:rsid w:val="00160E7C"/>
    <w:rsid w:val="002100C2"/>
    <w:rsid w:val="00256339"/>
    <w:rsid w:val="003670D5"/>
    <w:rsid w:val="0038349B"/>
    <w:rsid w:val="003D2118"/>
    <w:rsid w:val="005003D9"/>
    <w:rsid w:val="00511E6A"/>
    <w:rsid w:val="0053130F"/>
    <w:rsid w:val="005468BF"/>
    <w:rsid w:val="005C0458"/>
    <w:rsid w:val="005D7DC4"/>
    <w:rsid w:val="0067713D"/>
    <w:rsid w:val="006C7FB9"/>
    <w:rsid w:val="00791618"/>
    <w:rsid w:val="00863941"/>
    <w:rsid w:val="008707C9"/>
    <w:rsid w:val="008A633C"/>
    <w:rsid w:val="009A7A2D"/>
    <w:rsid w:val="009C5D73"/>
    <w:rsid w:val="009F53D9"/>
    <w:rsid w:val="00A44A83"/>
    <w:rsid w:val="00A858B6"/>
    <w:rsid w:val="00B004C1"/>
    <w:rsid w:val="00BE2622"/>
    <w:rsid w:val="00BE7C34"/>
    <w:rsid w:val="00C3129D"/>
    <w:rsid w:val="00CA6F62"/>
    <w:rsid w:val="00CD3455"/>
    <w:rsid w:val="00CD739F"/>
    <w:rsid w:val="00D22CB3"/>
    <w:rsid w:val="00D30610"/>
    <w:rsid w:val="00D566AB"/>
    <w:rsid w:val="00D605BA"/>
    <w:rsid w:val="00D702DF"/>
    <w:rsid w:val="00DB32E8"/>
    <w:rsid w:val="00DB7492"/>
    <w:rsid w:val="00DD391B"/>
    <w:rsid w:val="00DE2A06"/>
    <w:rsid w:val="00E22913"/>
    <w:rsid w:val="00EC07A7"/>
    <w:rsid w:val="00EC1446"/>
    <w:rsid w:val="00F856C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C0FEF6"/>
  <w15:chartTrackingRefBased/>
  <w15:docId w15:val="{F6796D22-06FF-4D04-AD77-43A423AC6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B32E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511E6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1"/>
    <w:link w:val="a4"/>
    <w:qFormat/>
    <w:rsid w:val="00DB32E8"/>
    <w:pPr>
      <w:spacing w:line="240" w:lineRule="auto"/>
      <w:jc w:val="center"/>
    </w:pPr>
    <w:rPr>
      <w:rFonts w:ascii="Times New Roman" w:eastAsia="Times New Roman" w:hAnsi="Times New Roman" w:cs="Times New Roman"/>
      <w:b/>
      <w:bCs/>
    </w:rPr>
  </w:style>
  <w:style w:type="character" w:customStyle="1" w:styleId="a4">
    <w:name w:val="заголовок Знак"/>
    <w:basedOn w:val="10"/>
    <w:link w:val="a3"/>
    <w:rsid w:val="00DB32E8"/>
    <w:rPr>
      <w:rFonts w:ascii="Times New Roman" w:eastAsia="Times New Roman" w:hAnsi="Times New Roman" w:cs="Times New Roman"/>
      <w:b/>
      <w:bCs/>
      <w:color w:val="2E74B5" w:themeColor="accent1" w:themeShade="BF"/>
      <w:sz w:val="32"/>
      <w:szCs w:val="32"/>
    </w:rPr>
  </w:style>
  <w:style w:type="character" w:customStyle="1" w:styleId="10">
    <w:name w:val="Заголовок 1 Знак"/>
    <w:basedOn w:val="a0"/>
    <w:link w:val="1"/>
    <w:uiPriority w:val="9"/>
    <w:rsid w:val="00DB32E8"/>
    <w:rPr>
      <w:rFonts w:asciiTheme="majorHAnsi" w:eastAsiaTheme="majorEastAsia" w:hAnsiTheme="majorHAnsi" w:cstheme="majorBidi"/>
      <w:color w:val="2E74B5" w:themeColor="accent1" w:themeShade="BF"/>
      <w:sz w:val="32"/>
      <w:szCs w:val="32"/>
    </w:rPr>
  </w:style>
  <w:style w:type="paragraph" w:styleId="a5">
    <w:name w:val="header"/>
    <w:basedOn w:val="a"/>
    <w:link w:val="a6"/>
    <w:uiPriority w:val="99"/>
    <w:unhideWhenUsed/>
    <w:rsid w:val="00511E6A"/>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511E6A"/>
  </w:style>
  <w:style w:type="paragraph" w:styleId="a7">
    <w:name w:val="footer"/>
    <w:basedOn w:val="a"/>
    <w:link w:val="a8"/>
    <w:uiPriority w:val="99"/>
    <w:unhideWhenUsed/>
    <w:rsid w:val="00511E6A"/>
    <w:pPr>
      <w:tabs>
        <w:tab w:val="center" w:pos="4677"/>
        <w:tab w:val="right" w:pos="9355"/>
      </w:tabs>
      <w:spacing w:after="0" w:line="240" w:lineRule="auto"/>
    </w:pPr>
  </w:style>
  <w:style w:type="character" w:customStyle="1" w:styleId="a8">
    <w:name w:val="Нижній колонтитул Знак"/>
    <w:basedOn w:val="a0"/>
    <w:link w:val="a7"/>
    <w:uiPriority w:val="99"/>
    <w:rsid w:val="00511E6A"/>
  </w:style>
  <w:style w:type="character" w:customStyle="1" w:styleId="30">
    <w:name w:val="Заголовок 3 Знак"/>
    <w:basedOn w:val="a0"/>
    <w:link w:val="3"/>
    <w:uiPriority w:val="9"/>
    <w:semiHidden/>
    <w:rsid w:val="00511E6A"/>
    <w:rPr>
      <w:rFonts w:asciiTheme="majorHAnsi" w:eastAsiaTheme="majorEastAsia" w:hAnsiTheme="majorHAnsi" w:cstheme="majorBidi"/>
      <w:color w:val="1F4D78" w:themeColor="accent1" w:themeShade="7F"/>
      <w:sz w:val="24"/>
      <w:szCs w:val="24"/>
    </w:rPr>
  </w:style>
  <w:style w:type="paragraph" w:styleId="a9">
    <w:name w:val="List Paragraph"/>
    <w:basedOn w:val="a"/>
    <w:uiPriority w:val="34"/>
    <w:qFormat/>
    <w:rsid w:val="00C3129D"/>
    <w:pPr>
      <w:ind w:left="720"/>
      <w:contextualSpacing/>
    </w:pPr>
  </w:style>
  <w:style w:type="paragraph" w:styleId="aa">
    <w:name w:val="Normal (Web)"/>
    <w:basedOn w:val="a"/>
    <w:uiPriority w:val="99"/>
    <w:unhideWhenUsed/>
    <w:rsid w:val="00EC1446"/>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b">
    <w:name w:val="Hyperlink"/>
    <w:basedOn w:val="a0"/>
    <w:uiPriority w:val="99"/>
    <w:semiHidden/>
    <w:unhideWhenUsed/>
    <w:rsid w:val="00EC144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44772">
      <w:bodyDiv w:val="1"/>
      <w:marLeft w:val="0"/>
      <w:marRight w:val="0"/>
      <w:marTop w:val="0"/>
      <w:marBottom w:val="0"/>
      <w:divBdr>
        <w:top w:val="none" w:sz="0" w:space="0" w:color="auto"/>
        <w:left w:val="none" w:sz="0" w:space="0" w:color="auto"/>
        <w:bottom w:val="none" w:sz="0" w:space="0" w:color="auto"/>
        <w:right w:val="none" w:sz="0" w:space="0" w:color="auto"/>
      </w:divBdr>
      <w:divsChild>
        <w:div w:id="461921404">
          <w:marLeft w:val="0"/>
          <w:marRight w:val="0"/>
          <w:marTop w:val="0"/>
          <w:marBottom w:val="0"/>
          <w:divBdr>
            <w:top w:val="none" w:sz="0" w:space="0" w:color="auto"/>
            <w:left w:val="none" w:sz="0" w:space="0" w:color="auto"/>
            <w:bottom w:val="none" w:sz="0" w:space="0" w:color="auto"/>
            <w:right w:val="none" w:sz="0" w:space="0" w:color="auto"/>
          </w:divBdr>
        </w:div>
        <w:div w:id="301934609">
          <w:marLeft w:val="0"/>
          <w:marRight w:val="0"/>
          <w:marTop w:val="0"/>
          <w:marBottom w:val="0"/>
          <w:divBdr>
            <w:top w:val="none" w:sz="0" w:space="0" w:color="auto"/>
            <w:left w:val="none" w:sz="0" w:space="0" w:color="auto"/>
            <w:bottom w:val="none" w:sz="0" w:space="0" w:color="auto"/>
            <w:right w:val="none" w:sz="0" w:space="0" w:color="auto"/>
          </w:divBdr>
        </w:div>
        <w:div w:id="744107170">
          <w:marLeft w:val="0"/>
          <w:marRight w:val="0"/>
          <w:marTop w:val="0"/>
          <w:marBottom w:val="0"/>
          <w:divBdr>
            <w:top w:val="none" w:sz="0" w:space="0" w:color="auto"/>
            <w:left w:val="none" w:sz="0" w:space="0" w:color="auto"/>
            <w:bottom w:val="none" w:sz="0" w:space="0" w:color="auto"/>
            <w:right w:val="none" w:sz="0" w:space="0" w:color="auto"/>
          </w:divBdr>
        </w:div>
        <w:div w:id="1785028791">
          <w:marLeft w:val="0"/>
          <w:marRight w:val="0"/>
          <w:marTop w:val="0"/>
          <w:marBottom w:val="0"/>
          <w:divBdr>
            <w:top w:val="none" w:sz="0" w:space="0" w:color="auto"/>
            <w:left w:val="none" w:sz="0" w:space="0" w:color="auto"/>
            <w:bottom w:val="none" w:sz="0" w:space="0" w:color="auto"/>
            <w:right w:val="none" w:sz="0" w:space="0" w:color="auto"/>
          </w:divBdr>
        </w:div>
      </w:divsChild>
    </w:div>
    <w:div w:id="48847016">
      <w:bodyDiv w:val="1"/>
      <w:marLeft w:val="0"/>
      <w:marRight w:val="0"/>
      <w:marTop w:val="0"/>
      <w:marBottom w:val="0"/>
      <w:divBdr>
        <w:top w:val="none" w:sz="0" w:space="0" w:color="auto"/>
        <w:left w:val="none" w:sz="0" w:space="0" w:color="auto"/>
        <w:bottom w:val="none" w:sz="0" w:space="0" w:color="auto"/>
        <w:right w:val="none" w:sz="0" w:space="0" w:color="auto"/>
      </w:divBdr>
      <w:divsChild>
        <w:div w:id="265045892">
          <w:marLeft w:val="0"/>
          <w:marRight w:val="0"/>
          <w:marTop w:val="0"/>
          <w:marBottom w:val="0"/>
          <w:divBdr>
            <w:top w:val="none" w:sz="0" w:space="0" w:color="auto"/>
            <w:left w:val="none" w:sz="0" w:space="0" w:color="auto"/>
            <w:bottom w:val="none" w:sz="0" w:space="0" w:color="auto"/>
            <w:right w:val="none" w:sz="0" w:space="0" w:color="auto"/>
          </w:divBdr>
        </w:div>
        <w:div w:id="742990075">
          <w:marLeft w:val="0"/>
          <w:marRight w:val="0"/>
          <w:marTop w:val="0"/>
          <w:marBottom w:val="0"/>
          <w:divBdr>
            <w:top w:val="none" w:sz="0" w:space="0" w:color="auto"/>
            <w:left w:val="none" w:sz="0" w:space="0" w:color="auto"/>
            <w:bottom w:val="none" w:sz="0" w:space="0" w:color="auto"/>
            <w:right w:val="none" w:sz="0" w:space="0" w:color="auto"/>
          </w:divBdr>
        </w:div>
        <w:div w:id="1099063245">
          <w:marLeft w:val="0"/>
          <w:marRight w:val="0"/>
          <w:marTop w:val="0"/>
          <w:marBottom w:val="0"/>
          <w:divBdr>
            <w:top w:val="none" w:sz="0" w:space="0" w:color="auto"/>
            <w:left w:val="none" w:sz="0" w:space="0" w:color="auto"/>
            <w:bottom w:val="none" w:sz="0" w:space="0" w:color="auto"/>
            <w:right w:val="none" w:sz="0" w:space="0" w:color="auto"/>
          </w:divBdr>
        </w:div>
        <w:div w:id="1902326561">
          <w:marLeft w:val="0"/>
          <w:marRight w:val="0"/>
          <w:marTop w:val="0"/>
          <w:marBottom w:val="0"/>
          <w:divBdr>
            <w:top w:val="none" w:sz="0" w:space="0" w:color="auto"/>
            <w:left w:val="none" w:sz="0" w:space="0" w:color="auto"/>
            <w:bottom w:val="none" w:sz="0" w:space="0" w:color="auto"/>
            <w:right w:val="none" w:sz="0" w:space="0" w:color="auto"/>
          </w:divBdr>
        </w:div>
      </w:divsChild>
    </w:div>
    <w:div w:id="51658265">
      <w:bodyDiv w:val="1"/>
      <w:marLeft w:val="0"/>
      <w:marRight w:val="0"/>
      <w:marTop w:val="0"/>
      <w:marBottom w:val="0"/>
      <w:divBdr>
        <w:top w:val="none" w:sz="0" w:space="0" w:color="auto"/>
        <w:left w:val="none" w:sz="0" w:space="0" w:color="auto"/>
        <w:bottom w:val="none" w:sz="0" w:space="0" w:color="auto"/>
        <w:right w:val="none" w:sz="0" w:space="0" w:color="auto"/>
      </w:divBdr>
    </w:div>
    <w:div w:id="57481445">
      <w:bodyDiv w:val="1"/>
      <w:marLeft w:val="0"/>
      <w:marRight w:val="0"/>
      <w:marTop w:val="0"/>
      <w:marBottom w:val="0"/>
      <w:divBdr>
        <w:top w:val="none" w:sz="0" w:space="0" w:color="auto"/>
        <w:left w:val="none" w:sz="0" w:space="0" w:color="auto"/>
        <w:bottom w:val="none" w:sz="0" w:space="0" w:color="auto"/>
        <w:right w:val="none" w:sz="0" w:space="0" w:color="auto"/>
      </w:divBdr>
    </w:div>
    <w:div w:id="167599100">
      <w:bodyDiv w:val="1"/>
      <w:marLeft w:val="0"/>
      <w:marRight w:val="0"/>
      <w:marTop w:val="0"/>
      <w:marBottom w:val="0"/>
      <w:divBdr>
        <w:top w:val="none" w:sz="0" w:space="0" w:color="auto"/>
        <w:left w:val="none" w:sz="0" w:space="0" w:color="auto"/>
        <w:bottom w:val="none" w:sz="0" w:space="0" w:color="auto"/>
        <w:right w:val="none" w:sz="0" w:space="0" w:color="auto"/>
      </w:divBdr>
      <w:divsChild>
        <w:div w:id="2143309338">
          <w:marLeft w:val="0"/>
          <w:marRight w:val="0"/>
          <w:marTop w:val="0"/>
          <w:marBottom w:val="0"/>
          <w:divBdr>
            <w:top w:val="none" w:sz="0" w:space="0" w:color="auto"/>
            <w:left w:val="none" w:sz="0" w:space="0" w:color="auto"/>
            <w:bottom w:val="none" w:sz="0" w:space="0" w:color="auto"/>
            <w:right w:val="none" w:sz="0" w:space="0" w:color="auto"/>
          </w:divBdr>
        </w:div>
        <w:div w:id="1465536805">
          <w:marLeft w:val="0"/>
          <w:marRight w:val="0"/>
          <w:marTop w:val="0"/>
          <w:marBottom w:val="0"/>
          <w:divBdr>
            <w:top w:val="none" w:sz="0" w:space="0" w:color="auto"/>
            <w:left w:val="none" w:sz="0" w:space="0" w:color="auto"/>
            <w:bottom w:val="none" w:sz="0" w:space="0" w:color="auto"/>
            <w:right w:val="none" w:sz="0" w:space="0" w:color="auto"/>
          </w:divBdr>
        </w:div>
      </w:divsChild>
    </w:div>
    <w:div w:id="169758712">
      <w:bodyDiv w:val="1"/>
      <w:marLeft w:val="0"/>
      <w:marRight w:val="0"/>
      <w:marTop w:val="0"/>
      <w:marBottom w:val="0"/>
      <w:divBdr>
        <w:top w:val="none" w:sz="0" w:space="0" w:color="auto"/>
        <w:left w:val="none" w:sz="0" w:space="0" w:color="auto"/>
        <w:bottom w:val="none" w:sz="0" w:space="0" w:color="auto"/>
        <w:right w:val="none" w:sz="0" w:space="0" w:color="auto"/>
      </w:divBdr>
    </w:div>
    <w:div w:id="180359092">
      <w:bodyDiv w:val="1"/>
      <w:marLeft w:val="0"/>
      <w:marRight w:val="0"/>
      <w:marTop w:val="0"/>
      <w:marBottom w:val="0"/>
      <w:divBdr>
        <w:top w:val="none" w:sz="0" w:space="0" w:color="auto"/>
        <w:left w:val="none" w:sz="0" w:space="0" w:color="auto"/>
        <w:bottom w:val="none" w:sz="0" w:space="0" w:color="auto"/>
        <w:right w:val="none" w:sz="0" w:space="0" w:color="auto"/>
      </w:divBdr>
      <w:divsChild>
        <w:div w:id="564221146">
          <w:marLeft w:val="0"/>
          <w:marRight w:val="0"/>
          <w:marTop w:val="0"/>
          <w:marBottom w:val="0"/>
          <w:divBdr>
            <w:top w:val="none" w:sz="0" w:space="0" w:color="auto"/>
            <w:left w:val="none" w:sz="0" w:space="0" w:color="auto"/>
            <w:bottom w:val="none" w:sz="0" w:space="0" w:color="auto"/>
            <w:right w:val="none" w:sz="0" w:space="0" w:color="auto"/>
          </w:divBdr>
        </w:div>
        <w:div w:id="1135833327">
          <w:marLeft w:val="0"/>
          <w:marRight w:val="0"/>
          <w:marTop w:val="0"/>
          <w:marBottom w:val="0"/>
          <w:divBdr>
            <w:top w:val="none" w:sz="0" w:space="0" w:color="auto"/>
            <w:left w:val="none" w:sz="0" w:space="0" w:color="auto"/>
            <w:bottom w:val="none" w:sz="0" w:space="0" w:color="auto"/>
            <w:right w:val="none" w:sz="0" w:space="0" w:color="auto"/>
          </w:divBdr>
        </w:div>
        <w:div w:id="649746180">
          <w:marLeft w:val="0"/>
          <w:marRight w:val="0"/>
          <w:marTop w:val="0"/>
          <w:marBottom w:val="0"/>
          <w:divBdr>
            <w:top w:val="none" w:sz="0" w:space="0" w:color="auto"/>
            <w:left w:val="none" w:sz="0" w:space="0" w:color="auto"/>
            <w:bottom w:val="none" w:sz="0" w:space="0" w:color="auto"/>
            <w:right w:val="none" w:sz="0" w:space="0" w:color="auto"/>
          </w:divBdr>
        </w:div>
        <w:div w:id="1189565765">
          <w:marLeft w:val="0"/>
          <w:marRight w:val="0"/>
          <w:marTop w:val="0"/>
          <w:marBottom w:val="0"/>
          <w:divBdr>
            <w:top w:val="none" w:sz="0" w:space="0" w:color="auto"/>
            <w:left w:val="none" w:sz="0" w:space="0" w:color="auto"/>
            <w:bottom w:val="none" w:sz="0" w:space="0" w:color="auto"/>
            <w:right w:val="none" w:sz="0" w:space="0" w:color="auto"/>
          </w:divBdr>
        </w:div>
        <w:div w:id="1585185127">
          <w:marLeft w:val="0"/>
          <w:marRight w:val="0"/>
          <w:marTop w:val="0"/>
          <w:marBottom w:val="0"/>
          <w:divBdr>
            <w:top w:val="none" w:sz="0" w:space="0" w:color="auto"/>
            <w:left w:val="none" w:sz="0" w:space="0" w:color="auto"/>
            <w:bottom w:val="none" w:sz="0" w:space="0" w:color="auto"/>
            <w:right w:val="none" w:sz="0" w:space="0" w:color="auto"/>
          </w:divBdr>
        </w:div>
        <w:div w:id="1667128937">
          <w:marLeft w:val="0"/>
          <w:marRight w:val="0"/>
          <w:marTop w:val="0"/>
          <w:marBottom w:val="0"/>
          <w:divBdr>
            <w:top w:val="none" w:sz="0" w:space="0" w:color="auto"/>
            <w:left w:val="none" w:sz="0" w:space="0" w:color="auto"/>
            <w:bottom w:val="none" w:sz="0" w:space="0" w:color="auto"/>
            <w:right w:val="none" w:sz="0" w:space="0" w:color="auto"/>
          </w:divBdr>
        </w:div>
        <w:div w:id="13389572">
          <w:marLeft w:val="0"/>
          <w:marRight w:val="0"/>
          <w:marTop w:val="0"/>
          <w:marBottom w:val="0"/>
          <w:divBdr>
            <w:top w:val="none" w:sz="0" w:space="0" w:color="auto"/>
            <w:left w:val="none" w:sz="0" w:space="0" w:color="auto"/>
            <w:bottom w:val="none" w:sz="0" w:space="0" w:color="auto"/>
            <w:right w:val="none" w:sz="0" w:space="0" w:color="auto"/>
          </w:divBdr>
        </w:div>
        <w:div w:id="1718432219">
          <w:marLeft w:val="0"/>
          <w:marRight w:val="0"/>
          <w:marTop w:val="0"/>
          <w:marBottom w:val="0"/>
          <w:divBdr>
            <w:top w:val="none" w:sz="0" w:space="0" w:color="auto"/>
            <w:left w:val="none" w:sz="0" w:space="0" w:color="auto"/>
            <w:bottom w:val="none" w:sz="0" w:space="0" w:color="auto"/>
            <w:right w:val="none" w:sz="0" w:space="0" w:color="auto"/>
          </w:divBdr>
        </w:div>
        <w:div w:id="791822267">
          <w:marLeft w:val="0"/>
          <w:marRight w:val="0"/>
          <w:marTop w:val="0"/>
          <w:marBottom w:val="0"/>
          <w:divBdr>
            <w:top w:val="none" w:sz="0" w:space="0" w:color="auto"/>
            <w:left w:val="none" w:sz="0" w:space="0" w:color="auto"/>
            <w:bottom w:val="none" w:sz="0" w:space="0" w:color="auto"/>
            <w:right w:val="none" w:sz="0" w:space="0" w:color="auto"/>
          </w:divBdr>
        </w:div>
        <w:div w:id="300690444">
          <w:marLeft w:val="0"/>
          <w:marRight w:val="0"/>
          <w:marTop w:val="0"/>
          <w:marBottom w:val="0"/>
          <w:divBdr>
            <w:top w:val="none" w:sz="0" w:space="0" w:color="auto"/>
            <w:left w:val="none" w:sz="0" w:space="0" w:color="auto"/>
            <w:bottom w:val="none" w:sz="0" w:space="0" w:color="auto"/>
            <w:right w:val="none" w:sz="0" w:space="0" w:color="auto"/>
          </w:divBdr>
        </w:div>
        <w:div w:id="1574389269">
          <w:marLeft w:val="0"/>
          <w:marRight w:val="0"/>
          <w:marTop w:val="0"/>
          <w:marBottom w:val="0"/>
          <w:divBdr>
            <w:top w:val="none" w:sz="0" w:space="0" w:color="auto"/>
            <w:left w:val="none" w:sz="0" w:space="0" w:color="auto"/>
            <w:bottom w:val="none" w:sz="0" w:space="0" w:color="auto"/>
            <w:right w:val="none" w:sz="0" w:space="0" w:color="auto"/>
          </w:divBdr>
        </w:div>
        <w:div w:id="539172007">
          <w:marLeft w:val="0"/>
          <w:marRight w:val="0"/>
          <w:marTop w:val="0"/>
          <w:marBottom w:val="0"/>
          <w:divBdr>
            <w:top w:val="none" w:sz="0" w:space="0" w:color="auto"/>
            <w:left w:val="none" w:sz="0" w:space="0" w:color="auto"/>
            <w:bottom w:val="none" w:sz="0" w:space="0" w:color="auto"/>
            <w:right w:val="none" w:sz="0" w:space="0" w:color="auto"/>
          </w:divBdr>
        </w:div>
        <w:div w:id="852718924">
          <w:marLeft w:val="0"/>
          <w:marRight w:val="0"/>
          <w:marTop w:val="0"/>
          <w:marBottom w:val="0"/>
          <w:divBdr>
            <w:top w:val="none" w:sz="0" w:space="0" w:color="auto"/>
            <w:left w:val="none" w:sz="0" w:space="0" w:color="auto"/>
            <w:bottom w:val="none" w:sz="0" w:space="0" w:color="auto"/>
            <w:right w:val="none" w:sz="0" w:space="0" w:color="auto"/>
          </w:divBdr>
        </w:div>
        <w:div w:id="267197355">
          <w:marLeft w:val="0"/>
          <w:marRight w:val="0"/>
          <w:marTop w:val="0"/>
          <w:marBottom w:val="0"/>
          <w:divBdr>
            <w:top w:val="none" w:sz="0" w:space="0" w:color="auto"/>
            <w:left w:val="none" w:sz="0" w:space="0" w:color="auto"/>
            <w:bottom w:val="none" w:sz="0" w:space="0" w:color="auto"/>
            <w:right w:val="none" w:sz="0" w:space="0" w:color="auto"/>
          </w:divBdr>
        </w:div>
      </w:divsChild>
    </w:div>
    <w:div w:id="258220100">
      <w:bodyDiv w:val="1"/>
      <w:marLeft w:val="0"/>
      <w:marRight w:val="0"/>
      <w:marTop w:val="0"/>
      <w:marBottom w:val="0"/>
      <w:divBdr>
        <w:top w:val="none" w:sz="0" w:space="0" w:color="auto"/>
        <w:left w:val="none" w:sz="0" w:space="0" w:color="auto"/>
        <w:bottom w:val="none" w:sz="0" w:space="0" w:color="auto"/>
        <w:right w:val="none" w:sz="0" w:space="0" w:color="auto"/>
      </w:divBdr>
      <w:divsChild>
        <w:div w:id="391395522">
          <w:marLeft w:val="0"/>
          <w:marRight w:val="0"/>
          <w:marTop w:val="0"/>
          <w:marBottom w:val="0"/>
          <w:divBdr>
            <w:top w:val="none" w:sz="0" w:space="0" w:color="auto"/>
            <w:left w:val="none" w:sz="0" w:space="0" w:color="auto"/>
            <w:bottom w:val="none" w:sz="0" w:space="0" w:color="auto"/>
            <w:right w:val="none" w:sz="0" w:space="0" w:color="auto"/>
          </w:divBdr>
        </w:div>
        <w:div w:id="1967734222">
          <w:marLeft w:val="0"/>
          <w:marRight w:val="0"/>
          <w:marTop w:val="0"/>
          <w:marBottom w:val="0"/>
          <w:divBdr>
            <w:top w:val="none" w:sz="0" w:space="0" w:color="auto"/>
            <w:left w:val="none" w:sz="0" w:space="0" w:color="auto"/>
            <w:bottom w:val="none" w:sz="0" w:space="0" w:color="auto"/>
            <w:right w:val="none" w:sz="0" w:space="0" w:color="auto"/>
          </w:divBdr>
        </w:div>
        <w:div w:id="801726160">
          <w:marLeft w:val="0"/>
          <w:marRight w:val="0"/>
          <w:marTop w:val="0"/>
          <w:marBottom w:val="0"/>
          <w:divBdr>
            <w:top w:val="none" w:sz="0" w:space="0" w:color="auto"/>
            <w:left w:val="none" w:sz="0" w:space="0" w:color="auto"/>
            <w:bottom w:val="none" w:sz="0" w:space="0" w:color="auto"/>
            <w:right w:val="none" w:sz="0" w:space="0" w:color="auto"/>
          </w:divBdr>
        </w:div>
        <w:div w:id="46731672">
          <w:marLeft w:val="0"/>
          <w:marRight w:val="0"/>
          <w:marTop w:val="0"/>
          <w:marBottom w:val="0"/>
          <w:divBdr>
            <w:top w:val="none" w:sz="0" w:space="0" w:color="auto"/>
            <w:left w:val="none" w:sz="0" w:space="0" w:color="auto"/>
            <w:bottom w:val="none" w:sz="0" w:space="0" w:color="auto"/>
            <w:right w:val="none" w:sz="0" w:space="0" w:color="auto"/>
          </w:divBdr>
        </w:div>
        <w:div w:id="1943606005">
          <w:marLeft w:val="0"/>
          <w:marRight w:val="0"/>
          <w:marTop w:val="0"/>
          <w:marBottom w:val="0"/>
          <w:divBdr>
            <w:top w:val="none" w:sz="0" w:space="0" w:color="auto"/>
            <w:left w:val="none" w:sz="0" w:space="0" w:color="auto"/>
            <w:bottom w:val="none" w:sz="0" w:space="0" w:color="auto"/>
            <w:right w:val="none" w:sz="0" w:space="0" w:color="auto"/>
          </w:divBdr>
        </w:div>
        <w:div w:id="1355769959">
          <w:marLeft w:val="0"/>
          <w:marRight w:val="0"/>
          <w:marTop w:val="0"/>
          <w:marBottom w:val="0"/>
          <w:divBdr>
            <w:top w:val="none" w:sz="0" w:space="0" w:color="auto"/>
            <w:left w:val="none" w:sz="0" w:space="0" w:color="auto"/>
            <w:bottom w:val="none" w:sz="0" w:space="0" w:color="auto"/>
            <w:right w:val="none" w:sz="0" w:space="0" w:color="auto"/>
          </w:divBdr>
        </w:div>
        <w:div w:id="1690525886">
          <w:marLeft w:val="0"/>
          <w:marRight w:val="0"/>
          <w:marTop w:val="0"/>
          <w:marBottom w:val="0"/>
          <w:divBdr>
            <w:top w:val="none" w:sz="0" w:space="0" w:color="auto"/>
            <w:left w:val="none" w:sz="0" w:space="0" w:color="auto"/>
            <w:bottom w:val="none" w:sz="0" w:space="0" w:color="auto"/>
            <w:right w:val="none" w:sz="0" w:space="0" w:color="auto"/>
          </w:divBdr>
        </w:div>
        <w:div w:id="2088264905">
          <w:marLeft w:val="0"/>
          <w:marRight w:val="0"/>
          <w:marTop w:val="0"/>
          <w:marBottom w:val="0"/>
          <w:divBdr>
            <w:top w:val="none" w:sz="0" w:space="0" w:color="auto"/>
            <w:left w:val="none" w:sz="0" w:space="0" w:color="auto"/>
            <w:bottom w:val="none" w:sz="0" w:space="0" w:color="auto"/>
            <w:right w:val="none" w:sz="0" w:space="0" w:color="auto"/>
          </w:divBdr>
        </w:div>
        <w:div w:id="379675089">
          <w:marLeft w:val="0"/>
          <w:marRight w:val="0"/>
          <w:marTop w:val="0"/>
          <w:marBottom w:val="0"/>
          <w:divBdr>
            <w:top w:val="none" w:sz="0" w:space="0" w:color="auto"/>
            <w:left w:val="none" w:sz="0" w:space="0" w:color="auto"/>
            <w:bottom w:val="none" w:sz="0" w:space="0" w:color="auto"/>
            <w:right w:val="none" w:sz="0" w:space="0" w:color="auto"/>
          </w:divBdr>
        </w:div>
        <w:div w:id="1119298448">
          <w:marLeft w:val="0"/>
          <w:marRight w:val="0"/>
          <w:marTop w:val="0"/>
          <w:marBottom w:val="0"/>
          <w:divBdr>
            <w:top w:val="none" w:sz="0" w:space="0" w:color="auto"/>
            <w:left w:val="none" w:sz="0" w:space="0" w:color="auto"/>
            <w:bottom w:val="none" w:sz="0" w:space="0" w:color="auto"/>
            <w:right w:val="none" w:sz="0" w:space="0" w:color="auto"/>
          </w:divBdr>
        </w:div>
        <w:div w:id="1462114756">
          <w:marLeft w:val="0"/>
          <w:marRight w:val="0"/>
          <w:marTop w:val="0"/>
          <w:marBottom w:val="0"/>
          <w:divBdr>
            <w:top w:val="none" w:sz="0" w:space="0" w:color="auto"/>
            <w:left w:val="none" w:sz="0" w:space="0" w:color="auto"/>
            <w:bottom w:val="none" w:sz="0" w:space="0" w:color="auto"/>
            <w:right w:val="none" w:sz="0" w:space="0" w:color="auto"/>
          </w:divBdr>
        </w:div>
        <w:div w:id="332537939">
          <w:marLeft w:val="0"/>
          <w:marRight w:val="0"/>
          <w:marTop w:val="0"/>
          <w:marBottom w:val="0"/>
          <w:divBdr>
            <w:top w:val="none" w:sz="0" w:space="0" w:color="auto"/>
            <w:left w:val="none" w:sz="0" w:space="0" w:color="auto"/>
            <w:bottom w:val="none" w:sz="0" w:space="0" w:color="auto"/>
            <w:right w:val="none" w:sz="0" w:space="0" w:color="auto"/>
          </w:divBdr>
        </w:div>
        <w:div w:id="702554988">
          <w:marLeft w:val="0"/>
          <w:marRight w:val="0"/>
          <w:marTop w:val="0"/>
          <w:marBottom w:val="0"/>
          <w:divBdr>
            <w:top w:val="none" w:sz="0" w:space="0" w:color="auto"/>
            <w:left w:val="none" w:sz="0" w:space="0" w:color="auto"/>
            <w:bottom w:val="none" w:sz="0" w:space="0" w:color="auto"/>
            <w:right w:val="none" w:sz="0" w:space="0" w:color="auto"/>
          </w:divBdr>
        </w:div>
        <w:div w:id="112678269">
          <w:marLeft w:val="0"/>
          <w:marRight w:val="0"/>
          <w:marTop w:val="0"/>
          <w:marBottom w:val="0"/>
          <w:divBdr>
            <w:top w:val="none" w:sz="0" w:space="0" w:color="auto"/>
            <w:left w:val="none" w:sz="0" w:space="0" w:color="auto"/>
            <w:bottom w:val="none" w:sz="0" w:space="0" w:color="auto"/>
            <w:right w:val="none" w:sz="0" w:space="0" w:color="auto"/>
          </w:divBdr>
        </w:div>
        <w:div w:id="1118135977">
          <w:marLeft w:val="0"/>
          <w:marRight w:val="0"/>
          <w:marTop w:val="0"/>
          <w:marBottom w:val="0"/>
          <w:divBdr>
            <w:top w:val="none" w:sz="0" w:space="0" w:color="auto"/>
            <w:left w:val="none" w:sz="0" w:space="0" w:color="auto"/>
            <w:bottom w:val="none" w:sz="0" w:space="0" w:color="auto"/>
            <w:right w:val="none" w:sz="0" w:space="0" w:color="auto"/>
          </w:divBdr>
        </w:div>
        <w:div w:id="2102870797">
          <w:marLeft w:val="0"/>
          <w:marRight w:val="0"/>
          <w:marTop w:val="0"/>
          <w:marBottom w:val="0"/>
          <w:divBdr>
            <w:top w:val="none" w:sz="0" w:space="0" w:color="auto"/>
            <w:left w:val="none" w:sz="0" w:space="0" w:color="auto"/>
            <w:bottom w:val="none" w:sz="0" w:space="0" w:color="auto"/>
            <w:right w:val="none" w:sz="0" w:space="0" w:color="auto"/>
          </w:divBdr>
        </w:div>
        <w:div w:id="1502576404">
          <w:marLeft w:val="0"/>
          <w:marRight w:val="0"/>
          <w:marTop w:val="0"/>
          <w:marBottom w:val="0"/>
          <w:divBdr>
            <w:top w:val="none" w:sz="0" w:space="0" w:color="auto"/>
            <w:left w:val="none" w:sz="0" w:space="0" w:color="auto"/>
            <w:bottom w:val="none" w:sz="0" w:space="0" w:color="auto"/>
            <w:right w:val="none" w:sz="0" w:space="0" w:color="auto"/>
          </w:divBdr>
        </w:div>
        <w:div w:id="1644656045">
          <w:marLeft w:val="0"/>
          <w:marRight w:val="0"/>
          <w:marTop w:val="0"/>
          <w:marBottom w:val="0"/>
          <w:divBdr>
            <w:top w:val="none" w:sz="0" w:space="0" w:color="auto"/>
            <w:left w:val="none" w:sz="0" w:space="0" w:color="auto"/>
            <w:bottom w:val="none" w:sz="0" w:space="0" w:color="auto"/>
            <w:right w:val="none" w:sz="0" w:space="0" w:color="auto"/>
          </w:divBdr>
        </w:div>
        <w:div w:id="545679082">
          <w:marLeft w:val="0"/>
          <w:marRight w:val="0"/>
          <w:marTop w:val="0"/>
          <w:marBottom w:val="0"/>
          <w:divBdr>
            <w:top w:val="none" w:sz="0" w:space="0" w:color="auto"/>
            <w:left w:val="none" w:sz="0" w:space="0" w:color="auto"/>
            <w:bottom w:val="none" w:sz="0" w:space="0" w:color="auto"/>
            <w:right w:val="none" w:sz="0" w:space="0" w:color="auto"/>
          </w:divBdr>
        </w:div>
        <w:div w:id="1054547296">
          <w:marLeft w:val="0"/>
          <w:marRight w:val="0"/>
          <w:marTop w:val="0"/>
          <w:marBottom w:val="0"/>
          <w:divBdr>
            <w:top w:val="none" w:sz="0" w:space="0" w:color="auto"/>
            <w:left w:val="none" w:sz="0" w:space="0" w:color="auto"/>
            <w:bottom w:val="none" w:sz="0" w:space="0" w:color="auto"/>
            <w:right w:val="none" w:sz="0" w:space="0" w:color="auto"/>
          </w:divBdr>
        </w:div>
        <w:div w:id="1807770084">
          <w:marLeft w:val="0"/>
          <w:marRight w:val="0"/>
          <w:marTop w:val="0"/>
          <w:marBottom w:val="0"/>
          <w:divBdr>
            <w:top w:val="none" w:sz="0" w:space="0" w:color="auto"/>
            <w:left w:val="none" w:sz="0" w:space="0" w:color="auto"/>
            <w:bottom w:val="none" w:sz="0" w:space="0" w:color="auto"/>
            <w:right w:val="none" w:sz="0" w:space="0" w:color="auto"/>
          </w:divBdr>
        </w:div>
        <w:div w:id="501045967">
          <w:marLeft w:val="0"/>
          <w:marRight w:val="0"/>
          <w:marTop w:val="0"/>
          <w:marBottom w:val="0"/>
          <w:divBdr>
            <w:top w:val="none" w:sz="0" w:space="0" w:color="auto"/>
            <w:left w:val="none" w:sz="0" w:space="0" w:color="auto"/>
            <w:bottom w:val="none" w:sz="0" w:space="0" w:color="auto"/>
            <w:right w:val="none" w:sz="0" w:space="0" w:color="auto"/>
          </w:divBdr>
        </w:div>
        <w:div w:id="1274509080">
          <w:marLeft w:val="0"/>
          <w:marRight w:val="0"/>
          <w:marTop w:val="0"/>
          <w:marBottom w:val="0"/>
          <w:divBdr>
            <w:top w:val="none" w:sz="0" w:space="0" w:color="auto"/>
            <w:left w:val="none" w:sz="0" w:space="0" w:color="auto"/>
            <w:bottom w:val="none" w:sz="0" w:space="0" w:color="auto"/>
            <w:right w:val="none" w:sz="0" w:space="0" w:color="auto"/>
          </w:divBdr>
        </w:div>
      </w:divsChild>
    </w:div>
    <w:div w:id="331185113">
      <w:bodyDiv w:val="1"/>
      <w:marLeft w:val="0"/>
      <w:marRight w:val="0"/>
      <w:marTop w:val="0"/>
      <w:marBottom w:val="0"/>
      <w:divBdr>
        <w:top w:val="none" w:sz="0" w:space="0" w:color="auto"/>
        <w:left w:val="none" w:sz="0" w:space="0" w:color="auto"/>
        <w:bottom w:val="none" w:sz="0" w:space="0" w:color="auto"/>
        <w:right w:val="none" w:sz="0" w:space="0" w:color="auto"/>
      </w:divBdr>
      <w:divsChild>
        <w:div w:id="1257636801">
          <w:marLeft w:val="0"/>
          <w:marRight w:val="0"/>
          <w:marTop w:val="0"/>
          <w:marBottom w:val="0"/>
          <w:divBdr>
            <w:top w:val="none" w:sz="0" w:space="0" w:color="auto"/>
            <w:left w:val="none" w:sz="0" w:space="0" w:color="auto"/>
            <w:bottom w:val="none" w:sz="0" w:space="0" w:color="auto"/>
            <w:right w:val="none" w:sz="0" w:space="0" w:color="auto"/>
          </w:divBdr>
        </w:div>
        <w:div w:id="106434345">
          <w:marLeft w:val="0"/>
          <w:marRight w:val="0"/>
          <w:marTop w:val="0"/>
          <w:marBottom w:val="0"/>
          <w:divBdr>
            <w:top w:val="none" w:sz="0" w:space="0" w:color="auto"/>
            <w:left w:val="none" w:sz="0" w:space="0" w:color="auto"/>
            <w:bottom w:val="none" w:sz="0" w:space="0" w:color="auto"/>
            <w:right w:val="none" w:sz="0" w:space="0" w:color="auto"/>
          </w:divBdr>
        </w:div>
        <w:div w:id="363143360">
          <w:marLeft w:val="0"/>
          <w:marRight w:val="0"/>
          <w:marTop w:val="0"/>
          <w:marBottom w:val="0"/>
          <w:divBdr>
            <w:top w:val="none" w:sz="0" w:space="0" w:color="auto"/>
            <w:left w:val="none" w:sz="0" w:space="0" w:color="auto"/>
            <w:bottom w:val="none" w:sz="0" w:space="0" w:color="auto"/>
            <w:right w:val="none" w:sz="0" w:space="0" w:color="auto"/>
          </w:divBdr>
        </w:div>
        <w:div w:id="1922790492">
          <w:marLeft w:val="0"/>
          <w:marRight w:val="0"/>
          <w:marTop w:val="0"/>
          <w:marBottom w:val="0"/>
          <w:divBdr>
            <w:top w:val="none" w:sz="0" w:space="0" w:color="auto"/>
            <w:left w:val="none" w:sz="0" w:space="0" w:color="auto"/>
            <w:bottom w:val="none" w:sz="0" w:space="0" w:color="auto"/>
            <w:right w:val="none" w:sz="0" w:space="0" w:color="auto"/>
          </w:divBdr>
        </w:div>
        <w:div w:id="460853004">
          <w:marLeft w:val="0"/>
          <w:marRight w:val="0"/>
          <w:marTop w:val="0"/>
          <w:marBottom w:val="0"/>
          <w:divBdr>
            <w:top w:val="none" w:sz="0" w:space="0" w:color="auto"/>
            <w:left w:val="none" w:sz="0" w:space="0" w:color="auto"/>
            <w:bottom w:val="none" w:sz="0" w:space="0" w:color="auto"/>
            <w:right w:val="none" w:sz="0" w:space="0" w:color="auto"/>
          </w:divBdr>
        </w:div>
        <w:div w:id="1346400788">
          <w:marLeft w:val="0"/>
          <w:marRight w:val="0"/>
          <w:marTop w:val="0"/>
          <w:marBottom w:val="0"/>
          <w:divBdr>
            <w:top w:val="none" w:sz="0" w:space="0" w:color="auto"/>
            <w:left w:val="none" w:sz="0" w:space="0" w:color="auto"/>
            <w:bottom w:val="none" w:sz="0" w:space="0" w:color="auto"/>
            <w:right w:val="none" w:sz="0" w:space="0" w:color="auto"/>
          </w:divBdr>
        </w:div>
      </w:divsChild>
    </w:div>
    <w:div w:id="336539509">
      <w:bodyDiv w:val="1"/>
      <w:marLeft w:val="0"/>
      <w:marRight w:val="0"/>
      <w:marTop w:val="0"/>
      <w:marBottom w:val="0"/>
      <w:divBdr>
        <w:top w:val="none" w:sz="0" w:space="0" w:color="auto"/>
        <w:left w:val="none" w:sz="0" w:space="0" w:color="auto"/>
        <w:bottom w:val="none" w:sz="0" w:space="0" w:color="auto"/>
        <w:right w:val="none" w:sz="0" w:space="0" w:color="auto"/>
      </w:divBdr>
    </w:div>
    <w:div w:id="417409784">
      <w:bodyDiv w:val="1"/>
      <w:marLeft w:val="0"/>
      <w:marRight w:val="0"/>
      <w:marTop w:val="0"/>
      <w:marBottom w:val="0"/>
      <w:divBdr>
        <w:top w:val="none" w:sz="0" w:space="0" w:color="auto"/>
        <w:left w:val="none" w:sz="0" w:space="0" w:color="auto"/>
        <w:bottom w:val="none" w:sz="0" w:space="0" w:color="auto"/>
        <w:right w:val="none" w:sz="0" w:space="0" w:color="auto"/>
      </w:divBdr>
      <w:divsChild>
        <w:div w:id="987168770">
          <w:marLeft w:val="0"/>
          <w:marRight w:val="0"/>
          <w:marTop w:val="0"/>
          <w:marBottom w:val="0"/>
          <w:divBdr>
            <w:top w:val="none" w:sz="0" w:space="0" w:color="auto"/>
            <w:left w:val="none" w:sz="0" w:space="0" w:color="auto"/>
            <w:bottom w:val="none" w:sz="0" w:space="0" w:color="auto"/>
            <w:right w:val="none" w:sz="0" w:space="0" w:color="auto"/>
          </w:divBdr>
        </w:div>
        <w:div w:id="1403987902">
          <w:marLeft w:val="0"/>
          <w:marRight w:val="0"/>
          <w:marTop w:val="0"/>
          <w:marBottom w:val="0"/>
          <w:divBdr>
            <w:top w:val="none" w:sz="0" w:space="0" w:color="auto"/>
            <w:left w:val="none" w:sz="0" w:space="0" w:color="auto"/>
            <w:bottom w:val="none" w:sz="0" w:space="0" w:color="auto"/>
            <w:right w:val="none" w:sz="0" w:space="0" w:color="auto"/>
          </w:divBdr>
        </w:div>
        <w:div w:id="670722693">
          <w:marLeft w:val="0"/>
          <w:marRight w:val="0"/>
          <w:marTop w:val="0"/>
          <w:marBottom w:val="0"/>
          <w:divBdr>
            <w:top w:val="none" w:sz="0" w:space="0" w:color="auto"/>
            <w:left w:val="none" w:sz="0" w:space="0" w:color="auto"/>
            <w:bottom w:val="none" w:sz="0" w:space="0" w:color="auto"/>
            <w:right w:val="none" w:sz="0" w:space="0" w:color="auto"/>
          </w:divBdr>
        </w:div>
        <w:div w:id="348020767">
          <w:marLeft w:val="0"/>
          <w:marRight w:val="0"/>
          <w:marTop w:val="0"/>
          <w:marBottom w:val="0"/>
          <w:divBdr>
            <w:top w:val="none" w:sz="0" w:space="0" w:color="auto"/>
            <w:left w:val="none" w:sz="0" w:space="0" w:color="auto"/>
            <w:bottom w:val="none" w:sz="0" w:space="0" w:color="auto"/>
            <w:right w:val="none" w:sz="0" w:space="0" w:color="auto"/>
          </w:divBdr>
        </w:div>
        <w:div w:id="855538332">
          <w:marLeft w:val="0"/>
          <w:marRight w:val="0"/>
          <w:marTop w:val="0"/>
          <w:marBottom w:val="0"/>
          <w:divBdr>
            <w:top w:val="none" w:sz="0" w:space="0" w:color="auto"/>
            <w:left w:val="none" w:sz="0" w:space="0" w:color="auto"/>
            <w:bottom w:val="none" w:sz="0" w:space="0" w:color="auto"/>
            <w:right w:val="none" w:sz="0" w:space="0" w:color="auto"/>
          </w:divBdr>
        </w:div>
        <w:div w:id="1690525580">
          <w:marLeft w:val="0"/>
          <w:marRight w:val="0"/>
          <w:marTop w:val="0"/>
          <w:marBottom w:val="0"/>
          <w:divBdr>
            <w:top w:val="none" w:sz="0" w:space="0" w:color="auto"/>
            <w:left w:val="none" w:sz="0" w:space="0" w:color="auto"/>
            <w:bottom w:val="none" w:sz="0" w:space="0" w:color="auto"/>
            <w:right w:val="none" w:sz="0" w:space="0" w:color="auto"/>
          </w:divBdr>
        </w:div>
        <w:div w:id="619997566">
          <w:marLeft w:val="0"/>
          <w:marRight w:val="0"/>
          <w:marTop w:val="0"/>
          <w:marBottom w:val="0"/>
          <w:divBdr>
            <w:top w:val="none" w:sz="0" w:space="0" w:color="auto"/>
            <w:left w:val="none" w:sz="0" w:space="0" w:color="auto"/>
            <w:bottom w:val="none" w:sz="0" w:space="0" w:color="auto"/>
            <w:right w:val="none" w:sz="0" w:space="0" w:color="auto"/>
          </w:divBdr>
        </w:div>
        <w:div w:id="640581448">
          <w:marLeft w:val="0"/>
          <w:marRight w:val="0"/>
          <w:marTop w:val="0"/>
          <w:marBottom w:val="0"/>
          <w:divBdr>
            <w:top w:val="none" w:sz="0" w:space="0" w:color="auto"/>
            <w:left w:val="none" w:sz="0" w:space="0" w:color="auto"/>
            <w:bottom w:val="none" w:sz="0" w:space="0" w:color="auto"/>
            <w:right w:val="none" w:sz="0" w:space="0" w:color="auto"/>
          </w:divBdr>
        </w:div>
        <w:div w:id="314795362">
          <w:marLeft w:val="0"/>
          <w:marRight w:val="0"/>
          <w:marTop w:val="0"/>
          <w:marBottom w:val="0"/>
          <w:divBdr>
            <w:top w:val="none" w:sz="0" w:space="0" w:color="auto"/>
            <w:left w:val="none" w:sz="0" w:space="0" w:color="auto"/>
            <w:bottom w:val="none" w:sz="0" w:space="0" w:color="auto"/>
            <w:right w:val="none" w:sz="0" w:space="0" w:color="auto"/>
          </w:divBdr>
        </w:div>
      </w:divsChild>
    </w:div>
    <w:div w:id="457068612">
      <w:bodyDiv w:val="1"/>
      <w:marLeft w:val="0"/>
      <w:marRight w:val="0"/>
      <w:marTop w:val="0"/>
      <w:marBottom w:val="0"/>
      <w:divBdr>
        <w:top w:val="none" w:sz="0" w:space="0" w:color="auto"/>
        <w:left w:val="none" w:sz="0" w:space="0" w:color="auto"/>
        <w:bottom w:val="none" w:sz="0" w:space="0" w:color="auto"/>
        <w:right w:val="none" w:sz="0" w:space="0" w:color="auto"/>
      </w:divBdr>
    </w:div>
    <w:div w:id="567958794">
      <w:bodyDiv w:val="1"/>
      <w:marLeft w:val="0"/>
      <w:marRight w:val="0"/>
      <w:marTop w:val="0"/>
      <w:marBottom w:val="0"/>
      <w:divBdr>
        <w:top w:val="none" w:sz="0" w:space="0" w:color="auto"/>
        <w:left w:val="none" w:sz="0" w:space="0" w:color="auto"/>
        <w:bottom w:val="none" w:sz="0" w:space="0" w:color="auto"/>
        <w:right w:val="none" w:sz="0" w:space="0" w:color="auto"/>
      </w:divBdr>
    </w:div>
    <w:div w:id="603732542">
      <w:bodyDiv w:val="1"/>
      <w:marLeft w:val="0"/>
      <w:marRight w:val="0"/>
      <w:marTop w:val="0"/>
      <w:marBottom w:val="0"/>
      <w:divBdr>
        <w:top w:val="none" w:sz="0" w:space="0" w:color="auto"/>
        <w:left w:val="none" w:sz="0" w:space="0" w:color="auto"/>
        <w:bottom w:val="none" w:sz="0" w:space="0" w:color="auto"/>
        <w:right w:val="none" w:sz="0" w:space="0" w:color="auto"/>
      </w:divBdr>
      <w:divsChild>
        <w:div w:id="1794518383">
          <w:marLeft w:val="0"/>
          <w:marRight w:val="0"/>
          <w:marTop w:val="0"/>
          <w:marBottom w:val="0"/>
          <w:divBdr>
            <w:top w:val="none" w:sz="0" w:space="0" w:color="auto"/>
            <w:left w:val="none" w:sz="0" w:space="0" w:color="auto"/>
            <w:bottom w:val="none" w:sz="0" w:space="0" w:color="auto"/>
            <w:right w:val="none" w:sz="0" w:space="0" w:color="auto"/>
          </w:divBdr>
        </w:div>
        <w:div w:id="3679542">
          <w:marLeft w:val="0"/>
          <w:marRight w:val="0"/>
          <w:marTop w:val="0"/>
          <w:marBottom w:val="0"/>
          <w:divBdr>
            <w:top w:val="none" w:sz="0" w:space="0" w:color="auto"/>
            <w:left w:val="none" w:sz="0" w:space="0" w:color="auto"/>
            <w:bottom w:val="none" w:sz="0" w:space="0" w:color="auto"/>
            <w:right w:val="none" w:sz="0" w:space="0" w:color="auto"/>
          </w:divBdr>
        </w:div>
        <w:div w:id="441993319">
          <w:marLeft w:val="0"/>
          <w:marRight w:val="0"/>
          <w:marTop w:val="0"/>
          <w:marBottom w:val="0"/>
          <w:divBdr>
            <w:top w:val="none" w:sz="0" w:space="0" w:color="auto"/>
            <w:left w:val="none" w:sz="0" w:space="0" w:color="auto"/>
            <w:bottom w:val="none" w:sz="0" w:space="0" w:color="auto"/>
            <w:right w:val="none" w:sz="0" w:space="0" w:color="auto"/>
          </w:divBdr>
        </w:div>
        <w:div w:id="755171672">
          <w:marLeft w:val="0"/>
          <w:marRight w:val="0"/>
          <w:marTop w:val="0"/>
          <w:marBottom w:val="0"/>
          <w:divBdr>
            <w:top w:val="none" w:sz="0" w:space="0" w:color="auto"/>
            <w:left w:val="none" w:sz="0" w:space="0" w:color="auto"/>
            <w:bottom w:val="none" w:sz="0" w:space="0" w:color="auto"/>
            <w:right w:val="none" w:sz="0" w:space="0" w:color="auto"/>
          </w:divBdr>
        </w:div>
        <w:div w:id="124080520">
          <w:marLeft w:val="0"/>
          <w:marRight w:val="0"/>
          <w:marTop w:val="0"/>
          <w:marBottom w:val="0"/>
          <w:divBdr>
            <w:top w:val="none" w:sz="0" w:space="0" w:color="auto"/>
            <w:left w:val="none" w:sz="0" w:space="0" w:color="auto"/>
            <w:bottom w:val="none" w:sz="0" w:space="0" w:color="auto"/>
            <w:right w:val="none" w:sz="0" w:space="0" w:color="auto"/>
          </w:divBdr>
        </w:div>
        <w:div w:id="1756585832">
          <w:marLeft w:val="0"/>
          <w:marRight w:val="0"/>
          <w:marTop w:val="0"/>
          <w:marBottom w:val="0"/>
          <w:divBdr>
            <w:top w:val="none" w:sz="0" w:space="0" w:color="auto"/>
            <w:left w:val="none" w:sz="0" w:space="0" w:color="auto"/>
            <w:bottom w:val="none" w:sz="0" w:space="0" w:color="auto"/>
            <w:right w:val="none" w:sz="0" w:space="0" w:color="auto"/>
          </w:divBdr>
        </w:div>
        <w:div w:id="811139720">
          <w:marLeft w:val="0"/>
          <w:marRight w:val="0"/>
          <w:marTop w:val="0"/>
          <w:marBottom w:val="0"/>
          <w:divBdr>
            <w:top w:val="none" w:sz="0" w:space="0" w:color="auto"/>
            <w:left w:val="none" w:sz="0" w:space="0" w:color="auto"/>
            <w:bottom w:val="none" w:sz="0" w:space="0" w:color="auto"/>
            <w:right w:val="none" w:sz="0" w:space="0" w:color="auto"/>
          </w:divBdr>
        </w:div>
        <w:div w:id="887450999">
          <w:marLeft w:val="0"/>
          <w:marRight w:val="0"/>
          <w:marTop w:val="0"/>
          <w:marBottom w:val="0"/>
          <w:divBdr>
            <w:top w:val="none" w:sz="0" w:space="0" w:color="auto"/>
            <w:left w:val="none" w:sz="0" w:space="0" w:color="auto"/>
            <w:bottom w:val="none" w:sz="0" w:space="0" w:color="auto"/>
            <w:right w:val="none" w:sz="0" w:space="0" w:color="auto"/>
          </w:divBdr>
        </w:div>
      </w:divsChild>
    </w:div>
    <w:div w:id="874121697">
      <w:bodyDiv w:val="1"/>
      <w:marLeft w:val="0"/>
      <w:marRight w:val="0"/>
      <w:marTop w:val="0"/>
      <w:marBottom w:val="0"/>
      <w:divBdr>
        <w:top w:val="none" w:sz="0" w:space="0" w:color="auto"/>
        <w:left w:val="none" w:sz="0" w:space="0" w:color="auto"/>
        <w:bottom w:val="none" w:sz="0" w:space="0" w:color="auto"/>
        <w:right w:val="none" w:sz="0" w:space="0" w:color="auto"/>
      </w:divBdr>
    </w:div>
    <w:div w:id="968128983">
      <w:bodyDiv w:val="1"/>
      <w:marLeft w:val="0"/>
      <w:marRight w:val="0"/>
      <w:marTop w:val="0"/>
      <w:marBottom w:val="0"/>
      <w:divBdr>
        <w:top w:val="none" w:sz="0" w:space="0" w:color="auto"/>
        <w:left w:val="none" w:sz="0" w:space="0" w:color="auto"/>
        <w:bottom w:val="none" w:sz="0" w:space="0" w:color="auto"/>
        <w:right w:val="none" w:sz="0" w:space="0" w:color="auto"/>
      </w:divBdr>
      <w:divsChild>
        <w:div w:id="692614258">
          <w:marLeft w:val="0"/>
          <w:marRight w:val="0"/>
          <w:marTop w:val="0"/>
          <w:marBottom w:val="0"/>
          <w:divBdr>
            <w:top w:val="none" w:sz="0" w:space="0" w:color="auto"/>
            <w:left w:val="none" w:sz="0" w:space="0" w:color="auto"/>
            <w:bottom w:val="none" w:sz="0" w:space="0" w:color="auto"/>
            <w:right w:val="none" w:sz="0" w:space="0" w:color="auto"/>
          </w:divBdr>
        </w:div>
        <w:div w:id="1464887724">
          <w:marLeft w:val="0"/>
          <w:marRight w:val="0"/>
          <w:marTop w:val="0"/>
          <w:marBottom w:val="0"/>
          <w:divBdr>
            <w:top w:val="none" w:sz="0" w:space="0" w:color="auto"/>
            <w:left w:val="none" w:sz="0" w:space="0" w:color="auto"/>
            <w:bottom w:val="none" w:sz="0" w:space="0" w:color="auto"/>
            <w:right w:val="none" w:sz="0" w:space="0" w:color="auto"/>
          </w:divBdr>
        </w:div>
        <w:div w:id="211305122">
          <w:marLeft w:val="0"/>
          <w:marRight w:val="0"/>
          <w:marTop w:val="0"/>
          <w:marBottom w:val="0"/>
          <w:divBdr>
            <w:top w:val="none" w:sz="0" w:space="0" w:color="auto"/>
            <w:left w:val="none" w:sz="0" w:space="0" w:color="auto"/>
            <w:bottom w:val="none" w:sz="0" w:space="0" w:color="auto"/>
            <w:right w:val="none" w:sz="0" w:space="0" w:color="auto"/>
          </w:divBdr>
        </w:div>
        <w:div w:id="1395591497">
          <w:marLeft w:val="0"/>
          <w:marRight w:val="0"/>
          <w:marTop w:val="0"/>
          <w:marBottom w:val="0"/>
          <w:divBdr>
            <w:top w:val="none" w:sz="0" w:space="0" w:color="auto"/>
            <w:left w:val="none" w:sz="0" w:space="0" w:color="auto"/>
            <w:bottom w:val="none" w:sz="0" w:space="0" w:color="auto"/>
            <w:right w:val="none" w:sz="0" w:space="0" w:color="auto"/>
          </w:divBdr>
        </w:div>
        <w:div w:id="999576760">
          <w:marLeft w:val="0"/>
          <w:marRight w:val="0"/>
          <w:marTop w:val="0"/>
          <w:marBottom w:val="0"/>
          <w:divBdr>
            <w:top w:val="none" w:sz="0" w:space="0" w:color="auto"/>
            <w:left w:val="none" w:sz="0" w:space="0" w:color="auto"/>
            <w:bottom w:val="none" w:sz="0" w:space="0" w:color="auto"/>
            <w:right w:val="none" w:sz="0" w:space="0" w:color="auto"/>
          </w:divBdr>
        </w:div>
        <w:div w:id="635256341">
          <w:marLeft w:val="0"/>
          <w:marRight w:val="0"/>
          <w:marTop w:val="0"/>
          <w:marBottom w:val="0"/>
          <w:divBdr>
            <w:top w:val="none" w:sz="0" w:space="0" w:color="auto"/>
            <w:left w:val="none" w:sz="0" w:space="0" w:color="auto"/>
            <w:bottom w:val="none" w:sz="0" w:space="0" w:color="auto"/>
            <w:right w:val="none" w:sz="0" w:space="0" w:color="auto"/>
          </w:divBdr>
        </w:div>
        <w:div w:id="1452892936">
          <w:marLeft w:val="0"/>
          <w:marRight w:val="0"/>
          <w:marTop w:val="0"/>
          <w:marBottom w:val="0"/>
          <w:divBdr>
            <w:top w:val="none" w:sz="0" w:space="0" w:color="auto"/>
            <w:left w:val="none" w:sz="0" w:space="0" w:color="auto"/>
            <w:bottom w:val="none" w:sz="0" w:space="0" w:color="auto"/>
            <w:right w:val="none" w:sz="0" w:space="0" w:color="auto"/>
          </w:divBdr>
        </w:div>
        <w:div w:id="1336608490">
          <w:marLeft w:val="0"/>
          <w:marRight w:val="0"/>
          <w:marTop w:val="0"/>
          <w:marBottom w:val="0"/>
          <w:divBdr>
            <w:top w:val="none" w:sz="0" w:space="0" w:color="auto"/>
            <w:left w:val="none" w:sz="0" w:space="0" w:color="auto"/>
            <w:bottom w:val="none" w:sz="0" w:space="0" w:color="auto"/>
            <w:right w:val="none" w:sz="0" w:space="0" w:color="auto"/>
          </w:divBdr>
        </w:div>
        <w:div w:id="1475834732">
          <w:marLeft w:val="0"/>
          <w:marRight w:val="0"/>
          <w:marTop w:val="0"/>
          <w:marBottom w:val="0"/>
          <w:divBdr>
            <w:top w:val="none" w:sz="0" w:space="0" w:color="auto"/>
            <w:left w:val="none" w:sz="0" w:space="0" w:color="auto"/>
            <w:bottom w:val="none" w:sz="0" w:space="0" w:color="auto"/>
            <w:right w:val="none" w:sz="0" w:space="0" w:color="auto"/>
          </w:divBdr>
        </w:div>
        <w:div w:id="308022350">
          <w:marLeft w:val="0"/>
          <w:marRight w:val="0"/>
          <w:marTop w:val="0"/>
          <w:marBottom w:val="0"/>
          <w:divBdr>
            <w:top w:val="none" w:sz="0" w:space="0" w:color="auto"/>
            <w:left w:val="none" w:sz="0" w:space="0" w:color="auto"/>
            <w:bottom w:val="none" w:sz="0" w:space="0" w:color="auto"/>
            <w:right w:val="none" w:sz="0" w:space="0" w:color="auto"/>
          </w:divBdr>
        </w:div>
        <w:div w:id="176584581">
          <w:marLeft w:val="0"/>
          <w:marRight w:val="0"/>
          <w:marTop w:val="0"/>
          <w:marBottom w:val="0"/>
          <w:divBdr>
            <w:top w:val="none" w:sz="0" w:space="0" w:color="auto"/>
            <w:left w:val="none" w:sz="0" w:space="0" w:color="auto"/>
            <w:bottom w:val="none" w:sz="0" w:space="0" w:color="auto"/>
            <w:right w:val="none" w:sz="0" w:space="0" w:color="auto"/>
          </w:divBdr>
        </w:div>
        <w:div w:id="1415393279">
          <w:marLeft w:val="0"/>
          <w:marRight w:val="0"/>
          <w:marTop w:val="0"/>
          <w:marBottom w:val="0"/>
          <w:divBdr>
            <w:top w:val="none" w:sz="0" w:space="0" w:color="auto"/>
            <w:left w:val="none" w:sz="0" w:space="0" w:color="auto"/>
            <w:bottom w:val="none" w:sz="0" w:space="0" w:color="auto"/>
            <w:right w:val="none" w:sz="0" w:space="0" w:color="auto"/>
          </w:divBdr>
        </w:div>
        <w:div w:id="1718241135">
          <w:marLeft w:val="0"/>
          <w:marRight w:val="0"/>
          <w:marTop w:val="0"/>
          <w:marBottom w:val="0"/>
          <w:divBdr>
            <w:top w:val="none" w:sz="0" w:space="0" w:color="auto"/>
            <w:left w:val="none" w:sz="0" w:space="0" w:color="auto"/>
            <w:bottom w:val="none" w:sz="0" w:space="0" w:color="auto"/>
            <w:right w:val="none" w:sz="0" w:space="0" w:color="auto"/>
          </w:divBdr>
        </w:div>
        <w:div w:id="2065332357">
          <w:marLeft w:val="0"/>
          <w:marRight w:val="0"/>
          <w:marTop w:val="0"/>
          <w:marBottom w:val="0"/>
          <w:divBdr>
            <w:top w:val="none" w:sz="0" w:space="0" w:color="auto"/>
            <w:left w:val="none" w:sz="0" w:space="0" w:color="auto"/>
            <w:bottom w:val="none" w:sz="0" w:space="0" w:color="auto"/>
            <w:right w:val="none" w:sz="0" w:space="0" w:color="auto"/>
          </w:divBdr>
        </w:div>
      </w:divsChild>
    </w:div>
    <w:div w:id="1161039867">
      <w:bodyDiv w:val="1"/>
      <w:marLeft w:val="0"/>
      <w:marRight w:val="0"/>
      <w:marTop w:val="0"/>
      <w:marBottom w:val="0"/>
      <w:divBdr>
        <w:top w:val="none" w:sz="0" w:space="0" w:color="auto"/>
        <w:left w:val="none" w:sz="0" w:space="0" w:color="auto"/>
        <w:bottom w:val="none" w:sz="0" w:space="0" w:color="auto"/>
        <w:right w:val="none" w:sz="0" w:space="0" w:color="auto"/>
      </w:divBdr>
    </w:div>
    <w:div w:id="1453817787">
      <w:bodyDiv w:val="1"/>
      <w:marLeft w:val="0"/>
      <w:marRight w:val="0"/>
      <w:marTop w:val="0"/>
      <w:marBottom w:val="0"/>
      <w:divBdr>
        <w:top w:val="none" w:sz="0" w:space="0" w:color="auto"/>
        <w:left w:val="none" w:sz="0" w:space="0" w:color="auto"/>
        <w:bottom w:val="none" w:sz="0" w:space="0" w:color="auto"/>
        <w:right w:val="none" w:sz="0" w:space="0" w:color="auto"/>
      </w:divBdr>
    </w:div>
    <w:div w:id="1882402610">
      <w:bodyDiv w:val="1"/>
      <w:marLeft w:val="0"/>
      <w:marRight w:val="0"/>
      <w:marTop w:val="0"/>
      <w:marBottom w:val="0"/>
      <w:divBdr>
        <w:top w:val="none" w:sz="0" w:space="0" w:color="auto"/>
        <w:left w:val="none" w:sz="0" w:space="0" w:color="auto"/>
        <w:bottom w:val="none" w:sz="0" w:space="0" w:color="auto"/>
        <w:right w:val="none" w:sz="0" w:space="0" w:color="auto"/>
      </w:divBdr>
      <w:divsChild>
        <w:div w:id="1552841666">
          <w:marLeft w:val="0"/>
          <w:marRight w:val="0"/>
          <w:marTop w:val="0"/>
          <w:marBottom w:val="0"/>
          <w:divBdr>
            <w:top w:val="none" w:sz="0" w:space="0" w:color="auto"/>
            <w:left w:val="none" w:sz="0" w:space="0" w:color="auto"/>
            <w:bottom w:val="none" w:sz="0" w:space="0" w:color="auto"/>
            <w:right w:val="none" w:sz="0" w:space="0" w:color="auto"/>
          </w:divBdr>
        </w:div>
        <w:div w:id="1957901745">
          <w:marLeft w:val="0"/>
          <w:marRight w:val="0"/>
          <w:marTop w:val="0"/>
          <w:marBottom w:val="0"/>
          <w:divBdr>
            <w:top w:val="none" w:sz="0" w:space="0" w:color="auto"/>
            <w:left w:val="none" w:sz="0" w:space="0" w:color="auto"/>
            <w:bottom w:val="none" w:sz="0" w:space="0" w:color="auto"/>
            <w:right w:val="none" w:sz="0" w:space="0" w:color="auto"/>
          </w:divBdr>
        </w:div>
        <w:div w:id="1683361948">
          <w:marLeft w:val="0"/>
          <w:marRight w:val="0"/>
          <w:marTop w:val="0"/>
          <w:marBottom w:val="0"/>
          <w:divBdr>
            <w:top w:val="none" w:sz="0" w:space="0" w:color="auto"/>
            <w:left w:val="none" w:sz="0" w:space="0" w:color="auto"/>
            <w:bottom w:val="none" w:sz="0" w:space="0" w:color="auto"/>
            <w:right w:val="none" w:sz="0" w:space="0" w:color="auto"/>
          </w:divBdr>
        </w:div>
        <w:div w:id="950936734">
          <w:marLeft w:val="0"/>
          <w:marRight w:val="0"/>
          <w:marTop w:val="0"/>
          <w:marBottom w:val="0"/>
          <w:divBdr>
            <w:top w:val="none" w:sz="0" w:space="0" w:color="auto"/>
            <w:left w:val="none" w:sz="0" w:space="0" w:color="auto"/>
            <w:bottom w:val="none" w:sz="0" w:space="0" w:color="auto"/>
            <w:right w:val="none" w:sz="0" w:space="0" w:color="auto"/>
          </w:divBdr>
        </w:div>
        <w:div w:id="1373578028">
          <w:marLeft w:val="0"/>
          <w:marRight w:val="0"/>
          <w:marTop w:val="0"/>
          <w:marBottom w:val="0"/>
          <w:divBdr>
            <w:top w:val="none" w:sz="0" w:space="0" w:color="auto"/>
            <w:left w:val="none" w:sz="0" w:space="0" w:color="auto"/>
            <w:bottom w:val="none" w:sz="0" w:space="0" w:color="auto"/>
            <w:right w:val="none" w:sz="0" w:space="0" w:color="auto"/>
          </w:divBdr>
        </w:div>
        <w:div w:id="1420979180">
          <w:marLeft w:val="0"/>
          <w:marRight w:val="0"/>
          <w:marTop w:val="0"/>
          <w:marBottom w:val="0"/>
          <w:divBdr>
            <w:top w:val="none" w:sz="0" w:space="0" w:color="auto"/>
            <w:left w:val="none" w:sz="0" w:space="0" w:color="auto"/>
            <w:bottom w:val="none" w:sz="0" w:space="0" w:color="auto"/>
            <w:right w:val="none" w:sz="0" w:space="0" w:color="auto"/>
          </w:divBdr>
        </w:div>
        <w:div w:id="1489634064">
          <w:marLeft w:val="0"/>
          <w:marRight w:val="0"/>
          <w:marTop w:val="0"/>
          <w:marBottom w:val="0"/>
          <w:divBdr>
            <w:top w:val="none" w:sz="0" w:space="0" w:color="auto"/>
            <w:left w:val="none" w:sz="0" w:space="0" w:color="auto"/>
            <w:bottom w:val="none" w:sz="0" w:space="0" w:color="auto"/>
            <w:right w:val="none" w:sz="0" w:space="0" w:color="auto"/>
          </w:divBdr>
        </w:div>
        <w:div w:id="152259533">
          <w:marLeft w:val="0"/>
          <w:marRight w:val="0"/>
          <w:marTop w:val="0"/>
          <w:marBottom w:val="0"/>
          <w:divBdr>
            <w:top w:val="none" w:sz="0" w:space="0" w:color="auto"/>
            <w:left w:val="none" w:sz="0" w:space="0" w:color="auto"/>
            <w:bottom w:val="none" w:sz="0" w:space="0" w:color="auto"/>
            <w:right w:val="none" w:sz="0" w:space="0" w:color="auto"/>
          </w:divBdr>
        </w:div>
        <w:div w:id="316033639">
          <w:marLeft w:val="0"/>
          <w:marRight w:val="0"/>
          <w:marTop w:val="0"/>
          <w:marBottom w:val="0"/>
          <w:divBdr>
            <w:top w:val="none" w:sz="0" w:space="0" w:color="auto"/>
            <w:left w:val="none" w:sz="0" w:space="0" w:color="auto"/>
            <w:bottom w:val="none" w:sz="0" w:space="0" w:color="auto"/>
            <w:right w:val="none" w:sz="0" w:space="0" w:color="auto"/>
          </w:divBdr>
        </w:div>
        <w:div w:id="2007323310">
          <w:marLeft w:val="0"/>
          <w:marRight w:val="0"/>
          <w:marTop w:val="0"/>
          <w:marBottom w:val="0"/>
          <w:divBdr>
            <w:top w:val="none" w:sz="0" w:space="0" w:color="auto"/>
            <w:left w:val="none" w:sz="0" w:space="0" w:color="auto"/>
            <w:bottom w:val="none" w:sz="0" w:space="0" w:color="auto"/>
            <w:right w:val="none" w:sz="0" w:space="0" w:color="auto"/>
          </w:divBdr>
        </w:div>
      </w:divsChild>
    </w:div>
    <w:div w:id="2012292100">
      <w:bodyDiv w:val="1"/>
      <w:marLeft w:val="0"/>
      <w:marRight w:val="0"/>
      <w:marTop w:val="0"/>
      <w:marBottom w:val="0"/>
      <w:divBdr>
        <w:top w:val="none" w:sz="0" w:space="0" w:color="auto"/>
        <w:left w:val="none" w:sz="0" w:space="0" w:color="auto"/>
        <w:bottom w:val="none" w:sz="0" w:space="0" w:color="auto"/>
        <w:right w:val="none" w:sz="0" w:space="0" w:color="auto"/>
      </w:divBdr>
      <w:divsChild>
        <w:div w:id="1054501855">
          <w:marLeft w:val="0"/>
          <w:marRight w:val="0"/>
          <w:marTop w:val="0"/>
          <w:marBottom w:val="0"/>
          <w:divBdr>
            <w:top w:val="none" w:sz="0" w:space="0" w:color="auto"/>
            <w:left w:val="none" w:sz="0" w:space="0" w:color="auto"/>
            <w:bottom w:val="none" w:sz="0" w:space="0" w:color="auto"/>
            <w:right w:val="none" w:sz="0" w:space="0" w:color="auto"/>
          </w:divBdr>
        </w:div>
        <w:div w:id="1606421709">
          <w:marLeft w:val="0"/>
          <w:marRight w:val="0"/>
          <w:marTop w:val="0"/>
          <w:marBottom w:val="0"/>
          <w:divBdr>
            <w:top w:val="none" w:sz="0" w:space="0" w:color="auto"/>
            <w:left w:val="none" w:sz="0" w:space="0" w:color="auto"/>
            <w:bottom w:val="none" w:sz="0" w:space="0" w:color="auto"/>
            <w:right w:val="none" w:sz="0" w:space="0" w:color="auto"/>
          </w:divBdr>
        </w:div>
        <w:div w:id="232396168">
          <w:marLeft w:val="0"/>
          <w:marRight w:val="0"/>
          <w:marTop w:val="0"/>
          <w:marBottom w:val="0"/>
          <w:divBdr>
            <w:top w:val="none" w:sz="0" w:space="0" w:color="auto"/>
            <w:left w:val="none" w:sz="0" w:space="0" w:color="auto"/>
            <w:bottom w:val="none" w:sz="0" w:space="0" w:color="auto"/>
            <w:right w:val="none" w:sz="0" w:space="0" w:color="auto"/>
          </w:divBdr>
        </w:div>
        <w:div w:id="375081639">
          <w:marLeft w:val="0"/>
          <w:marRight w:val="0"/>
          <w:marTop w:val="0"/>
          <w:marBottom w:val="0"/>
          <w:divBdr>
            <w:top w:val="none" w:sz="0" w:space="0" w:color="auto"/>
            <w:left w:val="none" w:sz="0" w:space="0" w:color="auto"/>
            <w:bottom w:val="none" w:sz="0" w:space="0" w:color="auto"/>
            <w:right w:val="none" w:sz="0" w:space="0" w:color="auto"/>
          </w:divBdr>
        </w:div>
      </w:divsChild>
    </w:div>
    <w:div w:id="2029789818">
      <w:bodyDiv w:val="1"/>
      <w:marLeft w:val="0"/>
      <w:marRight w:val="0"/>
      <w:marTop w:val="0"/>
      <w:marBottom w:val="0"/>
      <w:divBdr>
        <w:top w:val="none" w:sz="0" w:space="0" w:color="auto"/>
        <w:left w:val="none" w:sz="0" w:space="0" w:color="auto"/>
        <w:bottom w:val="none" w:sz="0" w:space="0" w:color="auto"/>
        <w:right w:val="none" w:sz="0" w:space="0" w:color="auto"/>
      </w:divBdr>
      <w:divsChild>
        <w:div w:id="1582831899">
          <w:marLeft w:val="0"/>
          <w:marRight w:val="0"/>
          <w:marTop w:val="0"/>
          <w:marBottom w:val="0"/>
          <w:divBdr>
            <w:top w:val="none" w:sz="0" w:space="0" w:color="auto"/>
            <w:left w:val="none" w:sz="0" w:space="0" w:color="auto"/>
            <w:bottom w:val="none" w:sz="0" w:space="0" w:color="auto"/>
            <w:right w:val="none" w:sz="0" w:space="0" w:color="auto"/>
          </w:divBdr>
        </w:div>
        <w:div w:id="706023685">
          <w:marLeft w:val="0"/>
          <w:marRight w:val="0"/>
          <w:marTop w:val="0"/>
          <w:marBottom w:val="0"/>
          <w:divBdr>
            <w:top w:val="none" w:sz="0" w:space="0" w:color="auto"/>
            <w:left w:val="none" w:sz="0" w:space="0" w:color="auto"/>
            <w:bottom w:val="none" w:sz="0" w:space="0" w:color="auto"/>
            <w:right w:val="none" w:sz="0" w:space="0" w:color="auto"/>
          </w:divBdr>
        </w:div>
        <w:div w:id="1778988947">
          <w:marLeft w:val="0"/>
          <w:marRight w:val="0"/>
          <w:marTop w:val="0"/>
          <w:marBottom w:val="0"/>
          <w:divBdr>
            <w:top w:val="none" w:sz="0" w:space="0" w:color="auto"/>
            <w:left w:val="none" w:sz="0" w:space="0" w:color="auto"/>
            <w:bottom w:val="none" w:sz="0" w:space="0" w:color="auto"/>
            <w:right w:val="none" w:sz="0" w:space="0" w:color="auto"/>
          </w:divBdr>
        </w:div>
        <w:div w:id="5605965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27779</Words>
  <Characters>15835</Characters>
  <Application>Microsoft Office Word</Application>
  <DocSecurity>0</DocSecurity>
  <Lines>131</Lines>
  <Paragraphs>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43527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Руслана Батир</dc:creator>
  <cp:keywords/>
  <dc:description/>
  <cp:lastModifiedBy>Admin</cp:lastModifiedBy>
  <cp:revision>2</cp:revision>
  <dcterms:created xsi:type="dcterms:W3CDTF">2024-05-15T12:58:00Z</dcterms:created>
  <dcterms:modified xsi:type="dcterms:W3CDTF">2024-05-15T12:58:00Z</dcterms:modified>
</cp:coreProperties>
</file>