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68" w:rsidRPr="00D775EF" w:rsidRDefault="00F10668" w:rsidP="00F106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75EF">
        <w:rPr>
          <w:rFonts w:ascii="Times New Roman" w:hAnsi="Times New Roman" w:cs="Times New Roman"/>
          <w:i/>
          <w:sz w:val="28"/>
          <w:szCs w:val="28"/>
        </w:rPr>
        <w:t>Кізима</w:t>
      </w:r>
      <w:proofErr w:type="spellEnd"/>
      <w:r w:rsidRPr="00D775EF">
        <w:rPr>
          <w:rFonts w:ascii="Times New Roman" w:hAnsi="Times New Roman" w:cs="Times New Roman"/>
          <w:i/>
          <w:sz w:val="28"/>
          <w:szCs w:val="28"/>
        </w:rPr>
        <w:t xml:space="preserve"> Тетяна Олексіївна, </w:t>
      </w:r>
      <w:proofErr w:type="spellStart"/>
      <w:r w:rsidRPr="00D775EF">
        <w:rPr>
          <w:rFonts w:ascii="Times New Roman" w:hAnsi="Times New Roman" w:cs="Times New Roman"/>
          <w:i/>
          <w:sz w:val="28"/>
          <w:szCs w:val="28"/>
        </w:rPr>
        <w:t>д.е.н</w:t>
      </w:r>
      <w:proofErr w:type="spellEnd"/>
      <w:r w:rsidRPr="00D775EF">
        <w:rPr>
          <w:rFonts w:ascii="Times New Roman" w:hAnsi="Times New Roman" w:cs="Times New Roman"/>
          <w:i/>
          <w:sz w:val="28"/>
          <w:szCs w:val="28"/>
        </w:rPr>
        <w:t>., професор,</w:t>
      </w:r>
    </w:p>
    <w:p w:rsidR="00F10668" w:rsidRPr="00D775EF" w:rsidRDefault="00F10668" w:rsidP="00F106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5EF">
        <w:rPr>
          <w:rFonts w:ascii="Times New Roman" w:hAnsi="Times New Roman" w:cs="Times New Roman"/>
          <w:i/>
          <w:sz w:val="28"/>
          <w:szCs w:val="28"/>
        </w:rPr>
        <w:t>Тернопільський національний економічний університет;</w:t>
      </w:r>
    </w:p>
    <w:p w:rsidR="00F10668" w:rsidRPr="00D775EF" w:rsidRDefault="00F10668" w:rsidP="00F106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75EF">
        <w:rPr>
          <w:rFonts w:ascii="Times New Roman" w:hAnsi="Times New Roman" w:cs="Times New Roman"/>
          <w:i/>
          <w:sz w:val="28"/>
          <w:szCs w:val="28"/>
        </w:rPr>
        <w:t>Єлчієв</w:t>
      </w:r>
      <w:proofErr w:type="spellEnd"/>
      <w:r w:rsidRPr="00D775EF">
        <w:rPr>
          <w:rFonts w:ascii="Times New Roman" w:hAnsi="Times New Roman" w:cs="Times New Roman"/>
          <w:i/>
          <w:sz w:val="28"/>
          <w:szCs w:val="28"/>
        </w:rPr>
        <w:t xml:space="preserve"> Вадим </w:t>
      </w:r>
      <w:proofErr w:type="spellStart"/>
      <w:r w:rsidRPr="00D775EF">
        <w:rPr>
          <w:rFonts w:ascii="Times New Roman" w:hAnsi="Times New Roman" w:cs="Times New Roman"/>
          <w:i/>
          <w:sz w:val="28"/>
          <w:szCs w:val="28"/>
        </w:rPr>
        <w:t>Сахібович</w:t>
      </w:r>
      <w:proofErr w:type="spellEnd"/>
      <w:r w:rsidRPr="00D775EF">
        <w:rPr>
          <w:rFonts w:ascii="Times New Roman" w:hAnsi="Times New Roman" w:cs="Times New Roman"/>
          <w:i/>
          <w:sz w:val="28"/>
          <w:szCs w:val="28"/>
        </w:rPr>
        <w:t>, аспірант,</w:t>
      </w:r>
    </w:p>
    <w:p w:rsidR="00F10668" w:rsidRPr="00D775EF" w:rsidRDefault="00F10668" w:rsidP="00F106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5EF">
        <w:rPr>
          <w:rFonts w:ascii="Times New Roman" w:hAnsi="Times New Roman" w:cs="Times New Roman"/>
          <w:i/>
          <w:sz w:val="28"/>
          <w:szCs w:val="28"/>
        </w:rPr>
        <w:t>Тернопільський національний економічний університет.</w:t>
      </w:r>
    </w:p>
    <w:p w:rsidR="00F10668" w:rsidRPr="00D775EF" w:rsidRDefault="00F10668" w:rsidP="00F10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668" w:rsidRPr="00D775EF" w:rsidRDefault="00F10668" w:rsidP="00F1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EF">
        <w:rPr>
          <w:rFonts w:ascii="Times New Roman" w:hAnsi="Times New Roman" w:cs="Times New Roman"/>
          <w:b/>
          <w:sz w:val="28"/>
          <w:szCs w:val="28"/>
        </w:rPr>
        <w:t>КРЕДИТНА ПОВЕДІНКА ДОМОГОСПОДАРСТВ: СУТНІСТЬ ТА ЧИННИКИ ВПЛИВУ</w:t>
      </w:r>
    </w:p>
    <w:p w:rsidR="00D775EF" w:rsidRDefault="00D775EF" w:rsidP="00D775EF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сучасних умовах вітчизняної економіки важливою</w:t>
      </w:r>
      <w:r w:rsidRPr="00D775EF">
        <w:rPr>
          <w:sz w:val="28"/>
          <w:szCs w:val="28"/>
          <w:lang w:val="uk-UA"/>
        </w:rPr>
        <w:t xml:space="preserve"> складов</w:t>
      </w:r>
      <w:r>
        <w:rPr>
          <w:sz w:val="28"/>
          <w:szCs w:val="28"/>
          <w:lang w:val="uk-UA"/>
        </w:rPr>
        <w:t>ою</w:t>
      </w:r>
      <w:r w:rsidRPr="00D775EF">
        <w:rPr>
          <w:sz w:val="28"/>
          <w:szCs w:val="28"/>
          <w:lang w:val="uk-UA"/>
        </w:rPr>
        <w:t xml:space="preserve"> фінансової поведінки </w:t>
      </w:r>
      <w:r>
        <w:rPr>
          <w:sz w:val="28"/>
          <w:szCs w:val="28"/>
          <w:lang w:val="uk-UA"/>
        </w:rPr>
        <w:t>домогосподарств</w:t>
      </w:r>
      <w:r w:rsidRPr="00D775EF">
        <w:rPr>
          <w:sz w:val="28"/>
          <w:szCs w:val="28"/>
          <w:lang w:val="uk-UA"/>
        </w:rPr>
        <w:t xml:space="preserve"> є кредитна поведінка. </w:t>
      </w:r>
      <w:r>
        <w:rPr>
          <w:sz w:val="28"/>
          <w:szCs w:val="28"/>
          <w:lang w:val="uk-UA"/>
        </w:rPr>
        <w:t>З появою кредитування у</w:t>
      </w:r>
      <w:r w:rsidRPr="00D775EF">
        <w:rPr>
          <w:sz w:val="28"/>
          <w:szCs w:val="28"/>
          <w:lang w:val="uk-UA"/>
        </w:rPr>
        <w:t xml:space="preserve"> багатьох громадян з’явилася реальна можливість</w:t>
      </w:r>
      <w:r w:rsidR="00220287" w:rsidRPr="00220287">
        <w:rPr>
          <w:sz w:val="28"/>
          <w:szCs w:val="28"/>
          <w:lang w:val="uk-UA"/>
        </w:rPr>
        <w:t xml:space="preserve"> </w:t>
      </w:r>
      <w:r w:rsidR="00220287" w:rsidRPr="00D775EF">
        <w:rPr>
          <w:sz w:val="28"/>
          <w:szCs w:val="28"/>
          <w:lang w:val="uk-UA"/>
        </w:rPr>
        <w:t>скориста</w:t>
      </w:r>
      <w:r w:rsidR="00220287">
        <w:rPr>
          <w:sz w:val="28"/>
          <w:szCs w:val="28"/>
          <w:lang w:val="uk-UA"/>
        </w:rPr>
        <w:t>тися</w:t>
      </w:r>
      <w:r w:rsidR="00220287" w:rsidRPr="00D775EF">
        <w:rPr>
          <w:sz w:val="28"/>
          <w:szCs w:val="28"/>
          <w:lang w:val="uk-UA"/>
        </w:rPr>
        <w:t xml:space="preserve"> кредитними пропозиціями банків</w:t>
      </w:r>
      <w:r w:rsidR="00220287">
        <w:rPr>
          <w:sz w:val="28"/>
          <w:szCs w:val="28"/>
          <w:lang w:val="uk-UA"/>
        </w:rPr>
        <w:t xml:space="preserve"> та</w:t>
      </w:r>
      <w:r w:rsidRPr="00D775EF">
        <w:rPr>
          <w:sz w:val="28"/>
          <w:szCs w:val="28"/>
          <w:lang w:val="uk-UA"/>
        </w:rPr>
        <w:t xml:space="preserve"> покращити свої побутові умови, задовольнити </w:t>
      </w:r>
      <w:r>
        <w:rPr>
          <w:sz w:val="28"/>
          <w:szCs w:val="28"/>
          <w:lang w:val="uk-UA"/>
        </w:rPr>
        <w:t xml:space="preserve">певні </w:t>
      </w:r>
      <w:r w:rsidRPr="00D775EF">
        <w:rPr>
          <w:sz w:val="28"/>
          <w:szCs w:val="28"/>
          <w:lang w:val="uk-UA"/>
        </w:rPr>
        <w:t xml:space="preserve">матеріальні </w:t>
      </w:r>
      <w:r>
        <w:rPr>
          <w:sz w:val="28"/>
          <w:szCs w:val="28"/>
          <w:lang w:val="uk-UA"/>
        </w:rPr>
        <w:t>і</w:t>
      </w:r>
      <w:r w:rsidRPr="00D775EF">
        <w:rPr>
          <w:sz w:val="28"/>
          <w:szCs w:val="28"/>
          <w:lang w:val="uk-UA"/>
        </w:rPr>
        <w:t xml:space="preserve"> духовні потреби, не відкладаючи їх вирішення до моменту накопичення </w:t>
      </w:r>
      <w:r>
        <w:rPr>
          <w:sz w:val="28"/>
          <w:szCs w:val="28"/>
          <w:lang w:val="uk-UA"/>
        </w:rPr>
        <w:t xml:space="preserve">необхідної суми </w:t>
      </w:r>
      <w:r w:rsidRPr="00D775EF">
        <w:rPr>
          <w:sz w:val="28"/>
          <w:szCs w:val="28"/>
          <w:lang w:val="uk-UA"/>
        </w:rPr>
        <w:t xml:space="preserve">коштів. </w:t>
      </w:r>
    </w:p>
    <w:p w:rsidR="00D775EF" w:rsidRPr="00D775EF" w:rsidRDefault="00D775EF" w:rsidP="002202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75EF">
        <w:rPr>
          <w:rFonts w:ascii="Times New Roman" w:hAnsi="Times New Roman" w:cs="Times New Roman"/>
          <w:sz w:val="28"/>
          <w:szCs w:val="28"/>
        </w:rPr>
        <w:tab/>
        <w:t xml:space="preserve">У вітчизняній </w:t>
      </w:r>
      <w:r w:rsidR="00220287">
        <w:rPr>
          <w:rFonts w:ascii="Times New Roman" w:hAnsi="Times New Roman" w:cs="Times New Roman"/>
          <w:sz w:val="28"/>
          <w:szCs w:val="28"/>
        </w:rPr>
        <w:t xml:space="preserve">фінансовій </w:t>
      </w:r>
      <w:r w:rsidRPr="00D775EF">
        <w:rPr>
          <w:rFonts w:ascii="Times New Roman" w:hAnsi="Times New Roman" w:cs="Times New Roman"/>
          <w:sz w:val="28"/>
          <w:szCs w:val="28"/>
        </w:rPr>
        <w:t>літературі найбільш поширеним є визначення кредитної поведінки</w:t>
      </w:r>
      <w:r w:rsidR="00220287">
        <w:rPr>
          <w:rFonts w:ascii="Times New Roman" w:hAnsi="Times New Roman" w:cs="Times New Roman"/>
          <w:sz w:val="28"/>
          <w:szCs w:val="28"/>
        </w:rPr>
        <w:t xml:space="preserve"> домогосподарств як </w:t>
      </w:r>
      <w:r w:rsidRPr="00D775EF">
        <w:rPr>
          <w:rFonts w:ascii="Times New Roman" w:hAnsi="Times New Roman" w:cs="Times New Roman"/>
          <w:sz w:val="28"/>
          <w:szCs w:val="28"/>
        </w:rPr>
        <w:t>діяльн</w:t>
      </w:r>
      <w:r w:rsidR="00220287">
        <w:rPr>
          <w:rFonts w:ascii="Times New Roman" w:hAnsi="Times New Roman" w:cs="Times New Roman"/>
          <w:sz w:val="28"/>
          <w:szCs w:val="28"/>
        </w:rPr>
        <w:t>о</w:t>
      </w:r>
      <w:r w:rsidRPr="00D775EF">
        <w:rPr>
          <w:rFonts w:ascii="Times New Roman" w:hAnsi="Times New Roman" w:cs="Times New Roman"/>
          <w:sz w:val="28"/>
          <w:szCs w:val="28"/>
        </w:rPr>
        <w:t>ст</w:t>
      </w:r>
      <w:r w:rsidR="00220287">
        <w:rPr>
          <w:rFonts w:ascii="Times New Roman" w:hAnsi="Times New Roman" w:cs="Times New Roman"/>
          <w:sz w:val="28"/>
          <w:szCs w:val="28"/>
        </w:rPr>
        <w:t>і</w:t>
      </w:r>
      <w:r w:rsidRPr="00D775EF">
        <w:rPr>
          <w:rFonts w:ascii="Times New Roman" w:hAnsi="Times New Roman" w:cs="Times New Roman"/>
          <w:sz w:val="28"/>
          <w:szCs w:val="28"/>
        </w:rPr>
        <w:t>, спрямован</w:t>
      </w:r>
      <w:r w:rsidR="00220287">
        <w:rPr>
          <w:rFonts w:ascii="Times New Roman" w:hAnsi="Times New Roman" w:cs="Times New Roman"/>
          <w:sz w:val="28"/>
          <w:szCs w:val="28"/>
        </w:rPr>
        <w:t>ої</w:t>
      </w:r>
      <w:r w:rsidRPr="00D775EF">
        <w:rPr>
          <w:rFonts w:ascii="Times New Roman" w:hAnsi="Times New Roman" w:cs="Times New Roman"/>
          <w:sz w:val="28"/>
          <w:szCs w:val="28"/>
        </w:rPr>
        <w:t xml:space="preserve"> на залучення</w:t>
      </w:r>
      <w:r w:rsidR="00220287">
        <w:rPr>
          <w:rFonts w:ascii="Times New Roman" w:hAnsi="Times New Roman" w:cs="Times New Roman"/>
          <w:sz w:val="28"/>
          <w:szCs w:val="28"/>
        </w:rPr>
        <w:t xml:space="preserve"> населенням</w:t>
      </w:r>
      <w:r w:rsidRPr="00D775EF">
        <w:rPr>
          <w:rFonts w:ascii="Times New Roman" w:hAnsi="Times New Roman" w:cs="Times New Roman"/>
          <w:sz w:val="28"/>
          <w:szCs w:val="28"/>
        </w:rPr>
        <w:t xml:space="preserve"> тимчасово вільних коштів </w:t>
      </w:r>
      <w:r w:rsidR="00220287">
        <w:rPr>
          <w:rFonts w:ascii="Times New Roman" w:hAnsi="Times New Roman" w:cs="Times New Roman"/>
          <w:sz w:val="28"/>
          <w:szCs w:val="28"/>
        </w:rPr>
        <w:t xml:space="preserve">у </w:t>
      </w:r>
      <w:r w:rsidRPr="00D775EF">
        <w:rPr>
          <w:rFonts w:ascii="Times New Roman" w:hAnsi="Times New Roman" w:cs="Times New Roman"/>
          <w:sz w:val="28"/>
          <w:szCs w:val="28"/>
        </w:rPr>
        <w:t>інших суб’єктів</w:t>
      </w:r>
      <w:r w:rsidR="00220287">
        <w:rPr>
          <w:rFonts w:ascii="Times New Roman" w:hAnsi="Times New Roman" w:cs="Times New Roman"/>
          <w:sz w:val="28"/>
          <w:szCs w:val="28"/>
        </w:rPr>
        <w:t xml:space="preserve"> економічної діяльності</w:t>
      </w:r>
      <w:r w:rsidRPr="00D775EF">
        <w:rPr>
          <w:rFonts w:ascii="Times New Roman" w:hAnsi="Times New Roman" w:cs="Times New Roman"/>
          <w:sz w:val="28"/>
          <w:szCs w:val="28"/>
        </w:rPr>
        <w:t xml:space="preserve">: інституцій фінансового ринку, підприємств, інших домогосподарств на умовах </w:t>
      </w:r>
      <w:proofErr w:type="spellStart"/>
      <w:r w:rsidRPr="00D775EF">
        <w:rPr>
          <w:rFonts w:ascii="Times New Roman" w:hAnsi="Times New Roman" w:cs="Times New Roman"/>
          <w:sz w:val="28"/>
          <w:szCs w:val="28"/>
        </w:rPr>
        <w:t>поверненості</w:t>
      </w:r>
      <w:proofErr w:type="spellEnd"/>
      <w:r w:rsidRPr="00D775EF">
        <w:rPr>
          <w:rFonts w:ascii="Times New Roman" w:hAnsi="Times New Roman" w:cs="Times New Roman"/>
          <w:sz w:val="28"/>
          <w:szCs w:val="28"/>
        </w:rPr>
        <w:t>, строковості та,</w:t>
      </w:r>
      <w:r w:rsidR="00220287">
        <w:rPr>
          <w:rFonts w:ascii="Times New Roman" w:hAnsi="Times New Roman" w:cs="Times New Roman"/>
          <w:sz w:val="28"/>
          <w:szCs w:val="28"/>
        </w:rPr>
        <w:t xml:space="preserve"> </w:t>
      </w:r>
      <w:r w:rsidRPr="00D775EF">
        <w:rPr>
          <w:rFonts w:ascii="Times New Roman" w:hAnsi="Times New Roman" w:cs="Times New Roman"/>
          <w:sz w:val="28"/>
          <w:szCs w:val="28"/>
        </w:rPr>
        <w:t>як правило, платності і забезпеченості.</w:t>
      </w:r>
      <w:r w:rsidRPr="00D775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75EF" w:rsidRDefault="00D775EF" w:rsidP="00912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EF">
        <w:rPr>
          <w:rFonts w:ascii="Times New Roman" w:hAnsi="Times New Roman" w:cs="Times New Roman"/>
          <w:sz w:val="28"/>
          <w:szCs w:val="28"/>
        </w:rPr>
        <w:t xml:space="preserve">Кредитна поведінка </w:t>
      </w:r>
      <w:r w:rsidR="00220287">
        <w:rPr>
          <w:rFonts w:ascii="Times New Roman" w:hAnsi="Times New Roman" w:cs="Times New Roman"/>
          <w:sz w:val="28"/>
          <w:szCs w:val="28"/>
        </w:rPr>
        <w:t>домогосподарств</w:t>
      </w:r>
      <w:r w:rsidRPr="00D775EF">
        <w:rPr>
          <w:rFonts w:ascii="Times New Roman" w:hAnsi="Times New Roman" w:cs="Times New Roman"/>
          <w:sz w:val="28"/>
          <w:szCs w:val="28"/>
        </w:rPr>
        <w:t xml:space="preserve"> може </w:t>
      </w:r>
      <w:r w:rsidR="00220287">
        <w:rPr>
          <w:rFonts w:ascii="Times New Roman" w:hAnsi="Times New Roman" w:cs="Times New Roman"/>
          <w:sz w:val="28"/>
          <w:szCs w:val="28"/>
        </w:rPr>
        <w:t>ма</w:t>
      </w:r>
      <w:r w:rsidRPr="00D775EF">
        <w:rPr>
          <w:rFonts w:ascii="Times New Roman" w:hAnsi="Times New Roman" w:cs="Times New Roman"/>
          <w:sz w:val="28"/>
          <w:szCs w:val="28"/>
        </w:rPr>
        <w:t xml:space="preserve">ти </w:t>
      </w:r>
      <w:r w:rsidR="00220287">
        <w:rPr>
          <w:rFonts w:ascii="Times New Roman" w:hAnsi="Times New Roman" w:cs="Times New Roman"/>
          <w:sz w:val="28"/>
          <w:szCs w:val="28"/>
        </w:rPr>
        <w:t xml:space="preserve">як </w:t>
      </w:r>
      <w:r w:rsidRPr="00D775EF">
        <w:rPr>
          <w:rFonts w:ascii="Times New Roman" w:hAnsi="Times New Roman" w:cs="Times New Roman"/>
          <w:sz w:val="28"/>
          <w:szCs w:val="28"/>
        </w:rPr>
        <w:t>інституціональний</w:t>
      </w:r>
      <w:r w:rsidR="00220287">
        <w:rPr>
          <w:rFonts w:ascii="Times New Roman" w:hAnsi="Times New Roman" w:cs="Times New Roman"/>
          <w:sz w:val="28"/>
          <w:szCs w:val="28"/>
        </w:rPr>
        <w:t xml:space="preserve">, </w:t>
      </w:r>
      <w:r w:rsidRPr="00D775EF">
        <w:rPr>
          <w:rFonts w:ascii="Times New Roman" w:hAnsi="Times New Roman" w:cs="Times New Roman"/>
          <w:sz w:val="28"/>
          <w:szCs w:val="28"/>
        </w:rPr>
        <w:t xml:space="preserve"> та</w:t>
      </w:r>
      <w:r w:rsidR="00220287">
        <w:rPr>
          <w:rFonts w:ascii="Times New Roman" w:hAnsi="Times New Roman" w:cs="Times New Roman"/>
          <w:sz w:val="28"/>
          <w:szCs w:val="28"/>
        </w:rPr>
        <w:t>к і</w:t>
      </w:r>
      <w:r w:rsidRPr="00D775EF">
        <w:rPr>
          <w:rFonts w:ascii="Times New Roman" w:hAnsi="Times New Roman" w:cs="Times New Roman"/>
          <w:sz w:val="28"/>
          <w:szCs w:val="28"/>
        </w:rPr>
        <w:t xml:space="preserve"> неінституціональний характер. Інституціональна природа кредитної поведінки </w:t>
      </w:r>
      <w:r w:rsidR="00912ABB">
        <w:rPr>
          <w:rFonts w:ascii="Times New Roman" w:hAnsi="Times New Roman" w:cs="Times New Roman"/>
          <w:sz w:val="28"/>
          <w:szCs w:val="28"/>
        </w:rPr>
        <w:t>проявля</w:t>
      </w:r>
      <w:r w:rsidRPr="00D775EF">
        <w:rPr>
          <w:rFonts w:ascii="Times New Roman" w:hAnsi="Times New Roman" w:cs="Times New Roman"/>
          <w:sz w:val="28"/>
          <w:szCs w:val="28"/>
        </w:rPr>
        <w:t>ється у здійсненні запозичень в організован</w:t>
      </w:r>
      <w:r w:rsidR="00912ABB">
        <w:rPr>
          <w:rFonts w:ascii="Times New Roman" w:hAnsi="Times New Roman" w:cs="Times New Roman"/>
          <w:sz w:val="28"/>
          <w:szCs w:val="28"/>
        </w:rPr>
        <w:t>ій формі, тобто на</w:t>
      </w:r>
      <w:r w:rsidRPr="00D775EF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912ABB">
        <w:rPr>
          <w:rFonts w:ascii="Times New Roman" w:hAnsi="Times New Roman" w:cs="Times New Roman"/>
          <w:sz w:val="28"/>
          <w:szCs w:val="28"/>
        </w:rPr>
        <w:t xml:space="preserve">ому ринку (у </w:t>
      </w:r>
      <w:r w:rsidRPr="00D775EF">
        <w:rPr>
          <w:rFonts w:ascii="Times New Roman" w:hAnsi="Times New Roman" w:cs="Times New Roman"/>
          <w:sz w:val="28"/>
          <w:szCs w:val="28"/>
        </w:rPr>
        <w:t>комерційних банків, ломбардів, кредитних спілок, фінансових компаній тощо</w:t>
      </w:r>
      <w:r w:rsidR="00912ABB">
        <w:rPr>
          <w:rFonts w:ascii="Times New Roman" w:hAnsi="Times New Roman" w:cs="Times New Roman"/>
          <w:sz w:val="28"/>
          <w:szCs w:val="28"/>
        </w:rPr>
        <w:t>)</w:t>
      </w:r>
      <w:r w:rsidRPr="00D775EF">
        <w:rPr>
          <w:rFonts w:ascii="Times New Roman" w:hAnsi="Times New Roman" w:cs="Times New Roman"/>
          <w:sz w:val="28"/>
          <w:szCs w:val="28"/>
        </w:rPr>
        <w:t>. Неінституціональний характер кредитна поведінка ма</w:t>
      </w:r>
      <w:r w:rsidR="00912ABB">
        <w:rPr>
          <w:rFonts w:ascii="Times New Roman" w:hAnsi="Times New Roman" w:cs="Times New Roman"/>
          <w:sz w:val="28"/>
          <w:szCs w:val="28"/>
        </w:rPr>
        <w:t>є</w:t>
      </w:r>
      <w:r w:rsidRPr="00D775EF">
        <w:rPr>
          <w:rFonts w:ascii="Times New Roman" w:hAnsi="Times New Roman" w:cs="Times New Roman"/>
          <w:sz w:val="28"/>
          <w:szCs w:val="28"/>
        </w:rPr>
        <w:t xml:space="preserve"> тоді, коли угоди про запозичення коштів </w:t>
      </w:r>
      <w:r w:rsidR="00912ABB">
        <w:rPr>
          <w:rFonts w:ascii="Times New Roman" w:hAnsi="Times New Roman" w:cs="Times New Roman"/>
          <w:sz w:val="28"/>
          <w:szCs w:val="28"/>
        </w:rPr>
        <w:t>у</w:t>
      </w:r>
      <w:r w:rsidRPr="00D775EF">
        <w:rPr>
          <w:rFonts w:ascii="Times New Roman" w:hAnsi="Times New Roman" w:cs="Times New Roman"/>
          <w:sz w:val="28"/>
          <w:szCs w:val="28"/>
        </w:rPr>
        <w:t>клада</w:t>
      </w:r>
      <w:r w:rsidR="00912ABB">
        <w:rPr>
          <w:rFonts w:ascii="Times New Roman" w:hAnsi="Times New Roman" w:cs="Times New Roman"/>
          <w:sz w:val="28"/>
          <w:szCs w:val="28"/>
        </w:rPr>
        <w:t>ють</w:t>
      </w:r>
      <w:r w:rsidRPr="00D775EF">
        <w:rPr>
          <w:rFonts w:ascii="Times New Roman" w:hAnsi="Times New Roman" w:cs="Times New Roman"/>
          <w:sz w:val="28"/>
          <w:szCs w:val="28"/>
        </w:rPr>
        <w:t>ся між фізичними особами (друзями, родичами, колегами)</w:t>
      </w:r>
      <w:r w:rsidR="00912ABB">
        <w:rPr>
          <w:rFonts w:ascii="Times New Roman" w:hAnsi="Times New Roman" w:cs="Times New Roman"/>
          <w:sz w:val="28"/>
          <w:szCs w:val="28"/>
        </w:rPr>
        <w:t>, причому в довільній формі</w:t>
      </w:r>
      <w:r w:rsidRPr="00D775EF">
        <w:rPr>
          <w:rFonts w:ascii="Times New Roman" w:hAnsi="Times New Roman" w:cs="Times New Roman"/>
          <w:sz w:val="28"/>
          <w:szCs w:val="28"/>
        </w:rPr>
        <w:t>.</w:t>
      </w:r>
    </w:p>
    <w:p w:rsidR="00561B4D" w:rsidRDefault="00912ABB" w:rsidP="00D5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Безумовно, к</w:t>
      </w:r>
      <w:r w:rsidRPr="00D775EF">
        <w:rPr>
          <w:rFonts w:ascii="Times New Roman" w:hAnsi="Times New Roman" w:cs="Times New Roman"/>
          <w:sz w:val="28"/>
          <w:szCs w:val="28"/>
        </w:rPr>
        <w:t>ожне домогосподарство формує власну модель кредитної поведінки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5EF">
        <w:rPr>
          <w:rFonts w:ascii="Times New Roman" w:hAnsi="Times New Roman" w:cs="Times New Roman"/>
          <w:sz w:val="28"/>
          <w:szCs w:val="28"/>
        </w:rPr>
        <w:t xml:space="preserve"> враховуючи сформовані </w:t>
      </w:r>
      <w:r>
        <w:rPr>
          <w:rFonts w:ascii="Times New Roman" w:hAnsi="Times New Roman" w:cs="Times New Roman"/>
          <w:sz w:val="28"/>
          <w:szCs w:val="28"/>
        </w:rPr>
        <w:t xml:space="preserve">в процесі життєдіяльності </w:t>
      </w:r>
      <w:r w:rsidRPr="00D775EF">
        <w:rPr>
          <w:rFonts w:ascii="Times New Roman" w:hAnsi="Times New Roman" w:cs="Times New Roman"/>
          <w:sz w:val="28"/>
          <w:szCs w:val="28"/>
        </w:rPr>
        <w:t>погляди та переконання</w:t>
      </w:r>
      <w:r>
        <w:rPr>
          <w:rFonts w:ascii="Times New Roman" w:hAnsi="Times New Roman" w:cs="Times New Roman"/>
          <w:sz w:val="28"/>
          <w:szCs w:val="28"/>
        </w:rPr>
        <w:t xml:space="preserve"> щодо кредиту, а також стиль життя його членів</w:t>
      </w:r>
      <w:r w:rsidRPr="00D775EF">
        <w:rPr>
          <w:rFonts w:ascii="Times New Roman" w:hAnsi="Times New Roman" w:cs="Times New Roman"/>
          <w:sz w:val="28"/>
          <w:szCs w:val="28"/>
        </w:rPr>
        <w:t>. Одні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75EF">
        <w:rPr>
          <w:rFonts w:ascii="Times New Roman" w:hAnsi="Times New Roman" w:cs="Times New Roman"/>
          <w:sz w:val="28"/>
          <w:szCs w:val="28"/>
        </w:rPr>
        <w:t xml:space="preserve"> з легкістю беруть кошти в борг для вирішення власних матеріальних</w:t>
      </w:r>
      <w:r>
        <w:rPr>
          <w:rFonts w:ascii="Times New Roman" w:hAnsi="Times New Roman" w:cs="Times New Roman"/>
          <w:sz w:val="28"/>
          <w:szCs w:val="28"/>
        </w:rPr>
        <w:t xml:space="preserve"> чи інших</w:t>
      </w:r>
      <w:r w:rsidRPr="00D775EF">
        <w:rPr>
          <w:rFonts w:ascii="Times New Roman" w:hAnsi="Times New Roman" w:cs="Times New Roman"/>
          <w:sz w:val="28"/>
          <w:szCs w:val="28"/>
        </w:rPr>
        <w:t xml:space="preserve"> проблем, інші </w:t>
      </w:r>
      <w:r>
        <w:rPr>
          <w:rFonts w:ascii="Times New Roman" w:hAnsi="Times New Roman" w:cs="Times New Roman"/>
          <w:sz w:val="28"/>
          <w:szCs w:val="28"/>
        </w:rPr>
        <w:t xml:space="preserve">ж </w:t>
      </w:r>
      <w:r w:rsidRPr="00D775EF">
        <w:rPr>
          <w:rFonts w:ascii="Times New Roman" w:hAnsi="Times New Roman" w:cs="Times New Roman"/>
          <w:sz w:val="28"/>
          <w:szCs w:val="28"/>
        </w:rPr>
        <w:t>ставляться до кредиту з обережністю</w:t>
      </w:r>
      <w:r>
        <w:rPr>
          <w:rFonts w:ascii="Times New Roman" w:hAnsi="Times New Roman" w:cs="Times New Roman"/>
          <w:sz w:val="28"/>
          <w:szCs w:val="28"/>
        </w:rPr>
        <w:t xml:space="preserve"> або сприймають його вкрай негативно (табл. 1)</w:t>
      </w:r>
      <w:r w:rsidRPr="00D775EF">
        <w:rPr>
          <w:rFonts w:ascii="Times New Roman" w:hAnsi="Times New Roman" w:cs="Times New Roman"/>
          <w:sz w:val="28"/>
          <w:szCs w:val="28"/>
        </w:rPr>
        <w:t>.</w:t>
      </w:r>
    </w:p>
    <w:p w:rsidR="00D57E84" w:rsidRPr="00D57E84" w:rsidRDefault="00D57E84" w:rsidP="00D57E8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7E84">
        <w:rPr>
          <w:rFonts w:ascii="Times New Roman" w:hAnsi="Times New Roman" w:cs="Times New Roman"/>
          <w:i/>
          <w:sz w:val="28"/>
          <w:szCs w:val="28"/>
        </w:rPr>
        <w:t>Таблиця 1</w:t>
      </w:r>
    </w:p>
    <w:p w:rsidR="00D57E84" w:rsidRPr="00D57E84" w:rsidRDefault="00D57E84" w:rsidP="00D57E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7E84">
        <w:rPr>
          <w:rFonts w:ascii="Times New Roman" w:hAnsi="Times New Roman" w:cs="Times New Roman"/>
          <w:sz w:val="28"/>
          <w:szCs w:val="28"/>
        </w:rPr>
        <w:t>Типи сприйняття кредиту населенням*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D57E84" w:rsidRPr="00D57E84" w:rsidTr="00D57E84">
        <w:trPr>
          <w:trHeight w:val="386"/>
        </w:trPr>
        <w:tc>
          <w:tcPr>
            <w:tcW w:w="3227" w:type="dxa"/>
          </w:tcPr>
          <w:p w:rsidR="00D57E84" w:rsidRPr="00D57E84" w:rsidRDefault="00D57E84" w:rsidP="00D57E8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84">
              <w:rPr>
                <w:rFonts w:ascii="Times New Roman" w:hAnsi="Times New Roman" w:cs="Times New Roman"/>
                <w:sz w:val="28"/>
                <w:szCs w:val="28"/>
              </w:rPr>
              <w:t>Позитивне</w:t>
            </w:r>
          </w:p>
        </w:tc>
        <w:tc>
          <w:tcPr>
            <w:tcW w:w="3118" w:type="dxa"/>
          </w:tcPr>
          <w:p w:rsidR="00D57E84" w:rsidRPr="00D57E84" w:rsidRDefault="00D57E84" w:rsidP="00D57E8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84">
              <w:rPr>
                <w:rFonts w:ascii="Times New Roman" w:hAnsi="Times New Roman" w:cs="Times New Roman"/>
                <w:sz w:val="28"/>
                <w:szCs w:val="28"/>
              </w:rPr>
              <w:t>Негативне</w:t>
            </w:r>
          </w:p>
        </w:tc>
        <w:tc>
          <w:tcPr>
            <w:tcW w:w="3402" w:type="dxa"/>
          </w:tcPr>
          <w:p w:rsidR="00D57E84" w:rsidRPr="00D57E84" w:rsidRDefault="00D57E84" w:rsidP="00D57E8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84">
              <w:rPr>
                <w:rFonts w:ascii="Times New Roman" w:hAnsi="Times New Roman" w:cs="Times New Roman"/>
                <w:sz w:val="28"/>
                <w:szCs w:val="28"/>
              </w:rPr>
              <w:t>Нейтральне</w:t>
            </w:r>
          </w:p>
        </w:tc>
      </w:tr>
      <w:tr w:rsidR="00D57E84" w:rsidRPr="00D775EF" w:rsidTr="00D57E84">
        <w:trPr>
          <w:trHeight w:val="415"/>
        </w:trPr>
        <w:tc>
          <w:tcPr>
            <w:tcW w:w="3227" w:type="dxa"/>
          </w:tcPr>
          <w:p w:rsidR="00D57E84" w:rsidRPr="00460D1A" w:rsidRDefault="00D57E84" w:rsidP="00460D1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1A">
              <w:rPr>
                <w:rFonts w:ascii="Times New Roman" w:hAnsi="Times New Roman" w:cs="Times New Roman"/>
                <w:sz w:val="24"/>
                <w:szCs w:val="24"/>
              </w:rPr>
              <w:t>схвальне ставлення членів домогосподарства до кредиту (досить часто використовують запозичені кошти для задоволення нагальних потреб)</w:t>
            </w:r>
          </w:p>
        </w:tc>
        <w:tc>
          <w:tcPr>
            <w:tcW w:w="3118" w:type="dxa"/>
          </w:tcPr>
          <w:p w:rsidR="00D57E84" w:rsidRPr="00460D1A" w:rsidRDefault="00D57E84" w:rsidP="00460D1A">
            <w:pPr>
              <w:numPr>
                <w:ilvl w:val="0"/>
                <w:numId w:val="4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0D1A">
              <w:rPr>
                <w:rFonts w:ascii="Times New Roman" w:hAnsi="Times New Roman" w:cs="Times New Roman"/>
                <w:sz w:val="24"/>
                <w:szCs w:val="24"/>
              </w:rPr>
              <w:t>небажання членів домогосподарства залучати кредитні ресурси за будь-яких умов</w:t>
            </w:r>
          </w:p>
        </w:tc>
        <w:tc>
          <w:tcPr>
            <w:tcW w:w="3402" w:type="dxa"/>
          </w:tcPr>
          <w:p w:rsidR="00D57E84" w:rsidRPr="00460D1A" w:rsidRDefault="00D57E84" w:rsidP="00460D1A">
            <w:pPr>
              <w:numPr>
                <w:ilvl w:val="0"/>
                <w:numId w:val="5"/>
              </w:numPr>
              <w:tabs>
                <w:tab w:val="clear" w:pos="720"/>
                <w:tab w:val="num" w:pos="46"/>
              </w:tabs>
              <w:spacing w:after="0"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0D1A">
              <w:rPr>
                <w:rFonts w:ascii="Times New Roman" w:hAnsi="Times New Roman" w:cs="Times New Roman"/>
                <w:sz w:val="24"/>
                <w:szCs w:val="24"/>
              </w:rPr>
              <w:t>члени домогосподарства не проявляють зацікавленості в кредитних коштах, ставляться до них байдуже, але в критичній ситуації можуть ними скористатися</w:t>
            </w:r>
          </w:p>
          <w:p w:rsidR="00D57E84" w:rsidRPr="00460D1A" w:rsidRDefault="00D57E84" w:rsidP="0046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84" w:rsidRPr="00D57E84" w:rsidTr="00D57E84">
        <w:trPr>
          <w:trHeight w:val="699"/>
        </w:trPr>
        <w:tc>
          <w:tcPr>
            <w:tcW w:w="3227" w:type="dxa"/>
            <w:vAlign w:val="center"/>
          </w:tcPr>
          <w:p w:rsidR="00D57E84" w:rsidRPr="00460D1A" w:rsidRDefault="00D57E84" w:rsidP="00D57E8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1A">
              <w:rPr>
                <w:rFonts w:ascii="Times New Roman" w:hAnsi="Times New Roman" w:cs="Times New Roman"/>
                <w:sz w:val="24"/>
                <w:szCs w:val="24"/>
              </w:rPr>
              <w:t>Активна кредитна поведінка</w:t>
            </w:r>
          </w:p>
        </w:tc>
        <w:tc>
          <w:tcPr>
            <w:tcW w:w="6520" w:type="dxa"/>
            <w:gridSpan w:val="2"/>
            <w:vAlign w:val="center"/>
          </w:tcPr>
          <w:p w:rsidR="00D57E84" w:rsidRPr="00460D1A" w:rsidRDefault="00D57E84" w:rsidP="00D57E84">
            <w:pPr>
              <w:spacing w:after="0" w:line="240" w:lineRule="auto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1A">
              <w:rPr>
                <w:rFonts w:ascii="Times New Roman" w:hAnsi="Times New Roman" w:cs="Times New Roman"/>
                <w:sz w:val="24"/>
                <w:szCs w:val="24"/>
              </w:rPr>
              <w:t>Пасивна кредитна поведінка</w:t>
            </w:r>
          </w:p>
        </w:tc>
      </w:tr>
    </w:tbl>
    <w:p w:rsidR="00D57E84" w:rsidRDefault="00D57E84" w:rsidP="00D57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7E84" w:rsidRDefault="00D57E84" w:rsidP="00E0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Відтак можемо стверджувати, що а</w:t>
      </w:r>
      <w:r w:rsidRPr="00D775EF">
        <w:rPr>
          <w:rFonts w:ascii="Times New Roman" w:hAnsi="Times New Roman" w:cs="Times New Roman"/>
          <w:sz w:val="28"/>
          <w:szCs w:val="28"/>
        </w:rPr>
        <w:t xml:space="preserve">ктивна кредитна поведінка </w:t>
      </w:r>
      <w:r>
        <w:rPr>
          <w:rFonts w:ascii="Times New Roman" w:hAnsi="Times New Roman" w:cs="Times New Roman"/>
          <w:sz w:val="28"/>
          <w:szCs w:val="28"/>
        </w:rPr>
        <w:t>властив</w:t>
      </w:r>
      <w:r w:rsidRPr="00D775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D775EF">
        <w:rPr>
          <w:rFonts w:ascii="Times New Roman" w:hAnsi="Times New Roman" w:cs="Times New Roman"/>
          <w:sz w:val="28"/>
          <w:szCs w:val="28"/>
        </w:rPr>
        <w:t xml:space="preserve"> домогосподарств, які поз</w:t>
      </w:r>
      <w:bookmarkStart w:id="0" w:name="_GoBack"/>
      <w:bookmarkEnd w:id="0"/>
      <w:r w:rsidRPr="00D775EF">
        <w:rPr>
          <w:rFonts w:ascii="Times New Roman" w:hAnsi="Times New Roman" w:cs="Times New Roman"/>
          <w:sz w:val="28"/>
          <w:szCs w:val="28"/>
        </w:rPr>
        <w:t>итивно ставляться до залучення к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D775EF">
        <w:rPr>
          <w:rFonts w:ascii="Times New Roman" w:hAnsi="Times New Roman" w:cs="Times New Roman"/>
          <w:sz w:val="28"/>
          <w:szCs w:val="28"/>
        </w:rPr>
        <w:t xml:space="preserve">тів, з легкістю вступають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75EF">
        <w:rPr>
          <w:rFonts w:ascii="Times New Roman" w:hAnsi="Times New Roman" w:cs="Times New Roman"/>
          <w:sz w:val="28"/>
          <w:szCs w:val="28"/>
        </w:rPr>
        <w:t xml:space="preserve"> кредитні відносини, є фінансово обізнаними та не бояться ризикувати. Домогосподарства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EBB">
        <w:rPr>
          <w:rFonts w:ascii="Times New Roman" w:hAnsi="Times New Roman" w:cs="Times New Roman"/>
          <w:sz w:val="28"/>
          <w:szCs w:val="28"/>
        </w:rPr>
        <w:t>котрим</w:t>
      </w:r>
      <w:r>
        <w:rPr>
          <w:rFonts w:ascii="Times New Roman" w:hAnsi="Times New Roman" w:cs="Times New Roman"/>
          <w:sz w:val="28"/>
          <w:szCs w:val="28"/>
        </w:rPr>
        <w:t xml:space="preserve"> властива</w:t>
      </w:r>
      <w:r w:rsidRPr="00D775EF">
        <w:rPr>
          <w:rFonts w:ascii="Times New Roman" w:hAnsi="Times New Roman" w:cs="Times New Roman"/>
          <w:sz w:val="28"/>
          <w:szCs w:val="28"/>
        </w:rPr>
        <w:t xml:space="preserve"> пасивн</w:t>
      </w:r>
      <w:r w:rsidR="00E03EBB">
        <w:rPr>
          <w:rFonts w:ascii="Times New Roman" w:hAnsi="Times New Roman" w:cs="Times New Roman"/>
          <w:sz w:val="28"/>
          <w:szCs w:val="28"/>
        </w:rPr>
        <w:t>а</w:t>
      </w:r>
      <w:r w:rsidRPr="00D775EF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E03EBB">
        <w:rPr>
          <w:rFonts w:ascii="Times New Roman" w:hAnsi="Times New Roman" w:cs="Times New Roman"/>
          <w:sz w:val="28"/>
          <w:szCs w:val="28"/>
        </w:rPr>
        <w:t>а</w:t>
      </w:r>
      <w:r w:rsidRPr="00D775EF">
        <w:rPr>
          <w:rFonts w:ascii="Times New Roman" w:hAnsi="Times New Roman" w:cs="Times New Roman"/>
          <w:sz w:val="28"/>
          <w:szCs w:val="28"/>
        </w:rPr>
        <w:t xml:space="preserve"> поведінк</w:t>
      </w:r>
      <w:r w:rsidR="00E03EBB">
        <w:rPr>
          <w:rFonts w:ascii="Times New Roman" w:hAnsi="Times New Roman" w:cs="Times New Roman"/>
          <w:sz w:val="28"/>
          <w:szCs w:val="28"/>
        </w:rPr>
        <w:t>а,</w:t>
      </w:r>
      <w:r w:rsidRPr="00D775EF">
        <w:rPr>
          <w:rFonts w:ascii="Times New Roman" w:hAnsi="Times New Roman" w:cs="Times New Roman"/>
          <w:sz w:val="28"/>
          <w:szCs w:val="28"/>
        </w:rPr>
        <w:t xml:space="preserve"> характеризуються негативним ставленням </w:t>
      </w:r>
      <w:r w:rsidR="00E03EBB">
        <w:rPr>
          <w:rFonts w:ascii="Times New Roman" w:hAnsi="Times New Roman" w:cs="Times New Roman"/>
          <w:sz w:val="28"/>
          <w:szCs w:val="28"/>
        </w:rPr>
        <w:t xml:space="preserve">його членів </w:t>
      </w:r>
      <w:r w:rsidRPr="00D775EF">
        <w:rPr>
          <w:rFonts w:ascii="Times New Roman" w:hAnsi="Times New Roman" w:cs="Times New Roman"/>
          <w:sz w:val="28"/>
          <w:szCs w:val="28"/>
        </w:rPr>
        <w:t>до життя в борг. Це</w:t>
      </w:r>
      <w:r w:rsidR="00E03EBB">
        <w:rPr>
          <w:rFonts w:ascii="Times New Roman" w:hAnsi="Times New Roman" w:cs="Times New Roman"/>
          <w:sz w:val="28"/>
          <w:szCs w:val="28"/>
        </w:rPr>
        <w:t xml:space="preserve">, як правило, </w:t>
      </w:r>
      <w:r w:rsidRPr="00D775EF">
        <w:rPr>
          <w:rFonts w:ascii="Times New Roman" w:hAnsi="Times New Roman" w:cs="Times New Roman"/>
          <w:sz w:val="28"/>
          <w:szCs w:val="28"/>
        </w:rPr>
        <w:t xml:space="preserve">індивіди, </w:t>
      </w:r>
      <w:r w:rsidR="00E03EBB">
        <w:rPr>
          <w:rFonts w:ascii="Times New Roman" w:hAnsi="Times New Roman" w:cs="Times New Roman"/>
          <w:sz w:val="28"/>
          <w:szCs w:val="28"/>
        </w:rPr>
        <w:t>котр</w:t>
      </w:r>
      <w:r w:rsidRPr="00D775EF">
        <w:rPr>
          <w:rFonts w:ascii="Times New Roman" w:hAnsi="Times New Roman" w:cs="Times New Roman"/>
          <w:sz w:val="28"/>
          <w:szCs w:val="28"/>
        </w:rPr>
        <w:t xml:space="preserve">і жодного разу не користувалися кредитом, оскільки не бажають </w:t>
      </w:r>
      <w:r w:rsidR="00E03EBB">
        <w:rPr>
          <w:rFonts w:ascii="Times New Roman" w:hAnsi="Times New Roman" w:cs="Times New Roman"/>
          <w:sz w:val="28"/>
          <w:szCs w:val="28"/>
        </w:rPr>
        <w:t xml:space="preserve">будь-чим </w:t>
      </w:r>
      <w:r w:rsidRPr="00D775EF">
        <w:rPr>
          <w:rFonts w:ascii="Times New Roman" w:hAnsi="Times New Roman" w:cs="Times New Roman"/>
          <w:sz w:val="28"/>
          <w:szCs w:val="28"/>
        </w:rPr>
        <w:t xml:space="preserve">ризикувати. Пасивна кредитна поведінка також притаманна </w:t>
      </w:r>
      <w:r w:rsidR="00E03EBB">
        <w:rPr>
          <w:rFonts w:ascii="Times New Roman" w:hAnsi="Times New Roman" w:cs="Times New Roman"/>
          <w:sz w:val="28"/>
          <w:szCs w:val="28"/>
        </w:rPr>
        <w:t xml:space="preserve">і </w:t>
      </w:r>
      <w:r w:rsidRPr="00D775EF">
        <w:rPr>
          <w:rFonts w:ascii="Times New Roman" w:hAnsi="Times New Roman" w:cs="Times New Roman"/>
          <w:sz w:val="28"/>
          <w:szCs w:val="28"/>
        </w:rPr>
        <w:t xml:space="preserve">домогосподарствам, які нейтрально ставляться до кредиту, оскільки </w:t>
      </w:r>
      <w:r w:rsidR="00E03EBB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D775EF">
        <w:rPr>
          <w:rFonts w:ascii="Times New Roman" w:hAnsi="Times New Roman" w:cs="Times New Roman"/>
          <w:sz w:val="28"/>
          <w:szCs w:val="28"/>
        </w:rPr>
        <w:t xml:space="preserve">індивіди не проявляють інтересу до кредитних </w:t>
      </w:r>
      <w:r w:rsidR="00E03EBB">
        <w:rPr>
          <w:rFonts w:ascii="Times New Roman" w:hAnsi="Times New Roman" w:cs="Times New Roman"/>
          <w:sz w:val="28"/>
          <w:szCs w:val="28"/>
        </w:rPr>
        <w:t>ресурс</w:t>
      </w:r>
      <w:r w:rsidRPr="00D775EF">
        <w:rPr>
          <w:rFonts w:ascii="Times New Roman" w:hAnsi="Times New Roman" w:cs="Times New Roman"/>
          <w:sz w:val="28"/>
          <w:szCs w:val="28"/>
        </w:rPr>
        <w:t>ів і залучають їх лише у випадку мотивованої потреби.</w:t>
      </w:r>
    </w:p>
    <w:p w:rsidR="00E03EBB" w:rsidRPr="00D775EF" w:rsidRDefault="00E03EBB" w:rsidP="00E0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формування типів кредитної поведінки домогосподарств суттєвий вплив здійснюють низка</w:t>
      </w:r>
      <w:r w:rsidRPr="00D775EF">
        <w:rPr>
          <w:rFonts w:ascii="Times New Roman" w:hAnsi="Times New Roman" w:cs="Times New Roman"/>
          <w:sz w:val="28"/>
          <w:szCs w:val="28"/>
        </w:rPr>
        <w:t xml:space="preserve"> соціально-економічни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75EF">
        <w:rPr>
          <w:rFonts w:ascii="Times New Roman" w:hAnsi="Times New Roman" w:cs="Times New Roman"/>
          <w:sz w:val="28"/>
          <w:szCs w:val="28"/>
        </w:rPr>
        <w:t xml:space="preserve"> чинник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77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серед яких виокремимо</w:t>
      </w:r>
      <w:r w:rsidRPr="00D775EF">
        <w:rPr>
          <w:rFonts w:ascii="Times New Roman" w:hAnsi="Times New Roman" w:cs="Times New Roman"/>
          <w:sz w:val="28"/>
          <w:szCs w:val="28"/>
        </w:rPr>
        <w:t xml:space="preserve"> наступні:</w:t>
      </w:r>
    </w:p>
    <w:p w:rsidR="00E03EBB" w:rsidRPr="00D775EF" w:rsidRDefault="00E03EBB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D775EF">
        <w:rPr>
          <w:sz w:val="28"/>
          <w:szCs w:val="28"/>
          <w:lang w:val="uk-UA"/>
        </w:rPr>
        <w:t>соціальне схвалення боргів: в сучасному суспільстві кредит виступає дієвим механізмом покращення рівня життя населення;</w:t>
      </w:r>
    </w:p>
    <w:p w:rsidR="00E03EBB" w:rsidRPr="00D775EF" w:rsidRDefault="00E03EBB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D775EF">
        <w:rPr>
          <w:sz w:val="28"/>
          <w:szCs w:val="28"/>
          <w:lang w:val="uk-UA"/>
        </w:rPr>
        <w:t>економічна соціалізація: домогосподарства, котрі ставляться до кредитів стримано, здатні передавати свій тип поведінки майбутнім поколінням;</w:t>
      </w:r>
    </w:p>
    <w:p w:rsidR="00E03EBB" w:rsidRPr="00D775EF" w:rsidRDefault="00E03EBB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D775EF">
        <w:rPr>
          <w:sz w:val="28"/>
          <w:szCs w:val="28"/>
          <w:lang w:val="uk-UA"/>
        </w:rPr>
        <w:t xml:space="preserve">соціальне порівняння: багато </w:t>
      </w:r>
      <w:r>
        <w:rPr>
          <w:sz w:val="28"/>
          <w:szCs w:val="28"/>
          <w:lang w:val="uk-UA"/>
        </w:rPr>
        <w:t>домогосподарств</w:t>
      </w:r>
      <w:r w:rsidRPr="00D775EF">
        <w:rPr>
          <w:sz w:val="28"/>
          <w:szCs w:val="28"/>
          <w:lang w:val="uk-UA"/>
        </w:rPr>
        <w:t xml:space="preserve"> живуть </w:t>
      </w:r>
      <w:r>
        <w:rPr>
          <w:sz w:val="28"/>
          <w:szCs w:val="28"/>
          <w:lang w:val="uk-UA"/>
        </w:rPr>
        <w:t>за</w:t>
      </w:r>
      <w:r w:rsidRPr="00D775EF">
        <w:rPr>
          <w:sz w:val="28"/>
          <w:szCs w:val="28"/>
          <w:lang w:val="uk-UA"/>
        </w:rPr>
        <w:t xml:space="preserve"> принцип</w:t>
      </w:r>
      <w:r>
        <w:rPr>
          <w:sz w:val="28"/>
          <w:szCs w:val="28"/>
          <w:lang w:val="uk-UA"/>
        </w:rPr>
        <w:t>ом</w:t>
      </w:r>
      <w:r w:rsidRPr="00D775EF">
        <w:rPr>
          <w:sz w:val="28"/>
          <w:szCs w:val="28"/>
          <w:lang w:val="uk-UA"/>
        </w:rPr>
        <w:t xml:space="preserve"> «не гірше </w:t>
      </w:r>
      <w:r w:rsidR="00F51D1E">
        <w:rPr>
          <w:sz w:val="28"/>
          <w:szCs w:val="28"/>
          <w:lang w:val="uk-UA"/>
        </w:rPr>
        <w:t xml:space="preserve">за </w:t>
      </w:r>
      <w:r w:rsidRPr="00D775EF">
        <w:rPr>
          <w:sz w:val="28"/>
          <w:szCs w:val="28"/>
          <w:lang w:val="uk-UA"/>
        </w:rPr>
        <w:t>інших»</w:t>
      </w:r>
      <w:r w:rsidR="00F51D1E">
        <w:rPr>
          <w:sz w:val="28"/>
          <w:szCs w:val="28"/>
          <w:lang w:val="uk-UA"/>
        </w:rPr>
        <w:t>,</w:t>
      </w:r>
      <w:r w:rsidRPr="00D775EF">
        <w:rPr>
          <w:sz w:val="28"/>
          <w:szCs w:val="28"/>
          <w:lang w:val="uk-UA"/>
        </w:rPr>
        <w:t xml:space="preserve"> прирівнюючи себе до більш забезпечених категорій населення, а це, в свою чергу, спонукає їх до </w:t>
      </w:r>
      <w:r w:rsidR="00F51D1E">
        <w:rPr>
          <w:sz w:val="28"/>
          <w:szCs w:val="28"/>
          <w:lang w:val="uk-UA"/>
        </w:rPr>
        <w:t>залуче</w:t>
      </w:r>
      <w:r w:rsidRPr="00D775EF">
        <w:rPr>
          <w:sz w:val="28"/>
          <w:szCs w:val="28"/>
          <w:lang w:val="uk-UA"/>
        </w:rPr>
        <w:t>ння кредитни</w:t>
      </w:r>
      <w:r w:rsidR="00F51D1E">
        <w:rPr>
          <w:sz w:val="28"/>
          <w:szCs w:val="28"/>
          <w:lang w:val="uk-UA"/>
        </w:rPr>
        <w:t>х</w:t>
      </w:r>
      <w:r w:rsidRPr="00D775EF">
        <w:rPr>
          <w:sz w:val="28"/>
          <w:szCs w:val="28"/>
          <w:lang w:val="uk-UA"/>
        </w:rPr>
        <w:t xml:space="preserve"> </w:t>
      </w:r>
      <w:r w:rsidR="00F51D1E">
        <w:rPr>
          <w:sz w:val="28"/>
          <w:szCs w:val="28"/>
          <w:lang w:val="uk-UA"/>
        </w:rPr>
        <w:t>ресурсів</w:t>
      </w:r>
      <w:r w:rsidRPr="00D775EF">
        <w:rPr>
          <w:sz w:val="28"/>
          <w:szCs w:val="28"/>
          <w:lang w:val="uk-UA"/>
        </w:rPr>
        <w:t xml:space="preserve"> для підвищення рівня життя;</w:t>
      </w:r>
    </w:p>
    <w:p w:rsidR="00E03EBB" w:rsidRPr="00D775EF" w:rsidRDefault="00FC6C49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відсутність навиків </w:t>
      </w:r>
      <w:r w:rsidR="00E03EBB" w:rsidRPr="00D775EF">
        <w:rPr>
          <w:sz w:val="28"/>
          <w:szCs w:val="28"/>
          <w:lang w:val="uk-UA"/>
        </w:rPr>
        <w:t>управління особистими фінансами: через не</w:t>
      </w:r>
      <w:r>
        <w:rPr>
          <w:sz w:val="28"/>
          <w:szCs w:val="28"/>
          <w:lang w:val="uk-UA"/>
        </w:rPr>
        <w:t>належний облік та аналіз</w:t>
      </w:r>
      <w:r w:rsidR="00E03EBB" w:rsidRPr="00D775EF">
        <w:rPr>
          <w:sz w:val="28"/>
          <w:szCs w:val="28"/>
          <w:lang w:val="uk-UA"/>
        </w:rPr>
        <w:t xml:space="preserve"> доходів </w:t>
      </w:r>
      <w:r>
        <w:rPr>
          <w:sz w:val="28"/>
          <w:szCs w:val="28"/>
          <w:lang w:val="uk-UA"/>
        </w:rPr>
        <w:t>і</w:t>
      </w:r>
      <w:r w:rsidR="00E03EBB" w:rsidRPr="00D775EF">
        <w:rPr>
          <w:sz w:val="28"/>
          <w:szCs w:val="28"/>
          <w:lang w:val="uk-UA"/>
        </w:rPr>
        <w:t xml:space="preserve"> витрат у домогосподарств виникає потреба у залученні кредитних коштів;</w:t>
      </w:r>
    </w:p>
    <w:p w:rsidR="00E03EBB" w:rsidRPr="00D775EF" w:rsidRDefault="00E03EBB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D775EF">
        <w:rPr>
          <w:sz w:val="28"/>
          <w:szCs w:val="28"/>
          <w:lang w:val="uk-UA"/>
        </w:rPr>
        <w:t>кредитний досвід: домогосподарствам, котрі вже мали справу з кредитами</w:t>
      </w:r>
      <w:r w:rsidR="00FC6C49">
        <w:rPr>
          <w:sz w:val="28"/>
          <w:szCs w:val="28"/>
          <w:lang w:val="uk-UA"/>
        </w:rPr>
        <w:t>,</w:t>
      </w:r>
      <w:r w:rsidRPr="00D775EF">
        <w:rPr>
          <w:sz w:val="28"/>
          <w:szCs w:val="28"/>
          <w:lang w:val="uk-UA"/>
        </w:rPr>
        <w:t xml:space="preserve"> набагато легше брати кошти в борг, аніж тим, котрі не мали досвіду запозичення;</w:t>
      </w:r>
    </w:p>
    <w:p w:rsidR="00E03EBB" w:rsidRPr="00D775EF" w:rsidRDefault="00E03EBB" w:rsidP="00E03EB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D775EF">
        <w:rPr>
          <w:sz w:val="28"/>
          <w:szCs w:val="28"/>
          <w:lang w:val="uk-UA"/>
        </w:rPr>
        <w:t>рівень фінансової грамотності: у сучасному суспільстві обізнаність у фінансовій сфері дає можливість індивідам осмислювати й аналізувати інформацію, що надходить з різноманітних джерел</w:t>
      </w:r>
      <w:r w:rsidR="00FC6C49">
        <w:rPr>
          <w:sz w:val="28"/>
          <w:szCs w:val="28"/>
          <w:lang w:val="uk-UA"/>
        </w:rPr>
        <w:t>,</w:t>
      </w:r>
      <w:r w:rsidRPr="00D775EF">
        <w:rPr>
          <w:sz w:val="28"/>
          <w:szCs w:val="28"/>
          <w:lang w:val="uk-UA"/>
        </w:rPr>
        <w:t xml:space="preserve"> для прийняття </w:t>
      </w:r>
      <w:r w:rsidR="00FC6C49">
        <w:rPr>
          <w:sz w:val="28"/>
          <w:szCs w:val="28"/>
          <w:lang w:val="uk-UA"/>
        </w:rPr>
        <w:t xml:space="preserve">ефективних </w:t>
      </w:r>
      <w:r w:rsidRPr="00D775EF">
        <w:rPr>
          <w:sz w:val="28"/>
          <w:szCs w:val="28"/>
          <w:lang w:val="uk-UA"/>
        </w:rPr>
        <w:t>фінансових рішень. Освіченим людям легше адаптуватися до нових економічних умов. Проте</w:t>
      </w:r>
      <w:r w:rsidR="00FC6C49">
        <w:rPr>
          <w:sz w:val="28"/>
          <w:szCs w:val="28"/>
          <w:lang w:val="uk-UA"/>
        </w:rPr>
        <w:t xml:space="preserve"> у</w:t>
      </w:r>
      <w:r w:rsidRPr="00D775EF">
        <w:rPr>
          <w:sz w:val="28"/>
          <w:szCs w:val="28"/>
          <w:lang w:val="uk-UA"/>
        </w:rPr>
        <w:t xml:space="preserve"> підвищенні рівня фінансової </w:t>
      </w:r>
      <w:r w:rsidR="00FC6C49">
        <w:rPr>
          <w:sz w:val="28"/>
          <w:szCs w:val="28"/>
          <w:lang w:val="uk-UA"/>
        </w:rPr>
        <w:t>грамот</w:t>
      </w:r>
      <w:r w:rsidRPr="00D775EF">
        <w:rPr>
          <w:sz w:val="28"/>
          <w:szCs w:val="28"/>
          <w:lang w:val="uk-UA"/>
        </w:rPr>
        <w:t xml:space="preserve">ності населення </w:t>
      </w:r>
      <w:r w:rsidR="00FC6C49">
        <w:rPr>
          <w:sz w:val="28"/>
          <w:szCs w:val="28"/>
          <w:lang w:val="uk-UA"/>
        </w:rPr>
        <w:t>мають</w:t>
      </w:r>
      <w:r w:rsidRPr="00D775EF">
        <w:rPr>
          <w:sz w:val="28"/>
          <w:szCs w:val="28"/>
          <w:lang w:val="uk-UA"/>
        </w:rPr>
        <w:t xml:space="preserve"> бути зацікавлені не лише </w:t>
      </w:r>
      <w:r w:rsidR="00FC6C49">
        <w:rPr>
          <w:sz w:val="28"/>
          <w:szCs w:val="28"/>
          <w:lang w:val="uk-UA"/>
        </w:rPr>
        <w:t>члени домогосподарств</w:t>
      </w:r>
      <w:r w:rsidRPr="00D775EF">
        <w:rPr>
          <w:sz w:val="28"/>
          <w:szCs w:val="28"/>
          <w:lang w:val="uk-UA"/>
        </w:rPr>
        <w:t xml:space="preserve">, але й держава, яка </w:t>
      </w:r>
      <w:r w:rsidR="00FC6C49">
        <w:rPr>
          <w:sz w:val="28"/>
          <w:szCs w:val="28"/>
          <w:lang w:val="uk-UA"/>
        </w:rPr>
        <w:t>повинна</w:t>
      </w:r>
      <w:r w:rsidRPr="00D775EF">
        <w:rPr>
          <w:sz w:val="28"/>
          <w:szCs w:val="28"/>
          <w:lang w:val="uk-UA"/>
        </w:rPr>
        <w:t xml:space="preserve"> створювати необхідні умови для організації і проведення різноманітних освітніх програм фінансово-економічного спрямування.</w:t>
      </w:r>
    </w:p>
    <w:p w:rsidR="00F6672D" w:rsidRPr="00D775EF" w:rsidRDefault="00F6672D" w:rsidP="00F6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Насамкінець зазначимо, що н</w:t>
      </w:r>
      <w:r w:rsidRPr="00D775EF">
        <w:rPr>
          <w:rFonts w:ascii="Times New Roman" w:hAnsi="Times New Roman" w:cs="Times New Roman"/>
          <w:sz w:val="28"/>
          <w:szCs w:val="28"/>
        </w:rPr>
        <w:t xml:space="preserve">езважаючи на недостатню матеріальну забезпеченість більшості </w:t>
      </w:r>
      <w:r>
        <w:rPr>
          <w:rFonts w:ascii="Times New Roman" w:hAnsi="Times New Roman" w:cs="Times New Roman"/>
          <w:sz w:val="28"/>
          <w:szCs w:val="28"/>
        </w:rPr>
        <w:t xml:space="preserve">вітчизняних </w:t>
      </w:r>
      <w:r w:rsidRPr="00D775EF">
        <w:rPr>
          <w:rFonts w:ascii="Times New Roman" w:hAnsi="Times New Roman" w:cs="Times New Roman"/>
          <w:sz w:val="28"/>
          <w:szCs w:val="28"/>
        </w:rPr>
        <w:t xml:space="preserve">домогосподарств, </w:t>
      </w:r>
      <w:r>
        <w:rPr>
          <w:rFonts w:ascii="Times New Roman" w:hAnsi="Times New Roman" w:cs="Times New Roman"/>
          <w:sz w:val="28"/>
          <w:szCs w:val="28"/>
        </w:rPr>
        <w:t xml:space="preserve">вважаємо, що </w:t>
      </w:r>
      <w:r w:rsidRPr="00D775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недалекому </w:t>
      </w:r>
      <w:r w:rsidRPr="00D775EF">
        <w:rPr>
          <w:rFonts w:ascii="Times New Roman" w:hAnsi="Times New Roman" w:cs="Times New Roman"/>
          <w:sz w:val="28"/>
          <w:szCs w:val="28"/>
        </w:rPr>
        <w:t xml:space="preserve">майбутньому саме кредит може виступити тим інструментом, який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75EF">
        <w:rPr>
          <w:rFonts w:ascii="Times New Roman" w:hAnsi="Times New Roman" w:cs="Times New Roman"/>
          <w:sz w:val="28"/>
          <w:szCs w:val="28"/>
        </w:rPr>
        <w:t xml:space="preserve"> довгостроковому періоді підвищувати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D775EF">
        <w:rPr>
          <w:rFonts w:ascii="Times New Roman" w:hAnsi="Times New Roman" w:cs="Times New Roman"/>
          <w:sz w:val="28"/>
          <w:szCs w:val="28"/>
        </w:rPr>
        <w:t xml:space="preserve"> добробут населення.</w:t>
      </w:r>
    </w:p>
    <w:p w:rsidR="00D775EF" w:rsidRPr="00D775EF" w:rsidRDefault="00D775EF" w:rsidP="00F1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75EF" w:rsidRPr="00D775EF" w:rsidSect="00F106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06" w:rsidRDefault="00F61D06" w:rsidP="00460D1A">
      <w:pPr>
        <w:spacing w:after="0" w:line="240" w:lineRule="auto"/>
      </w:pPr>
      <w:r>
        <w:separator/>
      </w:r>
    </w:p>
  </w:endnote>
  <w:endnote w:type="continuationSeparator" w:id="0">
    <w:p w:rsidR="00F61D06" w:rsidRDefault="00F61D06" w:rsidP="0046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06" w:rsidRDefault="00F61D06" w:rsidP="00460D1A">
      <w:pPr>
        <w:spacing w:after="0" w:line="240" w:lineRule="auto"/>
      </w:pPr>
      <w:r>
        <w:separator/>
      </w:r>
    </w:p>
  </w:footnote>
  <w:footnote w:type="continuationSeparator" w:id="0">
    <w:p w:rsidR="00F61D06" w:rsidRDefault="00F61D06" w:rsidP="0046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000000"/>
        <w:sz w:val="20"/>
        <w:szCs w:val="20"/>
      </w:rPr>
      <w:alias w:val="Заголовок"/>
      <w:id w:val="77738743"/>
      <w:placeholder>
        <w:docPart w:val="5C527232E20A440E92B41B1DD4313A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0D1A" w:rsidRPr="00460D1A" w:rsidRDefault="00460D1A" w:rsidP="00460D1A">
        <w:pPr>
          <w:pStyle w:val="a6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i/>
            <w:sz w:val="20"/>
            <w:szCs w:val="20"/>
          </w:rPr>
        </w:pPr>
        <w:r w:rsidRPr="00460D1A">
          <w:rPr>
            <w:i/>
            <w:color w:val="000000"/>
            <w:sz w:val="20"/>
            <w:szCs w:val="20"/>
          </w:rPr>
          <w:t>Проблеми та перспективи розвитку економіки освіти регіону: тези доп</w:t>
        </w:r>
        <w:r w:rsidRPr="00460D1A">
          <w:rPr>
            <w:i/>
            <w:color w:val="000000"/>
            <w:sz w:val="20"/>
            <w:szCs w:val="20"/>
          </w:rPr>
          <w:t>овідей</w:t>
        </w:r>
        <w:r w:rsidRPr="00460D1A">
          <w:rPr>
            <w:i/>
            <w:color w:val="000000"/>
            <w:sz w:val="20"/>
            <w:szCs w:val="20"/>
          </w:rPr>
          <w:t xml:space="preserve"> ХІ Міжнар</w:t>
        </w:r>
        <w:r w:rsidRPr="00460D1A">
          <w:rPr>
            <w:i/>
            <w:color w:val="000000"/>
            <w:sz w:val="20"/>
            <w:szCs w:val="20"/>
          </w:rPr>
          <w:t>одної</w:t>
        </w:r>
        <w:r w:rsidRPr="00460D1A">
          <w:rPr>
            <w:i/>
            <w:color w:val="000000"/>
            <w:sz w:val="20"/>
            <w:szCs w:val="20"/>
          </w:rPr>
          <w:t xml:space="preserve"> наук</w:t>
        </w:r>
        <w:r w:rsidRPr="00460D1A">
          <w:rPr>
            <w:i/>
            <w:color w:val="000000"/>
            <w:sz w:val="20"/>
            <w:szCs w:val="20"/>
          </w:rPr>
          <w:t>ово</w:t>
        </w:r>
        <w:r w:rsidRPr="00460D1A">
          <w:rPr>
            <w:i/>
            <w:color w:val="000000"/>
            <w:sz w:val="20"/>
            <w:szCs w:val="20"/>
          </w:rPr>
          <w:t>-практ</w:t>
        </w:r>
        <w:r w:rsidRPr="00460D1A">
          <w:rPr>
            <w:i/>
            <w:color w:val="000000"/>
            <w:sz w:val="20"/>
            <w:szCs w:val="20"/>
          </w:rPr>
          <w:t>ичної</w:t>
        </w:r>
        <w:r w:rsidRPr="00460D1A">
          <w:rPr>
            <w:i/>
            <w:color w:val="000000"/>
            <w:sz w:val="20"/>
            <w:szCs w:val="20"/>
          </w:rPr>
          <w:t xml:space="preserve"> конф</w:t>
        </w:r>
        <w:r w:rsidRPr="00460D1A">
          <w:rPr>
            <w:i/>
            <w:color w:val="000000"/>
            <w:sz w:val="20"/>
            <w:szCs w:val="20"/>
          </w:rPr>
          <w:t>еренції</w:t>
        </w:r>
        <w:r w:rsidRPr="00460D1A">
          <w:rPr>
            <w:i/>
            <w:color w:val="000000"/>
            <w:sz w:val="20"/>
            <w:szCs w:val="20"/>
          </w:rPr>
          <w:t xml:space="preserve"> аспір</w:t>
        </w:r>
        <w:r w:rsidRPr="00460D1A">
          <w:rPr>
            <w:i/>
            <w:color w:val="000000"/>
            <w:sz w:val="20"/>
            <w:szCs w:val="20"/>
          </w:rPr>
          <w:t>антів</w:t>
        </w:r>
        <w:r w:rsidRPr="00460D1A">
          <w:rPr>
            <w:i/>
            <w:color w:val="000000"/>
            <w:sz w:val="20"/>
            <w:szCs w:val="20"/>
          </w:rPr>
          <w:t>, молод</w:t>
        </w:r>
        <w:r w:rsidRPr="00460D1A">
          <w:rPr>
            <w:i/>
            <w:color w:val="000000"/>
            <w:sz w:val="20"/>
            <w:szCs w:val="20"/>
          </w:rPr>
          <w:t>их</w:t>
        </w:r>
        <w:r w:rsidRPr="00460D1A">
          <w:rPr>
            <w:i/>
            <w:color w:val="000000"/>
            <w:sz w:val="20"/>
            <w:szCs w:val="20"/>
          </w:rPr>
          <w:t xml:space="preserve"> вчен</w:t>
        </w:r>
        <w:r w:rsidRPr="00460D1A">
          <w:rPr>
            <w:i/>
            <w:color w:val="000000"/>
            <w:sz w:val="20"/>
            <w:szCs w:val="20"/>
          </w:rPr>
          <w:t>их</w:t>
        </w:r>
        <w:r w:rsidRPr="00460D1A">
          <w:rPr>
            <w:i/>
            <w:color w:val="000000"/>
            <w:sz w:val="20"/>
            <w:szCs w:val="20"/>
          </w:rPr>
          <w:t xml:space="preserve"> та науковців (м. Кременчук, 21 квіт</w:t>
        </w:r>
        <w:r w:rsidRPr="00460D1A">
          <w:rPr>
            <w:i/>
            <w:color w:val="000000"/>
            <w:sz w:val="20"/>
            <w:szCs w:val="20"/>
          </w:rPr>
          <w:t>ня</w:t>
        </w:r>
        <w:r w:rsidRPr="00460D1A">
          <w:rPr>
            <w:i/>
            <w:color w:val="000000"/>
            <w:sz w:val="20"/>
            <w:szCs w:val="20"/>
          </w:rPr>
          <w:t xml:space="preserve"> 2016 р.). – Кременчук: ПП Щербатих О.В., 2016. – С. 90-91.</w:t>
        </w:r>
      </w:p>
    </w:sdtContent>
  </w:sdt>
  <w:p w:rsidR="00460D1A" w:rsidRDefault="00460D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9B0"/>
    <w:multiLevelType w:val="hybridMultilevel"/>
    <w:tmpl w:val="BDB2C76C"/>
    <w:lvl w:ilvl="0" w:tplc="0ACC9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E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6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0B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3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2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C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2A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45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221B22"/>
    <w:multiLevelType w:val="hybridMultilevel"/>
    <w:tmpl w:val="2926FDB6"/>
    <w:lvl w:ilvl="0" w:tplc="E6749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8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8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8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4B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61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C3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D2340F"/>
    <w:multiLevelType w:val="hybridMultilevel"/>
    <w:tmpl w:val="BCF6CEC0"/>
    <w:lvl w:ilvl="0" w:tplc="15D00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A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E7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A9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62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A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C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4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4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523C33"/>
    <w:multiLevelType w:val="hybridMultilevel"/>
    <w:tmpl w:val="425E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C5A6F"/>
    <w:multiLevelType w:val="hybridMultilevel"/>
    <w:tmpl w:val="3A9E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D2"/>
    <w:rsid w:val="00220287"/>
    <w:rsid w:val="00460D1A"/>
    <w:rsid w:val="00561B4D"/>
    <w:rsid w:val="005C3EA5"/>
    <w:rsid w:val="00725ED2"/>
    <w:rsid w:val="007B1896"/>
    <w:rsid w:val="00831BBF"/>
    <w:rsid w:val="00912ABB"/>
    <w:rsid w:val="00D57E84"/>
    <w:rsid w:val="00D775EF"/>
    <w:rsid w:val="00DE5050"/>
    <w:rsid w:val="00E03EBB"/>
    <w:rsid w:val="00F10668"/>
    <w:rsid w:val="00F51D1E"/>
    <w:rsid w:val="00F61D06"/>
    <w:rsid w:val="00F6672D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D77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75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0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60D1A"/>
  </w:style>
  <w:style w:type="paragraph" w:styleId="a8">
    <w:name w:val="footer"/>
    <w:basedOn w:val="a"/>
    <w:link w:val="a9"/>
    <w:uiPriority w:val="99"/>
    <w:unhideWhenUsed/>
    <w:rsid w:val="00460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6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D77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75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0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60D1A"/>
  </w:style>
  <w:style w:type="paragraph" w:styleId="a8">
    <w:name w:val="footer"/>
    <w:basedOn w:val="a"/>
    <w:link w:val="a9"/>
    <w:uiPriority w:val="99"/>
    <w:unhideWhenUsed/>
    <w:rsid w:val="00460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6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527232E20A440E92B41B1DD4313AF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E07C503-C14C-4586-A620-381F56A58E53}"/>
      </w:docPartPr>
      <w:docPartBody>
        <w:p w:rsidR="00000000" w:rsidRDefault="00926615" w:rsidP="00926615">
          <w:pPr>
            <w:pStyle w:val="5C527232E20A440E92B41B1DD4313A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[Введіть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15"/>
    <w:rsid w:val="002F1B2A"/>
    <w:rsid w:val="009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527232E20A440E92B41B1DD4313AFA">
    <w:name w:val="5C527232E20A440E92B41B1DD4313AFA"/>
    <w:rsid w:val="009266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527232E20A440E92B41B1DD4313AFA">
    <w:name w:val="5C527232E20A440E92B41B1DD4313AFA"/>
    <w:rsid w:val="00926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Проблеми та перспективи розвитку економіки освіти регіону: тези доповідей ХІ Міжнародної науково-практичної конференції аспірантів, молодих вчених та науковців (м. Кременчук, 21 квітня 2016 р.). – Кременчук: ПП Щербатих О.В., 2016. – С. 90-91.</dc:title>
  <dc:subject/>
  <dc:creator>Tanya</dc:creator>
  <cp:keywords/>
  <dc:description/>
  <cp:lastModifiedBy>VovaG</cp:lastModifiedBy>
  <cp:revision>8</cp:revision>
  <dcterms:created xsi:type="dcterms:W3CDTF">2016-04-13T12:42:00Z</dcterms:created>
  <dcterms:modified xsi:type="dcterms:W3CDTF">2017-03-04T09:25:00Z</dcterms:modified>
</cp:coreProperties>
</file>