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4C6F9" w14:textId="77777777" w:rsidR="006B06A2" w:rsidRPr="006B06A2" w:rsidRDefault="006B06A2" w:rsidP="006B06A2">
      <w:pPr>
        <w:spacing w:after="200"/>
        <w:ind w:firstLine="709"/>
        <w:jc w:val="center"/>
        <w:rPr>
          <w:rFonts w:ascii="Times New Roman" w:eastAsia="Times New Roman" w:hAnsi="Times New Roman" w:cs="Times New Roman"/>
          <w:bCs/>
          <w:color w:val="000000" w:themeColor="text1"/>
          <w:sz w:val="28"/>
          <w:szCs w:val="28"/>
        </w:rPr>
      </w:pPr>
      <w:r w:rsidRPr="006B06A2">
        <w:rPr>
          <w:rFonts w:ascii="Times New Roman" w:eastAsia="Times New Roman" w:hAnsi="Times New Roman" w:cs="Times New Roman"/>
          <w:bCs/>
          <w:color w:val="000000" w:themeColor="text1"/>
          <w:sz w:val="28"/>
          <w:szCs w:val="28"/>
        </w:rPr>
        <w:t>МІНІСТЕРСТВО ОСВІТИ І НАУКИ УКРАЇНИ</w:t>
      </w:r>
    </w:p>
    <w:p w14:paraId="3951EBB7" w14:textId="77777777" w:rsidR="006B06A2" w:rsidRPr="006B06A2" w:rsidRDefault="006B06A2" w:rsidP="006B06A2">
      <w:pPr>
        <w:spacing w:after="200"/>
        <w:ind w:firstLine="709"/>
        <w:jc w:val="center"/>
        <w:rPr>
          <w:rFonts w:ascii="Times New Roman" w:eastAsia="Times New Roman" w:hAnsi="Times New Roman" w:cs="Times New Roman"/>
          <w:bCs/>
          <w:color w:val="000000" w:themeColor="text1"/>
          <w:sz w:val="28"/>
          <w:szCs w:val="28"/>
        </w:rPr>
      </w:pPr>
      <w:r w:rsidRPr="006B06A2">
        <w:rPr>
          <w:rFonts w:ascii="Times New Roman" w:eastAsia="Times New Roman" w:hAnsi="Times New Roman" w:cs="Times New Roman"/>
          <w:bCs/>
          <w:color w:val="000000" w:themeColor="text1"/>
          <w:sz w:val="28"/>
          <w:szCs w:val="28"/>
        </w:rPr>
        <w:t>ЗАХІДНОУКРАЇНСЬКИЙ НАЦІОНАЛЬНИЙ УНІВЕРСИТЕТ</w:t>
      </w:r>
    </w:p>
    <w:p w14:paraId="16CC9A3C" w14:textId="77777777" w:rsidR="006B06A2" w:rsidRPr="006B06A2" w:rsidRDefault="006B06A2" w:rsidP="006B06A2">
      <w:pPr>
        <w:spacing w:after="200"/>
        <w:ind w:firstLine="709"/>
        <w:jc w:val="center"/>
        <w:rPr>
          <w:rFonts w:ascii="Times New Roman" w:eastAsia="Times New Roman" w:hAnsi="Times New Roman" w:cs="Times New Roman"/>
          <w:bCs/>
          <w:color w:val="000000" w:themeColor="text1"/>
          <w:sz w:val="28"/>
          <w:szCs w:val="28"/>
        </w:rPr>
      </w:pPr>
      <w:r w:rsidRPr="006B06A2">
        <w:rPr>
          <w:rFonts w:ascii="Times New Roman" w:eastAsia="Times New Roman" w:hAnsi="Times New Roman" w:cs="Times New Roman"/>
          <w:bCs/>
          <w:color w:val="000000" w:themeColor="text1"/>
          <w:sz w:val="28"/>
          <w:szCs w:val="28"/>
        </w:rPr>
        <w:t>ФАКУЛЬТЕТ ЕКОНОМІКИ ТА УПРАВЛІННЯ</w:t>
      </w:r>
    </w:p>
    <w:p w14:paraId="5F0B9922" w14:textId="2E14A54D" w:rsidR="006B06A2" w:rsidRPr="00F557A1" w:rsidRDefault="006B06A2" w:rsidP="00F557A1">
      <w:pPr>
        <w:spacing w:after="200"/>
        <w:ind w:firstLine="709"/>
        <w:jc w:val="center"/>
        <w:rPr>
          <w:rFonts w:ascii="Times New Roman" w:eastAsia="Times New Roman" w:hAnsi="Times New Roman" w:cs="Times New Roman"/>
          <w:bCs/>
          <w:color w:val="000000" w:themeColor="text1"/>
          <w:sz w:val="28"/>
          <w:szCs w:val="28"/>
        </w:rPr>
      </w:pPr>
      <w:r w:rsidRPr="00F557A1">
        <w:rPr>
          <w:rFonts w:ascii="Times New Roman" w:eastAsia="Times New Roman" w:hAnsi="Times New Roman" w:cs="Times New Roman"/>
          <w:bCs/>
          <w:color w:val="000000" w:themeColor="text1"/>
          <w:sz w:val="28"/>
          <w:szCs w:val="28"/>
        </w:rPr>
        <w:t>Кафедра економіки та економічної теорії</w:t>
      </w:r>
    </w:p>
    <w:p w14:paraId="713098FF" w14:textId="77777777" w:rsidR="006B06A2" w:rsidRPr="00F557A1" w:rsidRDefault="006B06A2" w:rsidP="006B06A2">
      <w:pPr>
        <w:spacing w:after="200"/>
        <w:ind w:firstLine="709"/>
        <w:jc w:val="center"/>
        <w:rPr>
          <w:rFonts w:ascii="Times New Roman" w:eastAsia="Times New Roman" w:hAnsi="Times New Roman" w:cs="Times New Roman"/>
          <w:color w:val="000000" w:themeColor="text1"/>
          <w:sz w:val="26"/>
          <w:szCs w:val="26"/>
        </w:rPr>
      </w:pPr>
    </w:p>
    <w:p w14:paraId="7EC9B641" w14:textId="77777777" w:rsidR="006B06A2" w:rsidRPr="006B06A2" w:rsidRDefault="006B06A2" w:rsidP="006B06A2">
      <w:pPr>
        <w:widowControl w:val="0"/>
        <w:tabs>
          <w:tab w:val="left" w:pos="993"/>
          <w:tab w:val="left" w:pos="7660"/>
          <w:tab w:val="left" w:pos="9356"/>
        </w:tabs>
        <w:spacing w:before="89"/>
        <w:ind w:right="283" w:firstLine="709"/>
        <w:jc w:val="center"/>
        <w:rPr>
          <w:rFonts w:ascii="Times New Roman" w:eastAsia="Times New Roman" w:hAnsi="Times New Roman" w:cs="Times New Roman"/>
          <w:sz w:val="28"/>
          <w:szCs w:val="28"/>
        </w:rPr>
      </w:pPr>
      <w:r w:rsidRPr="006B06A2">
        <w:rPr>
          <w:rFonts w:ascii="Times New Roman" w:eastAsia="Times New Roman" w:hAnsi="Times New Roman" w:cs="Times New Roman"/>
          <w:sz w:val="28"/>
          <w:szCs w:val="28"/>
        </w:rPr>
        <w:t>МІЖДИСЦИПЛІНАРНА КУРСОВА РОБОТА</w:t>
      </w:r>
    </w:p>
    <w:p w14:paraId="69B72E9A" w14:textId="77777777" w:rsidR="006B06A2" w:rsidRPr="00F557A1" w:rsidRDefault="006B06A2" w:rsidP="006B06A2">
      <w:pPr>
        <w:widowControl w:val="0"/>
        <w:tabs>
          <w:tab w:val="left" w:pos="993"/>
          <w:tab w:val="left" w:pos="7660"/>
          <w:tab w:val="left" w:pos="9356"/>
        </w:tabs>
        <w:spacing w:before="89"/>
        <w:ind w:right="283" w:firstLine="709"/>
        <w:jc w:val="center"/>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на тему:</w:t>
      </w:r>
    </w:p>
    <w:p w14:paraId="59202869" w14:textId="614F04BE" w:rsidR="00701ED7" w:rsidRPr="00F557A1" w:rsidRDefault="00621148" w:rsidP="006B06A2">
      <w:pPr>
        <w:widowControl w:val="0"/>
        <w:tabs>
          <w:tab w:val="left" w:pos="993"/>
          <w:tab w:val="left" w:pos="7660"/>
          <w:tab w:val="left" w:pos="9356"/>
        </w:tabs>
        <w:spacing w:before="89"/>
        <w:ind w:right="283" w:firstLine="709"/>
        <w:jc w:val="center"/>
        <w:rPr>
          <w:rFonts w:ascii="Times New Roman" w:eastAsia="Times New Roman" w:hAnsi="Times New Roman" w:cs="Times New Roman"/>
          <w:bCs/>
          <w:sz w:val="28"/>
          <w:szCs w:val="28"/>
        </w:rPr>
      </w:pPr>
      <w:r w:rsidRPr="00F557A1">
        <w:rPr>
          <w:rFonts w:ascii="Times New Roman" w:eastAsia="Times New Roman" w:hAnsi="Times New Roman" w:cs="Times New Roman"/>
          <w:bCs/>
          <w:sz w:val="28"/>
          <w:szCs w:val="28"/>
        </w:rPr>
        <w:t>«Концентрація в ІТ секторі: особливості конкуренції на ринку ІТ послуг»</w:t>
      </w:r>
    </w:p>
    <w:p w14:paraId="42A81C26" w14:textId="77777777" w:rsidR="00701ED7" w:rsidRPr="00F557A1" w:rsidRDefault="00701ED7" w:rsidP="00F557A1">
      <w:pPr>
        <w:widowControl w:val="0"/>
        <w:tabs>
          <w:tab w:val="left" w:pos="993"/>
          <w:tab w:val="left" w:pos="7660"/>
          <w:tab w:val="left" w:pos="9356"/>
        </w:tabs>
        <w:spacing w:before="89"/>
        <w:ind w:right="283"/>
        <w:rPr>
          <w:rFonts w:ascii="Times New Roman" w:eastAsia="Times New Roman" w:hAnsi="Times New Roman" w:cs="Times New Roman"/>
          <w:sz w:val="26"/>
          <w:szCs w:val="26"/>
        </w:rPr>
      </w:pPr>
    </w:p>
    <w:p w14:paraId="464CC1FC" w14:textId="6EDFDEC1" w:rsidR="00701ED7" w:rsidRPr="00F557A1" w:rsidRDefault="00FC60F1" w:rsidP="00FC60F1">
      <w:pPr>
        <w:widowControl w:val="0"/>
        <w:tabs>
          <w:tab w:val="left" w:pos="993"/>
        </w:tabs>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57A1">
        <w:rPr>
          <w:rFonts w:ascii="Times New Roman" w:eastAsia="Times New Roman" w:hAnsi="Times New Roman" w:cs="Times New Roman"/>
          <w:sz w:val="28"/>
          <w:szCs w:val="28"/>
        </w:rPr>
        <w:t xml:space="preserve">Студентки </w:t>
      </w:r>
      <w:r w:rsidR="006B06A2" w:rsidRPr="00F557A1">
        <w:rPr>
          <w:rFonts w:ascii="Times New Roman" w:eastAsia="Times New Roman" w:hAnsi="Times New Roman" w:cs="Times New Roman"/>
          <w:sz w:val="28"/>
          <w:szCs w:val="28"/>
        </w:rPr>
        <w:t>групи</w:t>
      </w:r>
      <w:r w:rsidRPr="00F557A1">
        <w:rPr>
          <w:rFonts w:ascii="Times New Roman" w:eastAsia="Times New Roman" w:hAnsi="Times New Roman" w:cs="Times New Roman"/>
          <w:sz w:val="28"/>
          <w:szCs w:val="28"/>
        </w:rPr>
        <w:t xml:space="preserve"> </w:t>
      </w:r>
      <w:r w:rsidR="006B06A2" w:rsidRPr="00F557A1">
        <w:rPr>
          <w:rFonts w:ascii="Times New Roman" w:eastAsia="Times New Roman" w:hAnsi="Times New Roman" w:cs="Times New Roman"/>
          <w:sz w:val="28"/>
          <w:szCs w:val="28"/>
        </w:rPr>
        <w:t>ЕУБ-41</w:t>
      </w:r>
      <w:r w:rsidRPr="00F557A1">
        <w:rPr>
          <w:rFonts w:ascii="Times New Roman" w:eastAsia="Times New Roman" w:hAnsi="Times New Roman" w:cs="Times New Roman"/>
          <w:sz w:val="28"/>
          <w:szCs w:val="28"/>
        </w:rPr>
        <w:t xml:space="preserve"> </w:t>
      </w:r>
    </w:p>
    <w:p w14:paraId="3EDB0C86" w14:textId="77A1F97D" w:rsidR="006B06A2" w:rsidRPr="00F557A1" w:rsidRDefault="006B06A2" w:rsidP="006B06A2">
      <w:pPr>
        <w:widowControl w:val="0"/>
        <w:tabs>
          <w:tab w:val="left" w:pos="993"/>
        </w:tabs>
        <w:spacing w:before="240" w:after="240"/>
        <w:jc w:val="center"/>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 xml:space="preserve">                                      Кошіль Вікторії</w:t>
      </w:r>
    </w:p>
    <w:p w14:paraId="2DB678CA" w14:textId="77777777" w:rsidR="006B06A2" w:rsidRPr="00F557A1" w:rsidRDefault="006B06A2" w:rsidP="006B06A2">
      <w:pPr>
        <w:widowControl w:val="0"/>
        <w:tabs>
          <w:tab w:val="left" w:pos="993"/>
        </w:tabs>
        <w:spacing w:before="240" w:after="240"/>
        <w:jc w:val="center"/>
        <w:rPr>
          <w:rFonts w:ascii="Times New Roman" w:eastAsia="Times New Roman" w:hAnsi="Times New Roman" w:cs="Times New Roman"/>
          <w:sz w:val="28"/>
          <w:szCs w:val="28"/>
        </w:rPr>
      </w:pPr>
    </w:p>
    <w:p w14:paraId="7EED9163" w14:textId="77777777" w:rsidR="00FE0BED" w:rsidRPr="00F557A1" w:rsidRDefault="00FE0BED" w:rsidP="00FE0BED">
      <w:pPr>
        <w:widowControl w:val="0"/>
        <w:tabs>
          <w:tab w:val="left" w:pos="993"/>
        </w:tabs>
        <w:spacing w:before="240" w:after="240"/>
        <w:rPr>
          <w:rFonts w:ascii="Times New Roman" w:eastAsia="Times New Roman" w:hAnsi="Times New Roman" w:cs="Times New Roman"/>
          <w:sz w:val="28"/>
          <w:szCs w:val="28"/>
        </w:rPr>
        <w:sectPr w:rsidR="00FE0BED" w:rsidRPr="00F557A1" w:rsidSect="00786E06">
          <w:headerReference w:type="even" r:id="rId9"/>
          <w:headerReference w:type="default" r:id="rId10"/>
          <w:type w:val="continuous"/>
          <w:pgSz w:w="11909" w:h="16834"/>
          <w:pgMar w:top="1134" w:right="851" w:bottom="1134" w:left="1418" w:header="720" w:footer="720" w:gutter="0"/>
          <w:pgNumType w:fmt="upperRoman" w:start="3"/>
          <w:cols w:space="720"/>
          <w:titlePg/>
        </w:sectPr>
      </w:pPr>
    </w:p>
    <w:p w14:paraId="613671C8" w14:textId="77777777" w:rsidR="00FE0BED" w:rsidRPr="00F557A1" w:rsidRDefault="00FE0BED" w:rsidP="00FE0BED">
      <w:pPr>
        <w:widowControl w:val="0"/>
        <w:tabs>
          <w:tab w:val="left" w:pos="993"/>
        </w:tabs>
        <w:spacing w:before="240" w:after="240"/>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lastRenderedPageBreak/>
        <w:t xml:space="preserve">                                                          </w:t>
      </w:r>
    </w:p>
    <w:p w14:paraId="2BAF1E29" w14:textId="77777777" w:rsidR="00FE0BED" w:rsidRPr="00F557A1" w:rsidRDefault="00FE0BED" w:rsidP="00FE0BED">
      <w:pPr>
        <w:widowControl w:val="0"/>
        <w:tabs>
          <w:tab w:val="left" w:pos="993"/>
        </w:tabs>
        <w:spacing w:before="240" w:after="240"/>
        <w:rPr>
          <w:rFonts w:ascii="Times New Roman" w:eastAsia="Times New Roman" w:hAnsi="Times New Roman" w:cs="Times New Roman"/>
          <w:sz w:val="28"/>
          <w:szCs w:val="28"/>
        </w:rPr>
      </w:pPr>
    </w:p>
    <w:p w14:paraId="37B31CA3" w14:textId="77777777" w:rsidR="00FE0BED" w:rsidRPr="00F557A1" w:rsidRDefault="00FE0BED" w:rsidP="00FE0BED">
      <w:pPr>
        <w:widowControl w:val="0"/>
        <w:tabs>
          <w:tab w:val="left" w:pos="993"/>
        </w:tabs>
        <w:spacing w:before="240" w:after="240"/>
        <w:rPr>
          <w:rFonts w:ascii="Times New Roman" w:eastAsia="Times New Roman" w:hAnsi="Times New Roman" w:cs="Times New Roman"/>
          <w:sz w:val="28"/>
          <w:szCs w:val="28"/>
        </w:rPr>
      </w:pPr>
    </w:p>
    <w:p w14:paraId="7270007F" w14:textId="417210EA" w:rsidR="006B06A2" w:rsidRPr="006B06A2" w:rsidRDefault="006B06A2" w:rsidP="00FE0BED">
      <w:pPr>
        <w:widowControl w:val="0"/>
        <w:tabs>
          <w:tab w:val="left" w:pos="993"/>
        </w:tabs>
        <w:spacing w:before="240" w:after="240"/>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lastRenderedPageBreak/>
        <w:t>Науковий</w:t>
      </w:r>
      <w:r w:rsidR="00FE0BED" w:rsidRPr="00F557A1">
        <w:rPr>
          <w:rFonts w:ascii="Times New Roman" w:eastAsia="Times New Roman" w:hAnsi="Times New Roman" w:cs="Times New Roman"/>
          <w:sz w:val="28"/>
          <w:szCs w:val="28"/>
        </w:rPr>
        <w:t xml:space="preserve"> </w:t>
      </w:r>
      <w:r w:rsidRPr="00F557A1">
        <w:rPr>
          <w:rFonts w:ascii="Times New Roman" w:eastAsia="Times New Roman" w:hAnsi="Times New Roman" w:cs="Times New Roman"/>
          <w:sz w:val="28"/>
          <w:szCs w:val="28"/>
        </w:rPr>
        <w:t>керівник:</w:t>
      </w:r>
      <w:r w:rsidRPr="00F557A1">
        <w:rPr>
          <w:rFonts w:ascii="Century Gothic Regular" w:eastAsia="Times New Roman" w:hAnsi="Century Gothic Regular" w:cs="Times New Roman"/>
          <w:color w:val="101010"/>
          <w:sz w:val="23"/>
          <w:szCs w:val="23"/>
        </w:rPr>
        <w:t xml:space="preserve"> </w:t>
      </w:r>
      <w:r w:rsidRPr="00F557A1">
        <w:rPr>
          <w:rFonts w:ascii="Times New Roman" w:eastAsia="Times New Roman" w:hAnsi="Times New Roman" w:cs="Times New Roman"/>
          <w:sz w:val="28"/>
          <w:szCs w:val="28"/>
        </w:rPr>
        <w:t>доктор економічних</w:t>
      </w:r>
      <w:r w:rsidR="00FE0BED" w:rsidRPr="00F557A1">
        <w:rPr>
          <w:rFonts w:ascii="Times New Roman" w:eastAsia="Times New Roman" w:hAnsi="Times New Roman" w:cs="Times New Roman"/>
          <w:sz w:val="28"/>
          <w:szCs w:val="28"/>
        </w:rPr>
        <w:t xml:space="preserve"> наук, професор                                                             </w:t>
      </w:r>
      <w:r w:rsidRPr="006B06A2">
        <w:rPr>
          <w:rFonts w:ascii="Times New Roman" w:eastAsia="Times New Roman" w:hAnsi="Times New Roman" w:cs="Times New Roman"/>
          <w:sz w:val="28"/>
          <w:szCs w:val="28"/>
        </w:rPr>
        <w:t>Академік Академії економічних наук України</w:t>
      </w:r>
      <w:r w:rsidR="00FE0BED" w:rsidRPr="00F557A1">
        <w:rPr>
          <w:rFonts w:ascii="Times New Roman" w:eastAsia="Times New Roman" w:hAnsi="Times New Roman" w:cs="Times New Roman"/>
          <w:sz w:val="28"/>
          <w:szCs w:val="28"/>
        </w:rPr>
        <w:t>, Козюк В. В.</w:t>
      </w:r>
    </w:p>
    <w:p w14:paraId="7AEF8184" w14:textId="77777777" w:rsidR="00FE0BED" w:rsidRPr="00F557A1" w:rsidRDefault="00FE0BED" w:rsidP="006B06A2">
      <w:pPr>
        <w:widowControl w:val="0"/>
        <w:tabs>
          <w:tab w:val="left" w:pos="993"/>
        </w:tabs>
        <w:spacing w:before="240" w:after="240"/>
        <w:jc w:val="center"/>
        <w:rPr>
          <w:rFonts w:ascii="Times New Roman" w:eastAsia="Times New Roman" w:hAnsi="Times New Roman" w:cs="Times New Roman"/>
          <w:sz w:val="20"/>
          <w:szCs w:val="20"/>
        </w:rPr>
        <w:sectPr w:rsidR="00FE0BED" w:rsidRPr="00F557A1" w:rsidSect="007D38CF">
          <w:type w:val="continuous"/>
          <w:pgSz w:w="11909" w:h="16834"/>
          <w:pgMar w:top="1134" w:right="851" w:bottom="1134" w:left="1418" w:header="720" w:footer="720" w:gutter="0"/>
          <w:pgNumType w:start="1"/>
          <w:cols w:num="2" w:space="720"/>
        </w:sectPr>
      </w:pPr>
    </w:p>
    <w:p w14:paraId="4EB9F1E0" w14:textId="77777777" w:rsidR="00FE0BED" w:rsidRPr="00F557A1" w:rsidRDefault="00621148">
      <w:pPr>
        <w:widowControl w:val="0"/>
        <w:tabs>
          <w:tab w:val="left" w:pos="993"/>
        </w:tabs>
        <w:spacing w:before="240" w:after="240"/>
        <w:jc w:val="right"/>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lastRenderedPageBreak/>
        <w:t xml:space="preserve">Національна шкала ___________________________ </w:t>
      </w:r>
    </w:p>
    <w:p w14:paraId="0547F5CF" w14:textId="338D4C6E" w:rsidR="00701ED7" w:rsidRPr="00F557A1" w:rsidRDefault="00621148">
      <w:pPr>
        <w:widowControl w:val="0"/>
        <w:tabs>
          <w:tab w:val="left" w:pos="993"/>
        </w:tabs>
        <w:spacing w:before="240" w:after="240"/>
        <w:jc w:val="right"/>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Кількість балів: __________ Оцінка: ECTS _______</w:t>
      </w:r>
    </w:p>
    <w:p w14:paraId="6501E2AA" w14:textId="77777777" w:rsidR="00FC60F1" w:rsidRDefault="00FC60F1" w:rsidP="00FC60F1">
      <w:pPr>
        <w:widowControl w:val="0"/>
        <w:tabs>
          <w:tab w:val="left" w:pos="993"/>
        </w:tabs>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4ADB854" w14:textId="49DE7E27" w:rsidR="00701ED7" w:rsidRPr="00F557A1" w:rsidRDefault="00FC60F1" w:rsidP="00FC60F1">
      <w:pPr>
        <w:widowControl w:val="0"/>
        <w:tabs>
          <w:tab w:val="left" w:pos="993"/>
        </w:tabs>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57A1">
        <w:rPr>
          <w:rFonts w:ascii="Times New Roman" w:eastAsia="Times New Roman" w:hAnsi="Times New Roman" w:cs="Times New Roman"/>
          <w:sz w:val="28"/>
          <w:szCs w:val="28"/>
        </w:rPr>
        <w:t>Члени комісії</w:t>
      </w:r>
      <w:r w:rsidR="00FE0BED" w:rsidRPr="00F557A1">
        <w:rPr>
          <w:rFonts w:ascii="Times New Roman" w:eastAsia="Times New Roman" w:hAnsi="Times New Roman" w:cs="Times New Roman"/>
          <w:sz w:val="28"/>
          <w:szCs w:val="28"/>
        </w:rPr>
        <w:t>:</w:t>
      </w:r>
    </w:p>
    <w:p w14:paraId="078535DA" w14:textId="06130743" w:rsidR="00701ED7" w:rsidRPr="00F557A1" w:rsidRDefault="00621148">
      <w:pPr>
        <w:widowControl w:val="0"/>
        <w:tabs>
          <w:tab w:val="left" w:pos="993"/>
        </w:tabs>
        <w:spacing w:before="240" w:after="240"/>
        <w:jc w:val="right"/>
        <w:rPr>
          <w:rFonts w:ascii="Times New Roman" w:eastAsia="Times New Roman" w:hAnsi="Times New Roman" w:cs="Times New Roman"/>
          <w:sz w:val="20"/>
          <w:szCs w:val="20"/>
        </w:rPr>
      </w:pPr>
      <w:r w:rsidRPr="00F557A1">
        <w:rPr>
          <w:rFonts w:ascii="Times New Roman" w:eastAsia="Times New Roman" w:hAnsi="Times New Roman" w:cs="Times New Roman"/>
          <w:sz w:val="24"/>
          <w:szCs w:val="24"/>
        </w:rPr>
        <w:t xml:space="preserve">______________ </w:t>
      </w:r>
      <w:r w:rsidRPr="00F557A1">
        <w:rPr>
          <w:rFonts w:ascii="Times New Roman" w:eastAsia="Times New Roman" w:hAnsi="Times New Roman" w:cs="Times New Roman"/>
          <w:sz w:val="20"/>
          <w:szCs w:val="20"/>
        </w:rPr>
        <w:t>(підпис)</w:t>
      </w:r>
      <w:r w:rsidRPr="00F557A1">
        <w:rPr>
          <w:rFonts w:ascii="Times New Roman" w:eastAsia="Times New Roman" w:hAnsi="Times New Roman" w:cs="Times New Roman"/>
          <w:sz w:val="24"/>
          <w:szCs w:val="24"/>
        </w:rPr>
        <w:t>_______________________</w:t>
      </w:r>
      <w:r w:rsidRPr="00F557A1">
        <w:rPr>
          <w:rFonts w:ascii="Times New Roman" w:eastAsia="Times New Roman" w:hAnsi="Times New Roman" w:cs="Times New Roman"/>
          <w:sz w:val="20"/>
          <w:szCs w:val="20"/>
        </w:rPr>
        <w:t xml:space="preserve">(прізвище та ініціали) </w:t>
      </w:r>
    </w:p>
    <w:p w14:paraId="1C6F9CAD" w14:textId="10B688B7" w:rsidR="00701ED7" w:rsidRPr="00F557A1" w:rsidRDefault="00621148">
      <w:pPr>
        <w:widowControl w:val="0"/>
        <w:tabs>
          <w:tab w:val="left" w:pos="993"/>
        </w:tabs>
        <w:spacing w:before="240" w:after="240"/>
        <w:jc w:val="right"/>
        <w:rPr>
          <w:rFonts w:ascii="Times New Roman" w:eastAsia="Times New Roman" w:hAnsi="Times New Roman" w:cs="Times New Roman"/>
          <w:sz w:val="20"/>
          <w:szCs w:val="20"/>
        </w:rPr>
      </w:pPr>
      <w:r w:rsidRPr="00F557A1">
        <w:rPr>
          <w:rFonts w:ascii="Times New Roman" w:eastAsia="Times New Roman" w:hAnsi="Times New Roman" w:cs="Times New Roman"/>
          <w:sz w:val="24"/>
          <w:szCs w:val="24"/>
        </w:rPr>
        <w:t xml:space="preserve"> ______________ </w:t>
      </w:r>
      <w:r w:rsidRPr="00F557A1">
        <w:rPr>
          <w:rFonts w:ascii="Times New Roman" w:eastAsia="Times New Roman" w:hAnsi="Times New Roman" w:cs="Times New Roman"/>
          <w:sz w:val="20"/>
          <w:szCs w:val="20"/>
        </w:rPr>
        <w:t>(підпис)</w:t>
      </w:r>
      <w:r w:rsidRPr="00F557A1">
        <w:rPr>
          <w:rFonts w:ascii="Times New Roman" w:eastAsia="Times New Roman" w:hAnsi="Times New Roman" w:cs="Times New Roman"/>
          <w:sz w:val="24"/>
          <w:szCs w:val="24"/>
        </w:rPr>
        <w:t xml:space="preserve">______________________ </w:t>
      </w:r>
      <w:r w:rsidRPr="00F557A1">
        <w:rPr>
          <w:rFonts w:ascii="Times New Roman" w:eastAsia="Times New Roman" w:hAnsi="Times New Roman" w:cs="Times New Roman"/>
          <w:sz w:val="20"/>
          <w:szCs w:val="20"/>
        </w:rPr>
        <w:t xml:space="preserve">(прізвище та ініціали) </w:t>
      </w:r>
    </w:p>
    <w:p w14:paraId="54AE5B4B" w14:textId="03AF43B4" w:rsidR="00701ED7" w:rsidRPr="00F557A1" w:rsidRDefault="00621148" w:rsidP="00F557A1">
      <w:pPr>
        <w:widowControl w:val="0"/>
        <w:tabs>
          <w:tab w:val="left" w:pos="993"/>
        </w:tabs>
        <w:spacing w:before="240" w:after="240"/>
        <w:jc w:val="right"/>
        <w:rPr>
          <w:rFonts w:ascii="Times New Roman" w:eastAsia="Times New Roman" w:hAnsi="Times New Roman" w:cs="Times New Roman"/>
          <w:sz w:val="26"/>
          <w:szCs w:val="26"/>
        </w:rPr>
      </w:pPr>
      <w:r w:rsidRPr="00F557A1">
        <w:rPr>
          <w:rFonts w:ascii="Times New Roman" w:eastAsia="Times New Roman" w:hAnsi="Times New Roman" w:cs="Times New Roman"/>
          <w:sz w:val="24"/>
          <w:szCs w:val="24"/>
        </w:rPr>
        <w:t xml:space="preserve">_____________ </w:t>
      </w:r>
      <w:r w:rsidRPr="00F557A1">
        <w:rPr>
          <w:rFonts w:ascii="Times New Roman" w:eastAsia="Times New Roman" w:hAnsi="Times New Roman" w:cs="Times New Roman"/>
          <w:sz w:val="20"/>
          <w:szCs w:val="20"/>
        </w:rPr>
        <w:t>(підпис)</w:t>
      </w:r>
      <w:r w:rsidRPr="00F557A1">
        <w:rPr>
          <w:rFonts w:ascii="Times New Roman" w:eastAsia="Times New Roman" w:hAnsi="Times New Roman" w:cs="Times New Roman"/>
          <w:sz w:val="24"/>
          <w:szCs w:val="24"/>
        </w:rPr>
        <w:t>_______________________</w:t>
      </w:r>
      <w:r w:rsidRPr="00F557A1">
        <w:rPr>
          <w:rFonts w:ascii="Times New Roman" w:eastAsia="Times New Roman" w:hAnsi="Times New Roman" w:cs="Times New Roman"/>
          <w:sz w:val="20"/>
          <w:szCs w:val="20"/>
        </w:rPr>
        <w:t xml:space="preserve">(прізвище та ініціали) </w:t>
      </w:r>
    </w:p>
    <w:p w14:paraId="30AED0EE" w14:textId="77777777" w:rsidR="00F557A1" w:rsidRPr="00F557A1" w:rsidRDefault="00F557A1" w:rsidP="00F557A1">
      <w:pPr>
        <w:pStyle w:val="2"/>
        <w:keepNext w:val="0"/>
        <w:keepLines w:val="0"/>
        <w:spacing w:after="80"/>
        <w:jc w:val="center"/>
        <w:rPr>
          <w:rFonts w:ascii="Times New Roman" w:eastAsia="Times New Roman" w:hAnsi="Times New Roman" w:cs="Times New Roman"/>
          <w:bCs/>
          <w:sz w:val="26"/>
          <w:szCs w:val="26"/>
        </w:rPr>
      </w:pPr>
      <w:bookmarkStart w:id="0" w:name="_sv3bpaduid9i" w:colFirst="0" w:colLast="0"/>
      <w:bookmarkEnd w:id="0"/>
    </w:p>
    <w:p w14:paraId="231242D3" w14:textId="779A832B" w:rsidR="00701ED7" w:rsidRPr="00F557A1" w:rsidRDefault="006B06A2" w:rsidP="00F557A1">
      <w:pPr>
        <w:pStyle w:val="2"/>
        <w:keepNext w:val="0"/>
        <w:keepLines w:val="0"/>
        <w:spacing w:after="80"/>
        <w:jc w:val="center"/>
        <w:rPr>
          <w:rFonts w:ascii="Times New Roman" w:eastAsia="Times New Roman" w:hAnsi="Times New Roman" w:cs="Times New Roman"/>
          <w:bCs/>
          <w:sz w:val="26"/>
          <w:szCs w:val="26"/>
        </w:rPr>
      </w:pPr>
      <w:r w:rsidRPr="00F557A1">
        <w:rPr>
          <w:rFonts w:ascii="Times New Roman" w:eastAsia="Times New Roman" w:hAnsi="Times New Roman" w:cs="Times New Roman"/>
          <w:bCs/>
          <w:sz w:val="26"/>
          <w:szCs w:val="26"/>
        </w:rPr>
        <w:t>Тернопіль 2024</w:t>
      </w:r>
    </w:p>
    <w:p w14:paraId="0E9A6F33" w14:textId="77777777" w:rsidR="00701ED7" w:rsidRPr="005821D2" w:rsidRDefault="00621148">
      <w:pPr>
        <w:pStyle w:val="1"/>
        <w:keepNext w:val="0"/>
        <w:keepLines w:val="0"/>
        <w:spacing w:after="80" w:line="360" w:lineRule="auto"/>
        <w:jc w:val="center"/>
        <w:rPr>
          <w:rFonts w:ascii="Times New Roman" w:eastAsia="Times New Roman" w:hAnsi="Times New Roman" w:cs="Times New Roman"/>
          <w:bCs/>
          <w:sz w:val="28"/>
          <w:szCs w:val="28"/>
        </w:rPr>
      </w:pPr>
      <w:bookmarkStart w:id="1" w:name="_afcslwfs2mpr" w:colFirst="0" w:colLast="0"/>
      <w:bookmarkEnd w:id="1"/>
      <w:r w:rsidRPr="005821D2">
        <w:rPr>
          <w:rFonts w:ascii="Times New Roman" w:eastAsia="Times New Roman" w:hAnsi="Times New Roman" w:cs="Times New Roman"/>
          <w:bCs/>
          <w:sz w:val="28"/>
          <w:szCs w:val="28"/>
        </w:rPr>
        <w:lastRenderedPageBreak/>
        <w:t>ЗМІСТ</w:t>
      </w:r>
    </w:p>
    <w:sdt>
      <w:sdtPr>
        <w:id w:val="1383128757"/>
        <w:docPartObj>
          <w:docPartGallery w:val="Table of Contents"/>
          <w:docPartUnique/>
        </w:docPartObj>
      </w:sdtPr>
      <w:sdtEndPr/>
      <w:sdtContent>
        <w:p w14:paraId="55A8A322" w14:textId="77777777" w:rsidR="00701ED7" w:rsidRPr="00F557A1" w:rsidRDefault="00701ED7" w:rsidP="00786E06">
          <w:pPr>
            <w:widowControl w:val="0"/>
            <w:tabs>
              <w:tab w:val="right" w:leader="dot" w:pos="12000"/>
            </w:tabs>
            <w:spacing w:before="60" w:line="360" w:lineRule="auto"/>
            <w:ind w:right="1"/>
            <w:jc w:val="both"/>
            <w:rPr>
              <w:rFonts w:ascii="Times New Roman" w:eastAsia="Times New Roman" w:hAnsi="Times New Roman" w:cs="Times New Roman"/>
              <w:color w:val="000000"/>
              <w:sz w:val="28"/>
              <w:szCs w:val="28"/>
            </w:rPr>
          </w:pPr>
          <w:r w:rsidRPr="00F557A1">
            <w:fldChar w:fldCharType="begin"/>
          </w:r>
          <w:r w:rsidR="00621148" w:rsidRPr="00F557A1">
            <w:instrText xml:space="preserve"> TOC \h \u \z \t "Heading 1,1,Heading 2,2,Heading 3,3,Heading 4,4,Heading 5,5,Heading 6,6,"</w:instrText>
          </w:r>
          <w:r w:rsidRPr="00F557A1">
            <w:fldChar w:fldCharType="separate"/>
          </w:r>
          <w:hyperlink w:anchor="_omgb9wkwmc1u">
            <w:r w:rsidRPr="00F557A1">
              <w:rPr>
                <w:rFonts w:ascii="Times New Roman" w:eastAsia="Times New Roman" w:hAnsi="Times New Roman" w:cs="Times New Roman"/>
                <w:color w:val="000000"/>
                <w:sz w:val="28"/>
                <w:szCs w:val="28"/>
              </w:rPr>
              <w:t>ВСТУП</w:t>
            </w:r>
            <w:r w:rsidRPr="00F557A1">
              <w:rPr>
                <w:rFonts w:ascii="Times New Roman" w:eastAsia="Times New Roman" w:hAnsi="Times New Roman" w:cs="Times New Roman"/>
                <w:color w:val="000000"/>
                <w:sz w:val="28"/>
                <w:szCs w:val="28"/>
              </w:rPr>
              <w:tab/>
              <w:t>3</w:t>
            </w:r>
          </w:hyperlink>
        </w:p>
        <w:p w14:paraId="4187449D" w14:textId="7C9B8BC4" w:rsidR="00701ED7" w:rsidRPr="00F557A1" w:rsidRDefault="007E2874">
          <w:pPr>
            <w:widowControl w:val="0"/>
            <w:tabs>
              <w:tab w:val="right" w:leader="dot" w:pos="12000"/>
            </w:tabs>
            <w:spacing w:before="60" w:line="360" w:lineRule="auto"/>
            <w:jc w:val="both"/>
            <w:rPr>
              <w:rFonts w:ascii="Times New Roman" w:eastAsia="Times New Roman" w:hAnsi="Times New Roman" w:cs="Times New Roman"/>
              <w:color w:val="000000"/>
              <w:sz w:val="28"/>
              <w:szCs w:val="28"/>
            </w:rPr>
          </w:pPr>
          <w:hyperlink w:anchor="_ieozdjy6b269">
            <w:r w:rsidR="00786E06">
              <w:rPr>
                <w:rFonts w:ascii="Times New Roman" w:eastAsia="Times New Roman" w:hAnsi="Times New Roman" w:cs="Times New Roman"/>
                <w:color w:val="000000"/>
                <w:sz w:val="28"/>
                <w:szCs w:val="28"/>
              </w:rPr>
              <w:t xml:space="preserve">Розділ 1. </w:t>
            </w:r>
            <w:r w:rsidR="00701ED7" w:rsidRPr="00F557A1">
              <w:rPr>
                <w:rFonts w:ascii="Times New Roman" w:eastAsia="Times New Roman" w:hAnsi="Times New Roman" w:cs="Times New Roman"/>
                <w:color w:val="000000"/>
                <w:sz w:val="28"/>
                <w:szCs w:val="28"/>
              </w:rPr>
              <w:t>Теоретичні основи аналізу концентрації ринків</w:t>
            </w:r>
            <w:r w:rsidR="00701ED7" w:rsidRPr="00F557A1">
              <w:rPr>
                <w:rFonts w:ascii="Times New Roman" w:eastAsia="Times New Roman" w:hAnsi="Times New Roman" w:cs="Times New Roman"/>
                <w:color w:val="000000"/>
                <w:sz w:val="28"/>
                <w:szCs w:val="28"/>
              </w:rPr>
              <w:tab/>
              <w:t>5</w:t>
            </w:r>
          </w:hyperlink>
        </w:p>
        <w:p w14:paraId="7D601F23" w14:textId="3339C859" w:rsidR="00701ED7" w:rsidRPr="00F557A1" w:rsidRDefault="007E2874">
          <w:pPr>
            <w:widowControl w:val="0"/>
            <w:tabs>
              <w:tab w:val="right" w:leader="dot" w:pos="12000"/>
            </w:tabs>
            <w:spacing w:before="60" w:line="360" w:lineRule="auto"/>
            <w:jc w:val="both"/>
            <w:rPr>
              <w:rFonts w:ascii="Times New Roman" w:eastAsia="Times New Roman" w:hAnsi="Times New Roman" w:cs="Times New Roman"/>
              <w:color w:val="000000"/>
              <w:sz w:val="28"/>
              <w:szCs w:val="28"/>
            </w:rPr>
          </w:pPr>
          <w:hyperlink w:anchor="_4hpx5a4fl69">
            <w:r w:rsidR="00786E06">
              <w:rPr>
                <w:rFonts w:ascii="Times New Roman" w:eastAsia="Times New Roman" w:hAnsi="Times New Roman" w:cs="Times New Roman"/>
                <w:color w:val="000000"/>
                <w:sz w:val="28"/>
                <w:szCs w:val="28"/>
              </w:rPr>
              <w:t>Розділ 2.</w:t>
            </w:r>
            <w:r w:rsidR="00701ED7" w:rsidRPr="00F557A1">
              <w:rPr>
                <w:rFonts w:ascii="Times New Roman" w:eastAsia="Times New Roman" w:hAnsi="Times New Roman" w:cs="Times New Roman"/>
                <w:color w:val="000000"/>
                <w:sz w:val="28"/>
                <w:szCs w:val="28"/>
              </w:rPr>
              <w:t xml:space="preserve"> Сучасні тенденції та аналіз концентрації на глобальному і вітчизняному ринку ІТ послуг</w:t>
            </w:r>
            <w:r w:rsidR="00701ED7" w:rsidRPr="00F557A1">
              <w:rPr>
                <w:rFonts w:ascii="Times New Roman" w:eastAsia="Times New Roman" w:hAnsi="Times New Roman" w:cs="Times New Roman"/>
                <w:color w:val="000000"/>
                <w:sz w:val="28"/>
                <w:szCs w:val="28"/>
              </w:rPr>
              <w:tab/>
              <w:t>9</w:t>
            </w:r>
          </w:hyperlink>
        </w:p>
        <w:p w14:paraId="6B977554" w14:textId="3113C462" w:rsidR="00701ED7" w:rsidRPr="00F557A1" w:rsidRDefault="007E2874">
          <w:pPr>
            <w:widowControl w:val="0"/>
            <w:tabs>
              <w:tab w:val="right" w:leader="dot" w:pos="12000"/>
            </w:tabs>
            <w:spacing w:before="60" w:line="360" w:lineRule="auto"/>
            <w:jc w:val="both"/>
            <w:rPr>
              <w:rFonts w:ascii="Times New Roman" w:eastAsia="Times New Roman" w:hAnsi="Times New Roman" w:cs="Times New Roman"/>
              <w:color w:val="000000"/>
              <w:sz w:val="28"/>
              <w:szCs w:val="28"/>
            </w:rPr>
          </w:pPr>
          <w:hyperlink w:anchor="_9ixptfv1ql8v">
            <w:r w:rsidR="00786E06">
              <w:rPr>
                <w:rFonts w:ascii="Times New Roman" w:eastAsia="Times New Roman" w:hAnsi="Times New Roman" w:cs="Times New Roman"/>
                <w:color w:val="000000"/>
                <w:sz w:val="28"/>
                <w:szCs w:val="28"/>
              </w:rPr>
              <w:t>Розділ 3.</w:t>
            </w:r>
            <w:r w:rsidR="00701ED7" w:rsidRPr="00F557A1">
              <w:rPr>
                <w:rFonts w:ascii="Times New Roman" w:eastAsia="Times New Roman" w:hAnsi="Times New Roman" w:cs="Times New Roman"/>
                <w:color w:val="000000"/>
                <w:sz w:val="28"/>
                <w:szCs w:val="28"/>
              </w:rPr>
              <w:t xml:space="preserve"> Вплив ринкової концентрації на конкуренцію, інновації та економічний розвиток в ІТ секторі</w:t>
            </w:r>
            <w:r w:rsidR="00701ED7" w:rsidRPr="00F557A1">
              <w:rPr>
                <w:rFonts w:ascii="Times New Roman" w:eastAsia="Times New Roman" w:hAnsi="Times New Roman" w:cs="Times New Roman"/>
                <w:color w:val="000000"/>
                <w:sz w:val="28"/>
                <w:szCs w:val="28"/>
              </w:rPr>
              <w:tab/>
              <w:t>16</w:t>
            </w:r>
          </w:hyperlink>
        </w:p>
        <w:p w14:paraId="2C7CFBD9" w14:textId="77777777" w:rsidR="00701ED7" w:rsidRPr="00F557A1" w:rsidRDefault="007E2874">
          <w:pPr>
            <w:widowControl w:val="0"/>
            <w:tabs>
              <w:tab w:val="right" w:leader="dot" w:pos="12000"/>
            </w:tabs>
            <w:spacing w:before="60" w:line="360" w:lineRule="auto"/>
            <w:jc w:val="both"/>
            <w:rPr>
              <w:rFonts w:ascii="Times New Roman" w:eastAsia="Times New Roman" w:hAnsi="Times New Roman" w:cs="Times New Roman"/>
              <w:color w:val="000000"/>
              <w:sz w:val="28"/>
              <w:szCs w:val="28"/>
            </w:rPr>
          </w:pPr>
          <w:hyperlink w:anchor="_6e1oyu29ovv7">
            <w:r w:rsidR="00701ED7" w:rsidRPr="00F557A1">
              <w:rPr>
                <w:rFonts w:ascii="Times New Roman" w:eastAsia="Times New Roman" w:hAnsi="Times New Roman" w:cs="Times New Roman"/>
                <w:color w:val="000000"/>
                <w:sz w:val="28"/>
                <w:szCs w:val="28"/>
              </w:rPr>
              <w:t>ВИСНОВКИ</w:t>
            </w:r>
            <w:r w:rsidR="00701ED7" w:rsidRPr="00F557A1">
              <w:rPr>
                <w:rFonts w:ascii="Times New Roman" w:eastAsia="Times New Roman" w:hAnsi="Times New Roman" w:cs="Times New Roman"/>
                <w:color w:val="000000"/>
                <w:sz w:val="28"/>
                <w:szCs w:val="28"/>
              </w:rPr>
              <w:tab/>
              <w:t>22</w:t>
            </w:r>
          </w:hyperlink>
        </w:p>
        <w:p w14:paraId="51D66FB3" w14:textId="77777777" w:rsidR="00701ED7" w:rsidRPr="00F557A1" w:rsidRDefault="007E2874">
          <w:pPr>
            <w:widowControl w:val="0"/>
            <w:tabs>
              <w:tab w:val="right" w:leader="dot" w:pos="12000"/>
            </w:tabs>
            <w:spacing w:before="60" w:line="360" w:lineRule="auto"/>
            <w:jc w:val="both"/>
            <w:rPr>
              <w:rFonts w:ascii="Times New Roman" w:eastAsia="Times New Roman" w:hAnsi="Times New Roman" w:cs="Times New Roman"/>
              <w:color w:val="000000"/>
              <w:sz w:val="28"/>
              <w:szCs w:val="28"/>
            </w:rPr>
          </w:pPr>
          <w:hyperlink w:anchor="_4w6rhik93x0c">
            <w:r w:rsidR="00701ED7" w:rsidRPr="00F557A1">
              <w:rPr>
                <w:rFonts w:ascii="Times New Roman" w:eastAsia="Times New Roman" w:hAnsi="Times New Roman" w:cs="Times New Roman"/>
                <w:color w:val="000000"/>
                <w:sz w:val="28"/>
                <w:szCs w:val="28"/>
              </w:rPr>
              <w:t>СПИСОК ВИКОРИСТАНИХ ДЖЕРЕЛ</w:t>
            </w:r>
            <w:r w:rsidR="00701ED7" w:rsidRPr="00F557A1">
              <w:rPr>
                <w:rFonts w:ascii="Times New Roman" w:eastAsia="Times New Roman" w:hAnsi="Times New Roman" w:cs="Times New Roman"/>
                <w:color w:val="000000"/>
                <w:sz w:val="28"/>
                <w:szCs w:val="28"/>
              </w:rPr>
              <w:tab/>
              <w:t>24</w:t>
            </w:r>
          </w:hyperlink>
          <w:r w:rsidR="00701ED7" w:rsidRPr="00F557A1">
            <w:fldChar w:fldCharType="end"/>
          </w:r>
        </w:p>
      </w:sdtContent>
    </w:sdt>
    <w:p w14:paraId="2A8804E3" w14:textId="77777777" w:rsidR="00701ED7" w:rsidRPr="00F557A1" w:rsidRDefault="00701ED7">
      <w:pPr>
        <w:pStyle w:val="1"/>
        <w:keepNext w:val="0"/>
        <w:keepLines w:val="0"/>
        <w:spacing w:after="80" w:line="360" w:lineRule="auto"/>
        <w:jc w:val="both"/>
        <w:rPr>
          <w:rFonts w:ascii="Times New Roman" w:eastAsia="Times New Roman" w:hAnsi="Times New Roman" w:cs="Times New Roman"/>
          <w:sz w:val="28"/>
          <w:szCs w:val="28"/>
        </w:rPr>
      </w:pPr>
      <w:bookmarkStart w:id="2" w:name="_rc62merakdet" w:colFirst="0" w:colLast="0"/>
      <w:bookmarkEnd w:id="2"/>
    </w:p>
    <w:p w14:paraId="3F3050A8"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3" w:name="_w7og5aoq18v8" w:colFirst="0" w:colLast="0"/>
      <w:bookmarkEnd w:id="3"/>
    </w:p>
    <w:p w14:paraId="3B930EDB"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4" w:name="_csgdj2twxd26" w:colFirst="0" w:colLast="0"/>
      <w:bookmarkEnd w:id="4"/>
    </w:p>
    <w:p w14:paraId="13ADA886"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5" w:name="_1s9yhhjqppbt" w:colFirst="0" w:colLast="0"/>
      <w:bookmarkEnd w:id="5"/>
    </w:p>
    <w:p w14:paraId="0826E2AB"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6" w:name="_huwv1bd6o9w8" w:colFirst="0" w:colLast="0"/>
      <w:bookmarkEnd w:id="6"/>
    </w:p>
    <w:p w14:paraId="56D26042"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7" w:name="_rtuj166m0bsa" w:colFirst="0" w:colLast="0"/>
      <w:bookmarkEnd w:id="7"/>
    </w:p>
    <w:p w14:paraId="5FC3AF46"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8" w:name="_5mx2b8l2hy1a" w:colFirst="0" w:colLast="0"/>
      <w:bookmarkEnd w:id="8"/>
    </w:p>
    <w:p w14:paraId="7127EE76"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9" w:name="_7q91p1ete1jz" w:colFirst="0" w:colLast="0"/>
      <w:bookmarkEnd w:id="9"/>
    </w:p>
    <w:p w14:paraId="23F4237F"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10" w:name="_sngrpb9ixg3u" w:colFirst="0" w:colLast="0"/>
      <w:bookmarkEnd w:id="10"/>
    </w:p>
    <w:p w14:paraId="680297ED" w14:textId="77777777" w:rsidR="00701ED7" w:rsidRPr="00F557A1" w:rsidRDefault="00701ED7">
      <w:pPr>
        <w:pStyle w:val="1"/>
        <w:keepNext w:val="0"/>
        <w:keepLines w:val="0"/>
        <w:spacing w:after="80"/>
        <w:jc w:val="center"/>
        <w:rPr>
          <w:rFonts w:ascii="Times New Roman" w:eastAsia="Times New Roman" w:hAnsi="Times New Roman" w:cs="Times New Roman"/>
          <w:b/>
          <w:sz w:val="28"/>
          <w:szCs w:val="28"/>
        </w:rPr>
      </w:pPr>
      <w:bookmarkStart w:id="11" w:name="_ji5hjrcy2my9" w:colFirst="0" w:colLast="0"/>
      <w:bookmarkEnd w:id="11"/>
    </w:p>
    <w:p w14:paraId="468B424D" w14:textId="77777777" w:rsidR="00701ED7" w:rsidRDefault="00701ED7">
      <w:pPr>
        <w:pStyle w:val="1"/>
        <w:keepNext w:val="0"/>
        <w:keepLines w:val="0"/>
        <w:spacing w:after="80"/>
        <w:rPr>
          <w:rFonts w:ascii="Times New Roman" w:eastAsia="Times New Roman" w:hAnsi="Times New Roman" w:cs="Times New Roman"/>
          <w:b/>
          <w:sz w:val="28"/>
          <w:szCs w:val="28"/>
        </w:rPr>
      </w:pPr>
      <w:bookmarkStart w:id="12" w:name="_gluvpu96k6eo" w:colFirst="0" w:colLast="0"/>
      <w:bookmarkEnd w:id="12"/>
    </w:p>
    <w:p w14:paraId="4706B1CC" w14:textId="77777777" w:rsidR="00FC60F1" w:rsidRDefault="00FC60F1" w:rsidP="00FC60F1"/>
    <w:p w14:paraId="2FF23203" w14:textId="77777777" w:rsidR="00FC60F1" w:rsidRPr="00FC60F1" w:rsidRDefault="00FC60F1" w:rsidP="00FC60F1"/>
    <w:p w14:paraId="5245754D" w14:textId="77777777" w:rsidR="00623B79" w:rsidRDefault="00621148" w:rsidP="00623B79">
      <w:pPr>
        <w:pStyle w:val="1"/>
        <w:keepNext w:val="0"/>
        <w:keepLines w:val="0"/>
        <w:spacing w:after="80"/>
        <w:jc w:val="center"/>
        <w:rPr>
          <w:rFonts w:ascii="Times New Roman" w:eastAsia="Times New Roman" w:hAnsi="Times New Roman" w:cs="Times New Roman"/>
          <w:b/>
          <w:sz w:val="28"/>
          <w:szCs w:val="28"/>
        </w:rPr>
      </w:pPr>
      <w:bookmarkStart w:id="13" w:name="_omgb9wkwmc1u" w:colFirst="0" w:colLast="0"/>
      <w:bookmarkEnd w:id="13"/>
      <w:r w:rsidRPr="005E1908">
        <w:rPr>
          <w:rFonts w:ascii="Times New Roman" w:eastAsia="Times New Roman" w:hAnsi="Times New Roman" w:cs="Times New Roman"/>
          <w:bCs/>
          <w:sz w:val="28"/>
          <w:szCs w:val="28"/>
        </w:rPr>
        <w:lastRenderedPageBreak/>
        <w:tab/>
      </w:r>
      <w:r w:rsidR="00623B79">
        <w:rPr>
          <w:rFonts w:ascii="Times New Roman" w:eastAsia="Times New Roman" w:hAnsi="Times New Roman" w:cs="Times New Roman"/>
          <w:b/>
          <w:sz w:val="28"/>
          <w:szCs w:val="28"/>
        </w:rPr>
        <w:t>ВСТУП</w:t>
      </w:r>
    </w:p>
    <w:p w14:paraId="4DB1DDEB" w14:textId="77777777" w:rsidR="00623B79" w:rsidRDefault="00623B79" w:rsidP="00623B79"/>
    <w:p w14:paraId="3B9B5D22"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Актуальність теми "Концентрація в ІТ секторі: особливості конкуренції на ринку ІТ послуг" зростає в умовах стрімкого розвитку інформаційних технологій та зростаючої конкуренції у глобальному масштабі. Сучасний ІТ-сектор стає ареною для численних злиттів та поглинань, що змінює ландшафт ринку, підвищує бар'єри для входу нових гравців і, водночас, стимулює інновації. У цьому контексті вивчення механізмів концентрації та їх впливу на конкурентоспроможність є надзвичайно важливим для розуміння розвитку економіки в цілому.</w:t>
      </w:r>
    </w:p>
    <w:p w14:paraId="5250B63F"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Огляд наукової літератури показує, що питання концентрації ринку, її вплив на конкуренцію, інновації та економічний розвиток стали предметом дослідження багатьох вчених. Дослідження виявляють, що ринкова концентрація може позитивно впливати на інновації завдяки збільшенню фінансових ресурсів для інвестицій, але також може обмежувати конкуренцію і заважати розвитку малих підприємств. Це підкреслює необхідність детального аналізу даної теми в контексті ІТ-сектору.</w:t>
      </w:r>
    </w:p>
    <w:p w14:paraId="7D6C6101" w14:textId="77777777" w:rsidR="00623B79" w:rsidRDefault="00623B79" w:rsidP="00623B79">
      <w:pPr>
        <w:spacing w:before="240" w:after="24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цієї курсової роботи є аналіз впливу ринкової концентрації на конкуренцію, інновації та економічний розвиток в ІТ-секторі, а також пропозиція рекомендацій для оптимізації ринкових умов. Для досягнення цієї мети поставлені наступні завдання:</w:t>
      </w:r>
    </w:p>
    <w:p w14:paraId="41D26690" w14:textId="77777777" w:rsidR="00623B79" w:rsidRPr="00113F7E" w:rsidRDefault="00623B79" w:rsidP="00623B79">
      <w:pPr>
        <w:numPr>
          <w:ilvl w:val="0"/>
          <w:numId w:val="6"/>
        </w:numPr>
        <w:spacing w:before="240" w:line="360" w:lineRule="auto"/>
        <w:rPr>
          <w:rFonts w:ascii="Times New Roman" w:eastAsia="Times New Roman" w:hAnsi="Times New Roman" w:cs="Times New Roman"/>
          <w:sz w:val="28"/>
          <w:szCs w:val="28"/>
        </w:rPr>
      </w:pPr>
      <w:r w:rsidRPr="00113F7E">
        <w:rPr>
          <w:rFonts w:ascii="Times New Roman" w:hAnsi="Times New Roman" w:cs="Times New Roman"/>
          <w:sz w:val="28"/>
          <w:szCs w:val="28"/>
        </w:rPr>
        <w:t xml:space="preserve">Вивчити теоретичні основи аналізу концентрації ринків та визначити основні поняття та категорії. Теоретична частина базується на сучасних дослідженнях, таких як праці Тіроля, а також інших провідних економістів, що аналізують вплив концентрації на ринки. </w:t>
      </w:r>
    </w:p>
    <w:p w14:paraId="3FB57E40" w14:textId="77777777" w:rsidR="00623B79" w:rsidRDefault="00623B79" w:rsidP="00623B79">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аналіз сучасних тенденцій і статистичних даних щодо концентрації на глобальному та вітчизняному ринку ІТ-послуг.</w:t>
      </w:r>
    </w:p>
    <w:p w14:paraId="30B93238" w14:textId="77777777" w:rsidR="00623B79" w:rsidRDefault="00623B79" w:rsidP="00623B79">
      <w:pPr>
        <w:numPr>
          <w:ilvl w:val="0"/>
          <w:numId w:val="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Розглянути вплив концентрації на конкуренцію, інновації та економічний розвиток, а також запропонувати власні рішення для вирішення виявлених проблем.</w:t>
      </w:r>
    </w:p>
    <w:p w14:paraId="4BC8676F"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дослідження є особливості конкуренції та концентрації на ринку ІТ-послуг. Об'єктом виступає ринок ІТ-послуг України, а також глобальні тенденції, які впливають на нього.</w:t>
      </w:r>
    </w:p>
    <w:p w14:paraId="6234E60A"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дослідження включають аналіз статистичних даних, огляд наукових праць, методи порівняльного аналізу та прогнозування.</w:t>
      </w:r>
    </w:p>
    <w:p w14:paraId="2269E9DF"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дослідження включає аналіз наукових джерел, статистичних даних, а також практичних прикладів з реального сектору. Інформаційною базою роботи стали наукові статті, монографії, статистичні звіти та нормативні документи.</w:t>
      </w:r>
    </w:p>
    <w:p w14:paraId="543DDA7D"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Унікальність цієї роботи полягає в інтеграції теоретичних засад з практичними аспектами, що дозволяє сформулювати рекомендації для оптимізації впливу концентрації на ринку ІТ-послуг. </w:t>
      </w:r>
    </w:p>
    <w:p w14:paraId="63F3DC61"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Практичне значення дослідження полягає в можливості використання його результатів для формування державної політики у сфері підтримки конкуренції та інновацій у ІТ-секторі.</w:t>
      </w:r>
    </w:p>
    <w:p w14:paraId="1D5A4F74"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дане дослідження має на меті не тільки виявити основні тенденції та проблеми, пов'язані з концентрацією в ІТ-секторі, але й запропонувати практичні рішення для покращення конкурентного середовища в цій важливій галузі економіки.</w:t>
      </w:r>
    </w:p>
    <w:p w14:paraId="348A5BD6" w14:textId="2CA6E34B" w:rsidR="00701ED7" w:rsidRPr="00F557A1" w:rsidRDefault="00701ED7" w:rsidP="00623B79">
      <w:pPr>
        <w:pStyle w:val="1"/>
        <w:keepNext w:val="0"/>
        <w:keepLines w:val="0"/>
        <w:spacing w:after="80"/>
        <w:jc w:val="center"/>
        <w:rPr>
          <w:rFonts w:ascii="Times New Roman" w:eastAsia="Times New Roman" w:hAnsi="Times New Roman" w:cs="Times New Roman"/>
          <w:sz w:val="28"/>
          <w:szCs w:val="28"/>
        </w:rPr>
      </w:pPr>
    </w:p>
    <w:p w14:paraId="3AF1E9A6" w14:textId="77777777" w:rsidR="00701ED7" w:rsidRDefault="00701ED7">
      <w:pPr>
        <w:pStyle w:val="2"/>
        <w:keepNext w:val="0"/>
        <w:keepLines w:val="0"/>
        <w:spacing w:after="80"/>
        <w:rPr>
          <w:b/>
          <w:sz w:val="28"/>
          <w:szCs w:val="28"/>
        </w:rPr>
      </w:pPr>
      <w:bookmarkStart w:id="14" w:name="_mz9ved392uy5" w:colFirst="0" w:colLast="0"/>
      <w:bookmarkEnd w:id="14"/>
    </w:p>
    <w:p w14:paraId="26CB6364" w14:textId="77777777" w:rsidR="00FC60F1" w:rsidRDefault="00FC60F1" w:rsidP="00FC60F1"/>
    <w:p w14:paraId="0C776D71" w14:textId="77777777" w:rsidR="00FC60F1" w:rsidRDefault="00FC60F1" w:rsidP="00FC60F1"/>
    <w:p w14:paraId="47D3D192" w14:textId="055FA657" w:rsidR="00701ED7" w:rsidRPr="00786E06" w:rsidRDefault="00621148" w:rsidP="00623B79">
      <w:pPr>
        <w:pStyle w:val="1"/>
        <w:keepNext w:val="0"/>
        <w:keepLines w:val="0"/>
        <w:spacing w:after="80" w:line="360" w:lineRule="auto"/>
        <w:jc w:val="center"/>
        <w:rPr>
          <w:rFonts w:ascii="Times New Roman" w:eastAsia="Times New Roman" w:hAnsi="Times New Roman" w:cs="Times New Roman"/>
          <w:b/>
          <w:bCs/>
          <w:sz w:val="28"/>
          <w:szCs w:val="28"/>
        </w:rPr>
      </w:pPr>
      <w:bookmarkStart w:id="15" w:name="_ieozdjy6b269" w:colFirst="0" w:colLast="0"/>
      <w:bookmarkEnd w:id="15"/>
      <w:r w:rsidRPr="00786E06">
        <w:rPr>
          <w:rFonts w:ascii="Times New Roman" w:eastAsia="Times New Roman" w:hAnsi="Times New Roman" w:cs="Times New Roman"/>
          <w:b/>
          <w:bCs/>
          <w:sz w:val="28"/>
          <w:szCs w:val="28"/>
        </w:rPr>
        <w:lastRenderedPageBreak/>
        <w:t>Р</w:t>
      </w:r>
      <w:r w:rsidR="00786E06" w:rsidRPr="00786E06">
        <w:rPr>
          <w:rFonts w:ascii="Times New Roman" w:eastAsia="Times New Roman" w:hAnsi="Times New Roman" w:cs="Times New Roman"/>
          <w:b/>
          <w:bCs/>
          <w:sz w:val="28"/>
          <w:szCs w:val="28"/>
        </w:rPr>
        <w:t>озділ 1.</w:t>
      </w:r>
      <w:r w:rsidRPr="00786E06">
        <w:rPr>
          <w:rFonts w:ascii="Times New Roman" w:eastAsia="Times New Roman" w:hAnsi="Times New Roman" w:cs="Times New Roman"/>
          <w:b/>
          <w:bCs/>
          <w:sz w:val="28"/>
          <w:szCs w:val="28"/>
        </w:rPr>
        <w:t xml:space="preserve"> Теоретичні основи аналізу концентрації ринків</w:t>
      </w:r>
    </w:p>
    <w:p w14:paraId="1B27EC55" w14:textId="77777777" w:rsidR="00FC60F1" w:rsidRPr="00FC60F1" w:rsidRDefault="00FC60F1" w:rsidP="00FC60F1"/>
    <w:p w14:paraId="6AF4E625" w14:textId="77777777" w:rsidR="00623B79" w:rsidRPr="00D10013" w:rsidRDefault="00623B79" w:rsidP="00623B79">
      <w:pPr>
        <w:spacing w:before="240" w:after="240" w:line="360" w:lineRule="auto"/>
        <w:ind w:firstLine="720"/>
        <w:jc w:val="both"/>
        <w:rPr>
          <w:rFonts w:ascii="Times New Roman" w:eastAsia="Times New Roman" w:hAnsi="Times New Roman" w:cs="Times New Roman"/>
          <w:sz w:val="28"/>
          <w:szCs w:val="28"/>
        </w:rPr>
      </w:pPr>
      <w:r w:rsidRPr="00D10013">
        <w:rPr>
          <w:rFonts w:ascii="Times New Roman" w:hAnsi="Times New Roman" w:cs="Times New Roman"/>
          <w:sz w:val="28"/>
          <w:szCs w:val="28"/>
        </w:rPr>
        <w:t>Концентрація ринку є ключовим показником структури галузі, що відображає рівень домінування великих компаній та їхню частку на ринку. У контексті ІТ-сектору, з його динамічним розвитком і швидкими технологічними змінами, питання концентрації набувають особливої актуальності. Це пов’язано з тим, що саме великі компанії мають доступ до значних ресурсів, які дозволяють їм контролювати інноваційні процеси та встановлювати ринкові тренди. Основою сучасного аналізу ринкової концентрації є роботи Жана Тіроля, який запропонував розглядати не лише рівень концентрації, але і ринкову владу компаній. Його підходи стали ключовими для оцінки впливу монополізації на конкуренцію та інновації</w:t>
      </w:r>
      <w:r>
        <w:rPr>
          <w:rFonts w:ascii="Times New Roman" w:hAnsi="Times New Roman" w:cs="Times New Roman"/>
          <w:sz w:val="28"/>
          <w:szCs w:val="28"/>
        </w:rPr>
        <w:t xml:space="preserve"> [7, с.46]</w:t>
      </w:r>
      <w:r w:rsidRPr="00D10013">
        <w:rPr>
          <w:rFonts w:ascii="Times New Roman" w:hAnsi="Times New Roman" w:cs="Times New Roman"/>
          <w:sz w:val="28"/>
          <w:szCs w:val="28"/>
        </w:rPr>
        <w:t>.</w:t>
      </w:r>
    </w:p>
    <w:p w14:paraId="502E05F0" w14:textId="77777777" w:rsidR="00623B79" w:rsidRPr="00D10013" w:rsidRDefault="00623B79" w:rsidP="00623B79">
      <w:pPr>
        <w:spacing w:before="240" w:after="240" w:line="360" w:lineRule="auto"/>
        <w:ind w:firstLine="720"/>
        <w:jc w:val="both"/>
        <w:rPr>
          <w:rFonts w:ascii="Times New Roman" w:eastAsia="Times New Roman" w:hAnsi="Times New Roman" w:cs="Times New Roman"/>
          <w:sz w:val="28"/>
          <w:szCs w:val="28"/>
        </w:rPr>
      </w:pPr>
      <w:r w:rsidRPr="00D10013">
        <w:rPr>
          <w:rFonts w:ascii="Times New Roman" w:hAnsi="Times New Roman" w:cs="Times New Roman"/>
          <w:sz w:val="28"/>
          <w:szCs w:val="28"/>
        </w:rPr>
        <w:t>Концентрація ринку – це процес, при якому на ринку зменшується кількість незалежних суб’єктів господарювання, а їх частка у загальному обсязі виробництва або надання послуг зростає</w:t>
      </w:r>
      <w:r>
        <w:rPr>
          <w:rFonts w:ascii="Times New Roman" w:hAnsi="Times New Roman" w:cs="Times New Roman"/>
          <w:sz w:val="28"/>
          <w:szCs w:val="28"/>
        </w:rPr>
        <w:t xml:space="preserve"> [24, с.7]</w:t>
      </w:r>
      <w:r w:rsidRPr="00D10013">
        <w:rPr>
          <w:rFonts w:ascii="Times New Roman" w:hAnsi="Times New Roman" w:cs="Times New Roman"/>
          <w:sz w:val="28"/>
          <w:szCs w:val="28"/>
        </w:rPr>
        <w:t xml:space="preserve">. Зазвичай, концентрація ринку вимірюється за допомогою коефіцієнтів концентрації, індексу Герфіндаля-Гіршмана та інших статистичних показників. Ці індикатори дозволяють оцінити рівень конкуренції на ринку, визначити ступінь монополізації та ризики для споживачів. </w:t>
      </w:r>
    </w:p>
    <w:p w14:paraId="10A6A2A1"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економічній теорії виокремлюють декілька видів концентрації ринку:</w:t>
      </w:r>
    </w:p>
    <w:p w14:paraId="63B9B72E" w14:textId="77777777" w:rsidR="00623B79" w:rsidRPr="00623B79" w:rsidRDefault="00623B79" w:rsidP="00623B79">
      <w:pPr>
        <w:numPr>
          <w:ilvl w:val="0"/>
          <w:numId w:val="7"/>
        </w:numPr>
        <w:spacing w:before="240" w:line="360" w:lineRule="auto"/>
        <w:jc w:val="both"/>
        <w:rPr>
          <w:rFonts w:ascii="Times New Roman" w:eastAsia="Times New Roman" w:hAnsi="Times New Roman" w:cs="Times New Roman"/>
          <w:bCs/>
          <w:sz w:val="28"/>
          <w:szCs w:val="28"/>
        </w:rPr>
      </w:pPr>
      <w:r w:rsidRPr="00623B79">
        <w:rPr>
          <w:rFonts w:ascii="Times New Roman" w:eastAsia="Times New Roman" w:hAnsi="Times New Roman" w:cs="Times New Roman"/>
          <w:bCs/>
          <w:sz w:val="28"/>
          <w:szCs w:val="28"/>
        </w:rPr>
        <w:t>Горизонтальна концентрація – об'єднання компаній, що працюють в одній галузі та надають подібні послуги або продукти. Це спрямовано на зменшення конкуренції серед прямих конкурентів та збільшення частки на ринку. Наприклад, злиття двох великих компаній у сфері програмного забезпечення може призвести до зменшення вибору для споживачів і підвищення цін.</w:t>
      </w:r>
    </w:p>
    <w:p w14:paraId="66B53E7E" w14:textId="77777777" w:rsidR="00623B79" w:rsidRPr="00623B79" w:rsidRDefault="00623B79" w:rsidP="00623B79">
      <w:pPr>
        <w:numPr>
          <w:ilvl w:val="0"/>
          <w:numId w:val="7"/>
        </w:numPr>
        <w:spacing w:line="360" w:lineRule="auto"/>
        <w:jc w:val="both"/>
        <w:rPr>
          <w:rFonts w:ascii="Times New Roman" w:eastAsia="Times New Roman" w:hAnsi="Times New Roman" w:cs="Times New Roman"/>
          <w:bCs/>
          <w:sz w:val="28"/>
          <w:szCs w:val="28"/>
        </w:rPr>
      </w:pPr>
      <w:r w:rsidRPr="00623B79">
        <w:rPr>
          <w:rFonts w:ascii="Times New Roman" w:eastAsia="Times New Roman" w:hAnsi="Times New Roman" w:cs="Times New Roman"/>
          <w:bCs/>
          <w:sz w:val="28"/>
          <w:szCs w:val="28"/>
        </w:rPr>
        <w:t xml:space="preserve">Вертикальна концентрація – злиття компаній, що займаються різними етапами виробництва або надання послуг. Це дозволяє фірмам </w:t>
      </w:r>
      <w:r w:rsidRPr="00623B79">
        <w:rPr>
          <w:rFonts w:ascii="Times New Roman" w:eastAsia="Times New Roman" w:hAnsi="Times New Roman" w:cs="Times New Roman"/>
          <w:bCs/>
          <w:sz w:val="28"/>
          <w:szCs w:val="28"/>
        </w:rPr>
        <w:lastRenderedPageBreak/>
        <w:t>контролювати весь ланцюг створення вартості від виробництва до кінцевого споживача. У випадку вертикальної інтеграції, компанія може зменшити витрати, контролюючи постачання сировини та розподіл.</w:t>
      </w:r>
    </w:p>
    <w:p w14:paraId="522B5F5C" w14:textId="77777777" w:rsidR="00623B79" w:rsidRDefault="00623B79" w:rsidP="00623B79">
      <w:pPr>
        <w:numPr>
          <w:ilvl w:val="0"/>
          <w:numId w:val="7"/>
        </w:numPr>
        <w:spacing w:after="240" w:line="360" w:lineRule="auto"/>
        <w:jc w:val="both"/>
        <w:rPr>
          <w:rFonts w:ascii="Times New Roman" w:eastAsia="Times New Roman" w:hAnsi="Times New Roman" w:cs="Times New Roman"/>
          <w:sz w:val="28"/>
          <w:szCs w:val="28"/>
        </w:rPr>
      </w:pPr>
      <w:r w:rsidRPr="00623B79">
        <w:rPr>
          <w:rFonts w:ascii="Times New Roman" w:eastAsia="Times New Roman" w:hAnsi="Times New Roman" w:cs="Times New Roman"/>
          <w:bCs/>
          <w:sz w:val="28"/>
          <w:szCs w:val="28"/>
        </w:rPr>
        <w:t>Конгломератна концентрація – об'єднання</w:t>
      </w:r>
      <w:r>
        <w:rPr>
          <w:rFonts w:ascii="Times New Roman" w:eastAsia="Times New Roman" w:hAnsi="Times New Roman" w:cs="Times New Roman"/>
          <w:sz w:val="28"/>
          <w:szCs w:val="28"/>
        </w:rPr>
        <w:t xml:space="preserve"> компаній, що працюють в різних галузях або сегментах ринку. Це дозволяє компаніям диверсифікувати свої ризики та входити на нові ринки. Наприклад, технологічні гіганти можуть придбати компанії в суміжних галузях, щоб розширити свій портфель послуг [18, с.56-58].</w:t>
      </w:r>
    </w:p>
    <w:p w14:paraId="64F6225D" w14:textId="77777777" w:rsidR="00623B79" w:rsidRPr="009C7853" w:rsidRDefault="00623B79" w:rsidP="00623B79">
      <w:pPr>
        <w:spacing w:before="240" w:after="240" w:line="360" w:lineRule="auto"/>
        <w:ind w:firstLine="720"/>
        <w:jc w:val="both"/>
        <w:rPr>
          <w:rFonts w:ascii="Times New Roman" w:eastAsia="Times New Roman" w:hAnsi="Times New Roman" w:cs="Times New Roman"/>
          <w:sz w:val="28"/>
          <w:szCs w:val="28"/>
        </w:rPr>
      </w:pPr>
      <w:r w:rsidRPr="009C7853">
        <w:rPr>
          <w:rFonts w:ascii="Times New Roman" w:hAnsi="Times New Roman" w:cs="Times New Roman"/>
          <w:sz w:val="28"/>
          <w:szCs w:val="28"/>
        </w:rPr>
        <w:t>Одним з найпоширеніших методів вимірювання концентрації ринку є індекс Герфіндаля-Гіршмана (HHI). Він обчислюється шляхом додавання квадратів ринкових часток усіх учасників ринку. Індекс HHI, менший за 1 500, вважається показником низької концентрації ринку; значення в межах від 1 500 до 2 500 вказує на середній рівень концентрації, а значення понад 2 500 свідчить про високу концентрацію. Використання HHI дозволяє виявити потенційні загрози для конкуренції, які можуть виникнути внаслідок злиттів і поглинань</w:t>
      </w:r>
      <w:r>
        <w:rPr>
          <w:rFonts w:ascii="Times New Roman" w:hAnsi="Times New Roman" w:cs="Times New Roman"/>
          <w:sz w:val="28"/>
          <w:szCs w:val="28"/>
        </w:rPr>
        <w:t xml:space="preserve"> [9, с.76]</w:t>
      </w:r>
      <w:r w:rsidRPr="009C7853">
        <w:rPr>
          <w:rFonts w:ascii="Times New Roman" w:hAnsi="Times New Roman" w:cs="Times New Roman"/>
          <w:sz w:val="28"/>
          <w:szCs w:val="28"/>
        </w:rPr>
        <w:t>. У дослідженні використовувалася методика розрахунку HHI, яка враховує обороти компаній на ринку. Проте, для більшої точності, слід також аналізувати сегментовані дані за типами продуктів чи послуг. Враховуючи експортну орієнтацію українських компаній, це особливо важливо для локального ринку.</w:t>
      </w:r>
    </w:p>
    <w:p w14:paraId="519130BC"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використовуються коефіцієнти концентрації, які показують сукупну частку найбільших фірм на ринку[14, с.62]. Наприклад, коефіцієнт CR4 демонструє частку чотирьох найбільших компаній у загальному обсязі ринку. Якщо CR4 перевищує 50%, це свідчить про значний рівень концентрації.</w:t>
      </w:r>
    </w:p>
    <w:p w14:paraId="4A078C2A" w14:textId="77777777" w:rsidR="00623B79" w:rsidRPr="008F5A5C" w:rsidRDefault="00623B79" w:rsidP="00623B79">
      <w:pPr>
        <w:spacing w:before="240" w:after="24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Конкуренція на концентрованих ринках набуває специфічних рис. Висококонцентровані ринки, як правило, характеризуються обмеженою кількістю гравців, що можуть впливати на загальні умови ринку. У таких умовах конкуренція між компаніями частіше виражається не через цінові війни, а через інноваційні підходи, технологічні рішення та підвищення якості послуг. </w:t>
      </w:r>
      <w:r>
        <w:rPr>
          <w:rFonts w:ascii="Times New Roman" w:eastAsia="Times New Roman" w:hAnsi="Times New Roman" w:cs="Times New Roman"/>
          <w:sz w:val="28"/>
          <w:szCs w:val="28"/>
        </w:rPr>
        <w:lastRenderedPageBreak/>
        <w:t>В ІТ-секторі, де домінують великі транснаціональні корпорації, конкуренція зосереджується на створенні екосистем, що включають не тільки ІТ-продукти, але й супутні послуги, як-от технічна підтримка, аналітика даних та хмарні обчислення [12]. Це дозволяє великим компаніям втримувати клієнтів у своїх екосистемах та обмежувати можливості для нових гравців.</w:t>
      </w:r>
    </w:p>
    <w:p w14:paraId="1E99085E"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 сучасні дослідження, такі як праці Майкла Портера, аналізують вплив концентрації на інноваційні можливості та стратегічне позиціювання компаній. Портер підкреслює, що конкуренція в концентрованих ринках може стимулювати розвиток нових технологій, проте, в той же час, вона може призвести до стагнації, якщо домінуючі компанії почнуть зловживати своїм становищем.</w:t>
      </w:r>
    </w:p>
    <w:p w14:paraId="6FE2C135"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концентрації в ІТ-секторі є відносно новим напрямком. Окремі автори, такі як Ніколас Карр, звертають увагу на тенденцію до монополізації в індустрії інформаційних технологій через домінування великих гравців, таких як Microsoft, Google, Amazon. Інші дослідники наголошують на можливостях малих компаній використовувати інноваційні ніші для успішної конкуренції в умовах високої концентрації ринку [13, с.45].</w:t>
      </w:r>
    </w:p>
    <w:p w14:paraId="691AFDE5" w14:textId="77777777" w:rsidR="00623B79" w:rsidRPr="00786E06"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у 2020 році компанія Zoom показала, як навіть невелика фірма може досягти значних успіхів на ринку, якщо запропонує унікальний продукт, що відповідає потребам споживачів. Zoom став важливим гравцем на ринку відеоконференцій, незважаючи на сильну конкуренцію від таких гігантів, як Microsoft і Cisco. Це підтверджує тезу, що інноваційні стартапи можуть витримувати конкуренцію, якщо вони зможуть швидко адаптуватися до змін на ринку.</w:t>
      </w:r>
    </w:p>
    <w:p w14:paraId="4B8B2CC2"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 також враховувати, що законодавчі ініціативи, спрямовані на обмеження монополізації та підтримку конкурентного середовища, можуть суттєво змінити структуру ринку в майбутньому [11, с.7]. Наприклад, Європейський Союз активно розробляє нові правила щодо конкуренції в </w:t>
      </w:r>
      <w:r>
        <w:rPr>
          <w:rFonts w:ascii="Times New Roman" w:eastAsia="Times New Roman" w:hAnsi="Times New Roman" w:cs="Times New Roman"/>
          <w:sz w:val="28"/>
          <w:szCs w:val="28"/>
        </w:rPr>
        <w:lastRenderedPageBreak/>
        <w:t>цифровій економіці, що може призвести до збільшення можливостей для малих і середніх підприємств у сфері ІТ.</w:t>
      </w:r>
    </w:p>
    <w:p w14:paraId="54481BCC" w14:textId="77777777" w:rsidR="00701ED7" w:rsidRPr="00F557A1" w:rsidRDefault="00701ED7">
      <w:pPr>
        <w:spacing w:before="240" w:after="240" w:line="360" w:lineRule="auto"/>
        <w:ind w:firstLine="720"/>
        <w:jc w:val="both"/>
        <w:rPr>
          <w:rFonts w:ascii="Times New Roman" w:eastAsia="Times New Roman" w:hAnsi="Times New Roman" w:cs="Times New Roman"/>
          <w:sz w:val="28"/>
          <w:szCs w:val="28"/>
        </w:rPr>
      </w:pPr>
    </w:p>
    <w:p w14:paraId="6D5F4570" w14:textId="77777777" w:rsidR="00701ED7" w:rsidRPr="00F557A1" w:rsidRDefault="00701ED7">
      <w:pPr>
        <w:spacing w:before="240" w:after="240" w:line="360" w:lineRule="auto"/>
        <w:ind w:firstLine="720"/>
        <w:jc w:val="both"/>
        <w:rPr>
          <w:rFonts w:ascii="Times New Roman" w:eastAsia="Times New Roman" w:hAnsi="Times New Roman" w:cs="Times New Roman"/>
          <w:sz w:val="28"/>
          <w:szCs w:val="28"/>
        </w:rPr>
      </w:pPr>
    </w:p>
    <w:p w14:paraId="7AF7BBD7" w14:textId="77777777" w:rsidR="00701ED7" w:rsidRPr="00F557A1" w:rsidRDefault="00701ED7">
      <w:pPr>
        <w:spacing w:line="360" w:lineRule="auto"/>
        <w:ind w:firstLine="720"/>
        <w:jc w:val="both"/>
        <w:rPr>
          <w:rFonts w:ascii="Times New Roman" w:eastAsia="Times New Roman" w:hAnsi="Times New Roman" w:cs="Times New Roman"/>
          <w:sz w:val="28"/>
          <w:szCs w:val="28"/>
        </w:rPr>
      </w:pPr>
    </w:p>
    <w:p w14:paraId="0CEE255D" w14:textId="77777777" w:rsidR="00701ED7" w:rsidRPr="00F557A1" w:rsidRDefault="00701ED7">
      <w:pPr>
        <w:spacing w:line="360" w:lineRule="auto"/>
        <w:jc w:val="both"/>
        <w:rPr>
          <w:rFonts w:ascii="Times New Roman" w:eastAsia="Times New Roman" w:hAnsi="Times New Roman" w:cs="Times New Roman"/>
          <w:sz w:val="28"/>
          <w:szCs w:val="28"/>
        </w:rPr>
      </w:pPr>
    </w:p>
    <w:p w14:paraId="271C16CF" w14:textId="77777777" w:rsidR="00701ED7" w:rsidRDefault="00701ED7">
      <w:pPr>
        <w:spacing w:line="360" w:lineRule="auto"/>
        <w:jc w:val="both"/>
        <w:rPr>
          <w:rFonts w:ascii="Times New Roman" w:eastAsia="Times New Roman" w:hAnsi="Times New Roman" w:cs="Times New Roman"/>
          <w:sz w:val="28"/>
          <w:szCs w:val="28"/>
        </w:rPr>
      </w:pPr>
    </w:p>
    <w:p w14:paraId="09F7289A" w14:textId="77777777" w:rsidR="007D38CF" w:rsidRPr="00F557A1" w:rsidRDefault="007D38CF">
      <w:pPr>
        <w:spacing w:line="360" w:lineRule="auto"/>
        <w:jc w:val="both"/>
        <w:rPr>
          <w:rFonts w:ascii="Times New Roman" w:eastAsia="Times New Roman" w:hAnsi="Times New Roman" w:cs="Times New Roman"/>
          <w:sz w:val="28"/>
          <w:szCs w:val="28"/>
        </w:rPr>
      </w:pPr>
    </w:p>
    <w:p w14:paraId="7BA3DB9C" w14:textId="77777777" w:rsidR="00701ED7" w:rsidRDefault="00701ED7">
      <w:pPr>
        <w:spacing w:line="360" w:lineRule="auto"/>
        <w:jc w:val="both"/>
        <w:rPr>
          <w:rFonts w:ascii="Times New Roman" w:eastAsia="Times New Roman" w:hAnsi="Times New Roman" w:cs="Times New Roman"/>
          <w:sz w:val="28"/>
          <w:szCs w:val="28"/>
        </w:rPr>
      </w:pPr>
    </w:p>
    <w:p w14:paraId="567AA04C" w14:textId="77777777" w:rsidR="00FC60F1" w:rsidRDefault="00FC60F1">
      <w:pPr>
        <w:spacing w:line="360" w:lineRule="auto"/>
        <w:jc w:val="both"/>
        <w:rPr>
          <w:rFonts w:ascii="Times New Roman" w:eastAsia="Times New Roman" w:hAnsi="Times New Roman" w:cs="Times New Roman"/>
          <w:sz w:val="28"/>
          <w:szCs w:val="28"/>
        </w:rPr>
      </w:pPr>
    </w:p>
    <w:p w14:paraId="5E754781" w14:textId="77777777" w:rsidR="00FC60F1" w:rsidRDefault="00FC60F1">
      <w:pPr>
        <w:spacing w:line="360" w:lineRule="auto"/>
        <w:jc w:val="both"/>
        <w:rPr>
          <w:rFonts w:ascii="Times New Roman" w:eastAsia="Times New Roman" w:hAnsi="Times New Roman" w:cs="Times New Roman"/>
          <w:sz w:val="28"/>
          <w:szCs w:val="28"/>
        </w:rPr>
      </w:pPr>
    </w:p>
    <w:p w14:paraId="7523A073" w14:textId="77777777" w:rsidR="00FC60F1" w:rsidRDefault="00FC60F1">
      <w:pPr>
        <w:spacing w:line="360" w:lineRule="auto"/>
        <w:jc w:val="both"/>
        <w:rPr>
          <w:rFonts w:ascii="Times New Roman" w:eastAsia="Times New Roman" w:hAnsi="Times New Roman" w:cs="Times New Roman"/>
          <w:sz w:val="28"/>
          <w:szCs w:val="28"/>
        </w:rPr>
      </w:pPr>
    </w:p>
    <w:p w14:paraId="1411CB83" w14:textId="77777777" w:rsidR="00FC60F1" w:rsidRDefault="00FC60F1">
      <w:pPr>
        <w:spacing w:line="360" w:lineRule="auto"/>
        <w:jc w:val="both"/>
        <w:rPr>
          <w:rFonts w:ascii="Times New Roman" w:eastAsia="Times New Roman" w:hAnsi="Times New Roman" w:cs="Times New Roman"/>
          <w:sz w:val="28"/>
          <w:szCs w:val="28"/>
        </w:rPr>
      </w:pPr>
    </w:p>
    <w:p w14:paraId="1BBF67CD" w14:textId="77777777" w:rsidR="00FC60F1" w:rsidRDefault="00FC60F1">
      <w:pPr>
        <w:spacing w:line="360" w:lineRule="auto"/>
        <w:jc w:val="both"/>
        <w:rPr>
          <w:rFonts w:ascii="Times New Roman" w:eastAsia="Times New Roman" w:hAnsi="Times New Roman" w:cs="Times New Roman"/>
          <w:sz w:val="28"/>
          <w:szCs w:val="28"/>
        </w:rPr>
      </w:pPr>
    </w:p>
    <w:p w14:paraId="5CC47E9A" w14:textId="77777777" w:rsidR="00FC60F1" w:rsidRDefault="00FC60F1">
      <w:pPr>
        <w:spacing w:line="360" w:lineRule="auto"/>
        <w:jc w:val="both"/>
        <w:rPr>
          <w:rFonts w:ascii="Times New Roman" w:eastAsia="Times New Roman" w:hAnsi="Times New Roman" w:cs="Times New Roman"/>
          <w:sz w:val="28"/>
          <w:szCs w:val="28"/>
        </w:rPr>
      </w:pPr>
    </w:p>
    <w:p w14:paraId="3A9DFF0C" w14:textId="77777777" w:rsidR="00FC60F1" w:rsidRDefault="00FC60F1">
      <w:pPr>
        <w:spacing w:line="360" w:lineRule="auto"/>
        <w:jc w:val="both"/>
        <w:rPr>
          <w:rFonts w:ascii="Times New Roman" w:eastAsia="Times New Roman" w:hAnsi="Times New Roman" w:cs="Times New Roman"/>
          <w:sz w:val="28"/>
          <w:szCs w:val="28"/>
        </w:rPr>
      </w:pPr>
    </w:p>
    <w:p w14:paraId="07FEFF57" w14:textId="77777777" w:rsidR="00FC60F1" w:rsidRDefault="00FC60F1">
      <w:pPr>
        <w:spacing w:line="360" w:lineRule="auto"/>
        <w:jc w:val="both"/>
        <w:rPr>
          <w:rFonts w:ascii="Times New Roman" w:eastAsia="Times New Roman" w:hAnsi="Times New Roman" w:cs="Times New Roman"/>
          <w:sz w:val="28"/>
          <w:szCs w:val="28"/>
        </w:rPr>
      </w:pPr>
    </w:p>
    <w:p w14:paraId="12637B1C" w14:textId="77777777" w:rsidR="00FC60F1" w:rsidRDefault="00FC60F1">
      <w:pPr>
        <w:spacing w:line="360" w:lineRule="auto"/>
        <w:jc w:val="both"/>
        <w:rPr>
          <w:rFonts w:ascii="Times New Roman" w:eastAsia="Times New Roman" w:hAnsi="Times New Roman" w:cs="Times New Roman"/>
          <w:sz w:val="28"/>
          <w:szCs w:val="28"/>
        </w:rPr>
      </w:pPr>
    </w:p>
    <w:p w14:paraId="1C78D037" w14:textId="77777777" w:rsidR="00FC60F1" w:rsidRDefault="00FC60F1">
      <w:pPr>
        <w:spacing w:line="360" w:lineRule="auto"/>
        <w:jc w:val="both"/>
        <w:rPr>
          <w:rFonts w:ascii="Times New Roman" w:eastAsia="Times New Roman" w:hAnsi="Times New Roman" w:cs="Times New Roman"/>
          <w:sz w:val="28"/>
          <w:szCs w:val="28"/>
        </w:rPr>
      </w:pPr>
    </w:p>
    <w:p w14:paraId="4D7D4E0D" w14:textId="77777777" w:rsidR="00FC60F1" w:rsidRDefault="00FC60F1">
      <w:pPr>
        <w:spacing w:line="360" w:lineRule="auto"/>
        <w:jc w:val="both"/>
        <w:rPr>
          <w:rFonts w:ascii="Times New Roman" w:eastAsia="Times New Roman" w:hAnsi="Times New Roman" w:cs="Times New Roman"/>
          <w:sz w:val="28"/>
          <w:szCs w:val="28"/>
        </w:rPr>
      </w:pPr>
    </w:p>
    <w:p w14:paraId="2CC5CB5E" w14:textId="77777777" w:rsidR="00FC60F1" w:rsidRDefault="00FC60F1">
      <w:pPr>
        <w:spacing w:line="360" w:lineRule="auto"/>
        <w:jc w:val="both"/>
        <w:rPr>
          <w:rFonts w:ascii="Times New Roman" w:eastAsia="Times New Roman" w:hAnsi="Times New Roman" w:cs="Times New Roman"/>
          <w:sz w:val="28"/>
          <w:szCs w:val="28"/>
        </w:rPr>
      </w:pPr>
    </w:p>
    <w:p w14:paraId="136AD692" w14:textId="77777777" w:rsidR="00FC60F1" w:rsidRDefault="00FC60F1" w:rsidP="00FC60F1">
      <w:pPr>
        <w:spacing w:line="360" w:lineRule="auto"/>
        <w:jc w:val="center"/>
        <w:rPr>
          <w:rFonts w:ascii="Times New Roman" w:eastAsia="Times New Roman" w:hAnsi="Times New Roman" w:cs="Times New Roman"/>
          <w:sz w:val="28"/>
          <w:szCs w:val="28"/>
        </w:rPr>
      </w:pPr>
    </w:p>
    <w:p w14:paraId="3FFEBEAD" w14:textId="77777777" w:rsidR="00623B79" w:rsidRDefault="00623B79" w:rsidP="00FC60F1">
      <w:pPr>
        <w:spacing w:line="360" w:lineRule="auto"/>
        <w:jc w:val="center"/>
        <w:rPr>
          <w:rFonts w:ascii="Times New Roman" w:eastAsia="Times New Roman" w:hAnsi="Times New Roman" w:cs="Times New Roman"/>
          <w:sz w:val="28"/>
          <w:szCs w:val="28"/>
        </w:rPr>
      </w:pPr>
    </w:p>
    <w:p w14:paraId="4C99D13B" w14:textId="77777777" w:rsidR="00623B79" w:rsidRDefault="00623B79" w:rsidP="00FC60F1">
      <w:pPr>
        <w:spacing w:line="360" w:lineRule="auto"/>
        <w:jc w:val="center"/>
        <w:rPr>
          <w:rFonts w:ascii="Times New Roman" w:eastAsia="Times New Roman" w:hAnsi="Times New Roman" w:cs="Times New Roman"/>
          <w:sz w:val="28"/>
          <w:szCs w:val="28"/>
        </w:rPr>
      </w:pPr>
    </w:p>
    <w:p w14:paraId="4D4AF55C" w14:textId="77777777" w:rsidR="00623B79" w:rsidRDefault="00623B79" w:rsidP="00FC60F1">
      <w:pPr>
        <w:spacing w:line="360" w:lineRule="auto"/>
        <w:jc w:val="center"/>
        <w:rPr>
          <w:rFonts w:ascii="Times New Roman" w:eastAsia="Times New Roman" w:hAnsi="Times New Roman" w:cs="Times New Roman"/>
          <w:sz w:val="28"/>
          <w:szCs w:val="28"/>
        </w:rPr>
      </w:pPr>
    </w:p>
    <w:p w14:paraId="3ADC6290" w14:textId="77777777" w:rsidR="00623B79" w:rsidRDefault="00623B79" w:rsidP="00FC60F1">
      <w:pPr>
        <w:spacing w:line="360" w:lineRule="auto"/>
        <w:jc w:val="center"/>
        <w:rPr>
          <w:rFonts w:ascii="Times New Roman" w:eastAsia="Times New Roman" w:hAnsi="Times New Roman" w:cs="Times New Roman"/>
          <w:sz w:val="28"/>
          <w:szCs w:val="28"/>
        </w:rPr>
      </w:pPr>
    </w:p>
    <w:p w14:paraId="1B3D5E00" w14:textId="77777777" w:rsidR="00623B79" w:rsidRPr="00F557A1" w:rsidRDefault="00623B79" w:rsidP="00FC60F1">
      <w:pPr>
        <w:spacing w:line="360" w:lineRule="auto"/>
        <w:jc w:val="center"/>
        <w:rPr>
          <w:rFonts w:ascii="Times New Roman" w:eastAsia="Times New Roman" w:hAnsi="Times New Roman" w:cs="Times New Roman"/>
          <w:sz w:val="28"/>
          <w:szCs w:val="28"/>
        </w:rPr>
      </w:pPr>
    </w:p>
    <w:p w14:paraId="50E99FE1" w14:textId="2D69EECE" w:rsidR="00701ED7" w:rsidRPr="00786E06" w:rsidRDefault="00621148" w:rsidP="000655A7">
      <w:pPr>
        <w:pStyle w:val="1"/>
        <w:keepNext w:val="0"/>
        <w:keepLines w:val="0"/>
        <w:spacing w:after="80" w:line="360" w:lineRule="auto"/>
        <w:jc w:val="center"/>
        <w:rPr>
          <w:rFonts w:ascii="Times New Roman" w:eastAsia="Times New Roman" w:hAnsi="Times New Roman" w:cs="Times New Roman"/>
          <w:b/>
          <w:bCs/>
          <w:sz w:val="28"/>
          <w:szCs w:val="28"/>
        </w:rPr>
      </w:pPr>
      <w:bookmarkStart w:id="16" w:name="_4hpx5a4fl69" w:colFirst="0" w:colLast="0"/>
      <w:bookmarkEnd w:id="16"/>
      <w:r w:rsidRPr="00786E06">
        <w:rPr>
          <w:rFonts w:ascii="Times New Roman" w:eastAsia="Times New Roman" w:hAnsi="Times New Roman" w:cs="Times New Roman"/>
          <w:b/>
          <w:bCs/>
          <w:sz w:val="28"/>
          <w:szCs w:val="28"/>
        </w:rPr>
        <w:lastRenderedPageBreak/>
        <w:t>Розділ 2</w:t>
      </w:r>
      <w:r w:rsidR="00786E06">
        <w:rPr>
          <w:rFonts w:ascii="Times New Roman" w:eastAsia="Times New Roman" w:hAnsi="Times New Roman" w:cs="Times New Roman"/>
          <w:b/>
          <w:bCs/>
          <w:sz w:val="28"/>
          <w:szCs w:val="28"/>
        </w:rPr>
        <w:t>.</w:t>
      </w:r>
      <w:r w:rsidRPr="00786E06">
        <w:rPr>
          <w:rFonts w:ascii="Times New Roman" w:eastAsia="Times New Roman" w:hAnsi="Times New Roman" w:cs="Times New Roman"/>
          <w:b/>
          <w:bCs/>
          <w:sz w:val="28"/>
          <w:szCs w:val="28"/>
        </w:rPr>
        <w:t xml:space="preserve"> Сучасні тенденції та аналіз концентрації на глобальному і вітчизняному ринку ІТ послуг</w:t>
      </w:r>
    </w:p>
    <w:p w14:paraId="561FDAC7" w14:textId="77777777" w:rsidR="00FC60F1" w:rsidRPr="00FC60F1" w:rsidRDefault="00FC60F1" w:rsidP="00FC60F1"/>
    <w:p w14:paraId="2E3B93E8"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ІТ-сектор продовжує динамічно розвиватися як на глобальному, так і на національному рівні. Однак, зі зростанням важливості інформаційних технологій у світовій економіці, спостерігається чітка тенденція до концентрації ринків, коли найбільші гравці суттєво домінують у різних сегментах ІТ-послуг. У цьому розділі розглянемо сучасні тенденції, пов’язані з концентрацією на глобальному та вітчизняному ринках, на основі статистичних і аналітичних даних</w:t>
      </w:r>
    </w:p>
    <w:p w14:paraId="3EA5F589"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Глобальний ринок ІТ-послуг характеризується значною концентрацією серед таких компаній, як Amazon Web Services (AWS), Microsoft, Google, Apple та IBM. Великі гравці продовжують збільшувати свою частку на ринку за рахунок злиттів і поглинань, стратегічних альянсів та розвитку нових технологій.</w:t>
      </w:r>
    </w:p>
    <w:p w14:paraId="5BB5E98D" w14:textId="77777777" w:rsidR="00786E06" w:rsidRDefault="00623B79" w:rsidP="00786E0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даними Statista, у 2023 році частка Amazon Web Services на ринку хмарних обчислень становила близько 32%, що свідчить про її домінування в цьому сегменті. Microsoft Azure займає друге місце з часткою близько 23%, тоді як Google Cloud має 10% ринку [3]. Це свідчить про те, що перші три гравці контролюють більше ніж 65% глобального ринку хмарних послуг, що є яскравим прикладом високої концентрації.</w:t>
      </w:r>
    </w:p>
    <w:p w14:paraId="271F909C" w14:textId="6CCDB783" w:rsidR="000655A7" w:rsidRDefault="000655A7" w:rsidP="00786E06">
      <w:pPr>
        <w:spacing w:line="360" w:lineRule="auto"/>
        <w:ind w:firstLine="720"/>
        <w:jc w:val="right"/>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2.1</w:t>
      </w:r>
    </w:p>
    <w:p w14:paraId="64D3D297" w14:textId="6C161B3B" w:rsidR="00701ED7" w:rsidRPr="007D38CF" w:rsidRDefault="00621148" w:rsidP="00786E06">
      <w:pPr>
        <w:spacing w:line="360" w:lineRule="auto"/>
        <w:ind w:firstLine="720"/>
        <w:jc w:val="both"/>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Частки ринку хмарних послуг провідних компаній у 2023 році</w:t>
      </w: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20"/>
        <w:gridCol w:w="4920"/>
      </w:tblGrid>
      <w:tr w:rsidR="00701ED7" w:rsidRPr="00F557A1" w14:paraId="3126BC9F" w14:textId="77777777" w:rsidTr="00786E06">
        <w:tc>
          <w:tcPr>
            <w:tcW w:w="2500" w:type="pct"/>
            <w:shd w:val="clear" w:color="auto" w:fill="auto"/>
            <w:tcMar>
              <w:top w:w="100" w:type="dxa"/>
              <w:left w:w="100" w:type="dxa"/>
              <w:bottom w:w="100" w:type="dxa"/>
              <w:right w:w="100" w:type="dxa"/>
            </w:tcMar>
          </w:tcPr>
          <w:p w14:paraId="2D42E9B6" w14:textId="77777777" w:rsidR="00701ED7" w:rsidRPr="00F557A1" w:rsidRDefault="00621148" w:rsidP="00786E0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Компанія</w:t>
            </w:r>
          </w:p>
        </w:tc>
        <w:tc>
          <w:tcPr>
            <w:tcW w:w="2500" w:type="pct"/>
            <w:shd w:val="clear" w:color="auto" w:fill="auto"/>
            <w:tcMar>
              <w:top w:w="100" w:type="dxa"/>
              <w:left w:w="100" w:type="dxa"/>
              <w:bottom w:w="100" w:type="dxa"/>
              <w:right w:w="100" w:type="dxa"/>
            </w:tcMar>
          </w:tcPr>
          <w:p w14:paraId="7B0CB272" w14:textId="77777777" w:rsidR="00701ED7" w:rsidRPr="00F557A1" w:rsidRDefault="00621148" w:rsidP="00786E06">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Частка ринку (%)</w:t>
            </w:r>
          </w:p>
        </w:tc>
      </w:tr>
      <w:tr w:rsidR="00701ED7" w:rsidRPr="00F557A1" w14:paraId="53364B77" w14:textId="77777777" w:rsidTr="00786E06">
        <w:tc>
          <w:tcPr>
            <w:tcW w:w="2500" w:type="pct"/>
            <w:shd w:val="clear" w:color="auto" w:fill="auto"/>
            <w:tcMar>
              <w:top w:w="100" w:type="dxa"/>
              <w:left w:w="100" w:type="dxa"/>
              <w:bottom w:w="100" w:type="dxa"/>
              <w:right w:w="100" w:type="dxa"/>
            </w:tcMar>
          </w:tcPr>
          <w:p w14:paraId="361EE752"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Amazon Web Services (AWS)</w:t>
            </w:r>
          </w:p>
        </w:tc>
        <w:tc>
          <w:tcPr>
            <w:tcW w:w="2500" w:type="pct"/>
            <w:shd w:val="clear" w:color="auto" w:fill="auto"/>
            <w:tcMar>
              <w:top w:w="100" w:type="dxa"/>
              <w:left w:w="100" w:type="dxa"/>
              <w:bottom w:w="100" w:type="dxa"/>
              <w:right w:w="100" w:type="dxa"/>
            </w:tcMar>
          </w:tcPr>
          <w:p w14:paraId="5A9CFA2C"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32</w:t>
            </w:r>
          </w:p>
        </w:tc>
      </w:tr>
      <w:tr w:rsidR="00701ED7" w:rsidRPr="00F557A1" w14:paraId="768A5B67" w14:textId="77777777" w:rsidTr="00786E06">
        <w:tc>
          <w:tcPr>
            <w:tcW w:w="2500" w:type="pct"/>
            <w:shd w:val="clear" w:color="auto" w:fill="auto"/>
            <w:tcMar>
              <w:top w:w="100" w:type="dxa"/>
              <w:left w:w="100" w:type="dxa"/>
              <w:bottom w:w="100" w:type="dxa"/>
              <w:right w:w="100" w:type="dxa"/>
            </w:tcMar>
          </w:tcPr>
          <w:p w14:paraId="64F9FA22"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Microsoft Azure</w:t>
            </w:r>
          </w:p>
        </w:tc>
        <w:tc>
          <w:tcPr>
            <w:tcW w:w="2500" w:type="pct"/>
            <w:shd w:val="clear" w:color="auto" w:fill="auto"/>
            <w:tcMar>
              <w:top w:w="100" w:type="dxa"/>
              <w:left w:w="100" w:type="dxa"/>
              <w:bottom w:w="100" w:type="dxa"/>
              <w:right w:w="100" w:type="dxa"/>
            </w:tcMar>
          </w:tcPr>
          <w:p w14:paraId="64FDC563"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23</w:t>
            </w:r>
          </w:p>
        </w:tc>
      </w:tr>
      <w:tr w:rsidR="00701ED7" w:rsidRPr="00F557A1" w14:paraId="4E21877A" w14:textId="77777777" w:rsidTr="00786E06">
        <w:tc>
          <w:tcPr>
            <w:tcW w:w="2500" w:type="pct"/>
            <w:shd w:val="clear" w:color="auto" w:fill="auto"/>
            <w:tcMar>
              <w:top w:w="100" w:type="dxa"/>
              <w:left w:w="100" w:type="dxa"/>
              <w:bottom w:w="100" w:type="dxa"/>
              <w:right w:w="100" w:type="dxa"/>
            </w:tcMar>
          </w:tcPr>
          <w:p w14:paraId="34E16299"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Інші гравці</w:t>
            </w:r>
          </w:p>
        </w:tc>
        <w:tc>
          <w:tcPr>
            <w:tcW w:w="2500" w:type="pct"/>
            <w:shd w:val="clear" w:color="auto" w:fill="auto"/>
            <w:tcMar>
              <w:top w:w="100" w:type="dxa"/>
              <w:left w:w="100" w:type="dxa"/>
              <w:bottom w:w="100" w:type="dxa"/>
              <w:right w:w="100" w:type="dxa"/>
            </w:tcMar>
          </w:tcPr>
          <w:p w14:paraId="45905BE0"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35</w:t>
            </w:r>
          </w:p>
        </w:tc>
      </w:tr>
      <w:tr w:rsidR="00701ED7" w:rsidRPr="00F557A1" w14:paraId="1B680A91" w14:textId="77777777" w:rsidTr="00786E06">
        <w:tc>
          <w:tcPr>
            <w:tcW w:w="2500" w:type="pct"/>
            <w:shd w:val="clear" w:color="auto" w:fill="auto"/>
            <w:tcMar>
              <w:top w:w="100" w:type="dxa"/>
              <w:left w:w="100" w:type="dxa"/>
              <w:bottom w:w="100" w:type="dxa"/>
              <w:right w:w="100" w:type="dxa"/>
            </w:tcMar>
          </w:tcPr>
          <w:p w14:paraId="77572AC2"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Google Cloud</w:t>
            </w:r>
          </w:p>
        </w:tc>
        <w:tc>
          <w:tcPr>
            <w:tcW w:w="2500" w:type="pct"/>
            <w:shd w:val="clear" w:color="auto" w:fill="auto"/>
            <w:tcMar>
              <w:top w:w="100" w:type="dxa"/>
              <w:left w:w="100" w:type="dxa"/>
              <w:bottom w:w="100" w:type="dxa"/>
              <w:right w:w="100" w:type="dxa"/>
            </w:tcMar>
          </w:tcPr>
          <w:p w14:paraId="661053B4" w14:textId="77777777" w:rsidR="00701ED7" w:rsidRPr="00F557A1" w:rsidRDefault="00621148" w:rsidP="00786E0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10</w:t>
            </w:r>
          </w:p>
        </w:tc>
      </w:tr>
    </w:tbl>
    <w:p w14:paraId="5F30C05C" w14:textId="7F841197" w:rsidR="00701ED7" w:rsidRPr="00F557A1" w:rsidRDefault="00621148" w:rsidP="00786E06">
      <w:pPr>
        <w:spacing w:line="360" w:lineRule="auto"/>
        <w:ind w:firstLine="709"/>
        <w:jc w:val="both"/>
        <w:rPr>
          <w:rFonts w:ascii="Times New Roman" w:eastAsia="Times New Roman" w:hAnsi="Times New Roman" w:cs="Times New Roman"/>
          <w:i/>
          <w:sz w:val="28"/>
          <w:szCs w:val="28"/>
        </w:rPr>
      </w:pPr>
      <w:r w:rsidRPr="00F557A1">
        <w:rPr>
          <w:rFonts w:ascii="Times New Roman" w:eastAsia="Times New Roman" w:hAnsi="Times New Roman" w:cs="Times New Roman"/>
          <w:sz w:val="28"/>
          <w:szCs w:val="28"/>
        </w:rPr>
        <w:t xml:space="preserve">Джерело: </w:t>
      </w:r>
      <w:r w:rsidRPr="00F557A1">
        <w:rPr>
          <w:rFonts w:ascii="Times New Roman" w:eastAsia="Times New Roman" w:hAnsi="Times New Roman" w:cs="Times New Roman"/>
          <w:i/>
          <w:sz w:val="28"/>
          <w:szCs w:val="28"/>
        </w:rPr>
        <w:t>Statista, 2023</w:t>
      </w:r>
    </w:p>
    <w:p w14:paraId="647C69DE"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Злиття та поглинання, поряд з інноваціями, є ключовими драйверами концентрації в ІТ-секторі. Великі компанії вкладають значні кошти в розвиток нових технологій, таких як штучний інтелект, блокчейн, кібербезпека, хмарні технології, що дозволяє їм ще більше збільшувати свою частку на ринку [17, с.56]. Наприклад, Microsoft активно розвиває свій напрямок штучного інтелекту через платформу Azure AI, що дає їй змогу залучати нових клієнтів, а Google інвестує в розробку квантових обчислень для прискорення складних розрахунків і рішень.</w:t>
      </w:r>
    </w:p>
    <w:p w14:paraId="13F65CAB"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2022 році Amazon інвестував мільярди доларів у розробку та вдосконалення власних технологій штучного інтелекту, що дозволило йому зміцнити свої позиції в сегменті голосових асистентів, таких як Alexa, і підвищити конкурентоспроможність у сфері хмарних обчислень.</w:t>
      </w:r>
    </w:p>
    <w:p w14:paraId="6D4DB8A0"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Важливу роль у процесах концентрації грають уряди та регулюючі органи. У багатьох країнах запроваджуються антимонопольні закони, що обмежують можливість компаній домінувати на ринку. Наприклад, Європейський Союз активно бореться проти монополій через законодавчі ініціативи, такі як "Закон про цифрові ринки" (Digital Markets Act), що спрямований на обмеження домінування великих технокомпаній.</w:t>
      </w:r>
    </w:p>
    <w:p w14:paraId="59B0CE48" w14:textId="77777777" w:rsidR="00623B79" w:rsidRPr="00CF1FB0" w:rsidRDefault="00623B79" w:rsidP="00623B79">
      <w:pPr>
        <w:spacing w:before="240" w:after="24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У 2023 році ЄС наклав значні штрафи на Google за зловживання своїм домінуючим положенням на ринку інтернет-реклами, що стало частиною глобальної тенденції до посилення контролю над великими ІТ-компаніями.</w:t>
      </w:r>
      <w:bookmarkStart w:id="17" w:name="_uieon3t3s87q" w:colFirst="0" w:colLast="0"/>
      <w:bookmarkEnd w:id="17"/>
    </w:p>
    <w:p w14:paraId="576833DA"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Злиття та поглинання, поряд з інноваціями, є ключовими драйверами концентрації в ІТ-секторі. Великі компанії вкладають значні кошти в розвиток нових технологій, таких як штучний інтелект, блокчейн, кібербезпека, хмарні технології, що дозволяє їм ще більше збільшувати свою частку на ринку. Наприклад, Microsoft активно розвиває свій напрямок штучного інтелекту через платформу Azure AI, що дає їй змогу залучати нових клієнтів, а Google інвестує </w:t>
      </w:r>
      <w:r>
        <w:rPr>
          <w:rFonts w:ascii="Times New Roman" w:eastAsia="Times New Roman" w:hAnsi="Times New Roman" w:cs="Times New Roman"/>
          <w:sz w:val="28"/>
          <w:szCs w:val="28"/>
        </w:rPr>
        <w:lastRenderedPageBreak/>
        <w:t xml:space="preserve">в розробку квантових обчислень для прискорення складних розрахунків і рішень. </w:t>
      </w:r>
    </w:p>
    <w:p w14:paraId="6EE6793E" w14:textId="3DE6B987" w:rsidR="00623B79" w:rsidRDefault="00623B79" w:rsidP="00623B79">
      <w:pPr>
        <w:spacing w:before="240" w:after="240"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sz w:val="28"/>
          <w:szCs w:val="28"/>
        </w:rPr>
        <w:t>У 2022 році Amazon інвестував мільярди доларів у розробку та вдосконалення власних технологій штучного інтелекту, що дозволило йому зміцнити свої позиції в сегменті голосових асистентів, таких як Alexa, і підвищити конкурентоспроможність у сфері хмарних обчислень.</w:t>
      </w:r>
    </w:p>
    <w:p w14:paraId="1AC63E9B"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Важливу роль у процесах концентрації грають уряди та регулюючі органи. У багатьох країнах запроваджуються антимонопольні закони, що обмежують можливість компаній домінувати на ринку. Наприклад, Європейський Союз активно бореться проти монополій через законодавчі ініціативи, такі як "Закон про цифрові ринки" (Digital Markets Act), що спрямований на обмеження домінування великих технокомпаній.</w:t>
      </w:r>
    </w:p>
    <w:p w14:paraId="425C762F" w14:textId="77777777" w:rsidR="00623B79" w:rsidRPr="00CF1FB0" w:rsidRDefault="00623B79" w:rsidP="00623B79">
      <w:pPr>
        <w:spacing w:before="240" w:after="240" w:line="360" w:lineRule="auto"/>
        <w:ind w:firstLine="720"/>
        <w:jc w:val="both"/>
        <w:rPr>
          <w:rFonts w:ascii="Times New Roman" w:eastAsia="Times New Roman" w:hAnsi="Times New Roman" w:cs="Times New Roman"/>
          <w:sz w:val="28"/>
          <w:szCs w:val="28"/>
        </w:rPr>
      </w:pPr>
      <w:r w:rsidRPr="00CF1FB0">
        <w:rPr>
          <w:rFonts w:ascii="Times New Roman" w:hAnsi="Times New Roman" w:cs="Times New Roman"/>
          <w:sz w:val="28"/>
          <w:szCs w:val="28"/>
        </w:rPr>
        <w:t>Глобальні події, такі як пандемія COVID-19 та війна московії проти України, впливають на розвиток і концентрацію ІТ-сектору. Пандемія призвела до зростання попиту на дистанційні технології та хмарні рішення, що зміцнило позиції найбільших постачальників послуг. Війна в Україні призвела до переміщення частини ІТ-компаній і спеціалістів, але водночас стимулювала українські компанії активніше інтегруватися у глобальні ланцюжки створення вартості.</w:t>
      </w:r>
    </w:p>
    <w:p w14:paraId="702EB38D"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пандемії COVID-19 Zoom Video Communications різко зросла як компанія, що надала платформу для відеоконференцій. Це також призвело до появи конкурентних послуг від Microsoft (Teams) та Google (Meet), які почали активніше інвестувати в цей сегмент [2].</w:t>
      </w:r>
    </w:p>
    <w:p w14:paraId="4AAB1731"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Малі та середні ІТ-компанії стикаються з багатьма викликами. Вони повинні конкурувати з великими гравцями, які мають більше ресурсів для інновацій та маркетингу. Однак такі компанії можуть знаходити свої ніші, пропонуючи спеціалізовані продукти, високий рівень обслуговування або </w:t>
      </w:r>
      <w:r>
        <w:rPr>
          <w:rFonts w:ascii="Times New Roman" w:eastAsia="Times New Roman" w:hAnsi="Times New Roman" w:cs="Times New Roman"/>
          <w:sz w:val="28"/>
          <w:szCs w:val="28"/>
        </w:rPr>
        <w:lastRenderedPageBreak/>
        <w:t>інноваційні рішення. Часто вони стають привабливими для великих гравців, які викупають ці компанії для розширення власних рішень.</w:t>
      </w:r>
    </w:p>
    <w:p w14:paraId="20A58D17"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Україні, компанії на кшталт Grammarly та Reface змогли досягти міжнародного успіху, розробляючи вузькоспеціалізовані продукти, що дозволило їм стати конкурентоспроможними на глобальному ринку, незважаючи на присутність таких гігантів, як Microsoft та Google.</w:t>
      </w:r>
    </w:p>
    <w:p w14:paraId="5B3B1596" w14:textId="60F2F7FA" w:rsidR="000655A7" w:rsidRPr="00F557A1"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Український ринок ІТ-послуг також відзначається зростанням концентрації, хоча в порівнянні з глобальними ринками він менш концентрований. Згідно зі звітом IT Ukraine Association за 2023 рік, найбільші ІТ-компанії України, такі як SoftServe, EPAM, GlobalLogic та Luxoft, суттєво впливають на ринок, контролюючи значну частину експортних послуг. У 2022 році на ці компанії припадало більше ніж 50% всього ІТ-експорту України.</w:t>
      </w:r>
    </w:p>
    <w:p w14:paraId="16E6877E" w14:textId="5BE97CDA" w:rsidR="000655A7" w:rsidRDefault="000655A7" w:rsidP="000655A7">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57A1">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2.</w:t>
      </w:r>
      <w:r w:rsidRPr="00F557A1">
        <w:rPr>
          <w:rFonts w:ascii="Times New Roman" w:eastAsia="Times New Roman" w:hAnsi="Times New Roman" w:cs="Times New Roman"/>
          <w:sz w:val="28"/>
          <w:szCs w:val="28"/>
        </w:rPr>
        <w:t>2</w:t>
      </w:r>
    </w:p>
    <w:p w14:paraId="0B821FF1" w14:textId="54B3F2E2" w:rsidR="00701ED7" w:rsidRPr="000655A7" w:rsidRDefault="00621148" w:rsidP="000655A7">
      <w:pPr>
        <w:spacing w:line="360" w:lineRule="auto"/>
        <w:ind w:firstLine="720"/>
        <w:jc w:val="center"/>
        <w:rPr>
          <w:rFonts w:ascii="Times New Roman" w:eastAsia="Times New Roman" w:hAnsi="Times New Roman" w:cs="Times New Roman"/>
          <w:sz w:val="28"/>
          <w:szCs w:val="28"/>
        </w:rPr>
      </w:pPr>
      <w:r w:rsidRPr="00F557A1">
        <w:rPr>
          <w:rFonts w:ascii="Times New Roman" w:eastAsia="Times New Roman" w:hAnsi="Times New Roman" w:cs="Times New Roman"/>
          <w:sz w:val="28"/>
          <w:szCs w:val="28"/>
        </w:rPr>
        <w:t>Розрахунок індексу Герфіндаля-Гіршмана для українського ринку ІТ-послуг</w:t>
      </w: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78"/>
        <w:gridCol w:w="3281"/>
        <w:gridCol w:w="3281"/>
      </w:tblGrid>
      <w:tr w:rsidR="00701ED7" w:rsidRPr="00F557A1" w14:paraId="1E589E44" w14:textId="77777777" w:rsidTr="00321700">
        <w:tc>
          <w:tcPr>
            <w:tcW w:w="1666" w:type="pct"/>
            <w:shd w:val="clear" w:color="auto" w:fill="auto"/>
            <w:tcMar>
              <w:top w:w="100" w:type="dxa"/>
              <w:left w:w="100" w:type="dxa"/>
              <w:bottom w:w="100" w:type="dxa"/>
              <w:right w:w="100" w:type="dxa"/>
            </w:tcMar>
          </w:tcPr>
          <w:p w14:paraId="1A100A97"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Компанія</w:t>
            </w:r>
          </w:p>
        </w:tc>
        <w:tc>
          <w:tcPr>
            <w:tcW w:w="1667" w:type="pct"/>
            <w:shd w:val="clear" w:color="auto" w:fill="auto"/>
            <w:tcMar>
              <w:top w:w="100" w:type="dxa"/>
              <w:left w:w="100" w:type="dxa"/>
              <w:bottom w:w="100" w:type="dxa"/>
              <w:right w:w="100" w:type="dxa"/>
            </w:tcMar>
          </w:tcPr>
          <w:p w14:paraId="7472F282"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Частка ринку (%)</w:t>
            </w:r>
          </w:p>
        </w:tc>
        <w:tc>
          <w:tcPr>
            <w:tcW w:w="1667" w:type="pct"/>
            <w:shd w:val="clear" w:color="auto" w:fill="auto"/>
            <w:tcMar>
              <w:top w:w="100" w:type="dxa"/>
              <w:left w:w="100" w:type="dxa"/>
              <w:bottom w:w="100" w:type="dxa"/>
              <w:right w:w="100" w:type="dxa"/>
            </w:tcMar>
          </w:tcPr>
          <w:p w14:paraId="78CE5325"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Квадрат частки (%)</w:t>
            </w:r>
          </w:p>
        </w:tc>
      </w:tr>
      <w:tr w:rsidR="00701ED7" w:rsidRPr="00F557A1" w14:paraId="2E260651" w14:textId="77777777" w:rsidTr="00321700">
        <w:tc>
          <w:tcPr>
            <w:tcW w:w="1666" w:type="pct"/>
            <w:shd w:val="clear" w:color="auto" w:fill="auto"/>
            <w:tcMar>
              <w:top w:w="100" w:type="dxa"/>
              <w:left w:w="100" w:type="dxa"/>
              <w:bottom w:w="100" w:type="dxa"/>
              <w:right w:w="100" w:type="dxa"/>
            </w:tcMar>
          </w:tcPr>
          <w:p w14:paraId="48BC58DD"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SoftServe</w:t>
            </w:r>
          </w:p>
        </w:tc>
        <w:tc>
          <w:tcPr>
            <w:tcW w:w="1667" w:type="pct"/>
            <w:shd w:val="clear" w:color="auto" w:fill="auto"/>
            <w:tcMar>
              <w:top w:w="100" w:type="dxa"/>
              <w:left w:w="100" w:type="dxa"/>
              <w:bottom w:w="100" w:type="dxa"/>
              <w:right w:w="100" w:type="dxa"/>
            </w:tcMar>
          </w:tcPr>
          <w:p w14:paraId="7CA9FF08"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18</w:t>
            </w:r>
          </w:p>
        </w:tc>
        <w:tc>
          <w:tcPr>
            <w:tcW w:w="1667" w:type="pct"/>
            <w:shd w:val="clear" w:color="auto" w:fill="auto"/>
            <w:tcMar>
              <w:top w:w="100" w:type="dxa"/>
              <w:left w:w="100" w:type="dxa"/>
              <w:bottom w:w="100" w:type="dxa"/>
              <w:right w:w="100" w:type="dxa"/>
            </w:tcMar>
          </w:tcPr>
          <w:p w14:paraId="20A9D390"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324</w:t>
            </w:r>
          </w:p>
        </w:tc>
      </w:tr>
      <w:tr w:rsidR="00701ED7" w:rsidRPr="00F557A1" w14:paraId="5FE7B17A" w14:textId="77777777" w:rsidTr="00321700">
        <w:tc>
          <w:tcPr>
            <w:tcW w:w="1666" w:type="pct"/>
            <w:shd w:val="clear" w:color="auto" w:fill="auto"/>
            <w:tcMar>
              <w:top w:w="100" w:type="dxa"/>
              <w:left w:w="100" w:type="dxa"/>
              <w:bottom w:w="100" w:type="dxa"/>
              <w:right w:w="100" w:type="dxa"/>
            </w:tcMar>
          </w:tcPr>
          <w:p w14:paraId="03CD2473"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EPAM</w:t>
            </w:r>
          </w:p>
        </w:tc>
        <w:tc>
          <w:tcPr>
            <w:tcW w:w="1667" w:type="pct"/>
            <w:shd w:val="clear" w:color="auto" w:fill="auto"/>
            <w:tcMar>
              <w:top w:w="100" w:type="dxa"/>
              <w:left w:w="100" w:type="dxa"/>
              <w:bottom w:w="100" w:type="dxa"/>
              <w:right w:w="100" w:type="dxa"/>
            </w:tcMar>
          </w:tcPr>
          <w:p w14:paraId="6FFC0D24"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15</w:t>
            </w:r>
          </w:p>
        </w:tc>
        <w:tc>
          <w:tcPr>
            <w:tcW w:w="1667" w:type="pct"/>
            <w:shd w:val="clear" w:color="auto" w:fill="auto"/>
            <w:tcMar>
              <w:top w:w="100" w:type="dxa"/>
              <w:left w:w="100" w:type="dxa"/>
              <w:bottom w:w="100" w:type="dxa"/>
              <w:right w:w="100" w:type="dxa"/>
            </w:tcMar>
          </w:tcPr>
          <w:p w14:paraId="33911537"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225</w:t>
            </w:r>
          </w:p>
        </w:tc>
      </w:tr>
      <w:tr w:rsidR="00701ED7" w:rsidRPr="00F557A1" w14:paraId="518C3DFB" w14:textId="77777777" w:rsidTr="00321700">
        <w:tc>
          <w:tcPr>
            <w:tcW w:w="1666" w:type="pct"/>
            <w:shd w:val="clear" w:color="auto" w:fill="auto"/>
            <w:tcMar>
              <w:top w:w="100" w:type="dxa"/>
              <w:left w:w="100" w:type="dxa"/>
              <w:bottom w:w="100" w:type="dxa"/>
              <w:right w:w="100" w:type="dxa"/>
            </w:tcMar>
          </w:tcPr>
          <w:p w14:paraId="56906EA2"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GlobalLogic</w:t>
            </w:r>
          </w:p>
        </w:tc>
        <w:tc>
          <w:tcPr>
            <w:tcW w:w="1667" w:type="pct"/>
            <w:shd w:val="clear" w:color="auto" w:fill="auto"/>
            <w:tcMar>
              <w:top w:w="100" w:type="dxa"/>
              <w:left w:w="100" w:type="dxa"/>
              <w:bottom w:w="100" w:type="dxa"/>
              <w:right w:w="100" w:type="dxa"/>
            </w:tcMar>
          </w:tcPr>
          <w:p w14:paraId="7DF12A78"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12</w:t>
            </w:r>
          </w:p>
        </w:tc>
        <w:tc>
          <w:tcPr>
            <w:tcW w:w="1667" w:type="pct"/>
            <w:shd w:val="clear" w:color="auto" w:fill="auto"/>
            <w:tcMar>
              <w:top w:w="100" w:type="dxa"/>
              <w:left w:w="100" w:type="dxa"/>
              <w:bottom w:w="100" w:type="dxa"/>
              <w:right w:w="100" w:type="dxa"/>
            </w:tcMar>
          </w:tcPr>
          <w:p w14:paraId="27F733D5"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144</w:t>
            </w:r>
          </w:p>
        </w:tc>
      </w:tr>
      <w:tr w:rsidR="00701ED7" w:rsidRPr="00F557A1" w14:paraId="1E29384F" w14:textId="77777777" w:rsidTr="00321700">
        <w:tc>
          <w:tcPr>
            <w:tcW w:w="1666" w:type="pct"/>
            <w:shd w:val="clear" w:color="auto" w:fill="auto"/>
            <w:tcMar>
              <w:top w:w="100" w:type="dxa"/>
              <w:left w:w="100" w:type="dxa"/>
              <w:bottom w:w="100" w:type="dxa"/>
              <w:right w:w="100" w:type="dxa"/>
            </w:tcMar>
          </w:tcPr>
          <w:p w14:paraId="0C32AA97"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Luxoft</w:t>
            </w:r>
          </w:p>
        </w:tc>
        <w:tc>
          <w:tcPr>
            <w:tcW w:w="1667" w:type="pct"/>
            <w:shd w:val="clear" w:color="auto" w:fill="auto"/>
            <w:tcMar>
              <w:top w:w="100" w:type="dxa"/>
              <w:left w:w="100" w:type="dxa"/>
              <w:bottom w:w="100" w:type="dxa"/>
              <w:right w:w="100" w:type="dxa"/>
            </w:tcMar>
          </w:tcPr>
          <w:p w14:paraId="0EC7259F"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10</w:t>
            </w:r>
          </w:p>
        </w:tc>
        <w:tc>
          <w:tcPr>
            <w:tcW w:w="1667" w:type="pct"/>
            <w:shd w:val="clear" w:color="auto" w:fill="auto"/>
            <w:tcMar>
              <w:top w:w="100" w:type="dxa"/>
              <w:left w:w="100" w:type="dxa"/>
              <w:bottom w:w="100" w:type="dxa"/>
              <w:right w:w="100" w:type="dxa"/>
            </w:tcMar>
          </w:tcPr>
          <w:p w14:paraId="08FAF22C"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100</w:t>
            </w:r>
          </w:p>
        </w:tc>
      </w:tr>
      <w:tr w:rsidR="00701ED7" w:rsidRPr="00F557A1" w14:paraId="4A1B660F" w14:textId="77777777" w:rsidTr="00321700">
        <w:tc>
          <w:tcPr>
            <w:tcW w:w="1666" w:type="pct"/>
            <w:shd w:val="clear" w:color="auto" w:fill="auto"/>
            <w:tcMar>
              <w:top w:w="100" w:type="dxa"/>
              <w:left w:w="100" w:type="dxa"/>
              <w:bottom w:w="100" w:type="dxa"/>
              <w:right w:w="100" w:type="dxa"/>
            </w:tcMar>
          </w:tcPr>
          <w:p w14:paraId="2E61FCA0"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Iнші компанії</w:t>
            </w:r>
          </w:p>
        </w:tc>
        <w:tc>
          <w:tcPr>
            <w:tcW w:w="1667" w:type="pct"/>
            <w:shd w:val="clear" w:color="auto" w:fill="auto"/>
            <w:tcMar>
              <w:top w:w="100" w:type="dxa"/>
              <w:left w:w="100" w:type="dxa"/>
              <w:bottom w:w="100" w:type="dxa"/>
              <w:right w:w="100" w:type="dxa"/>
            </w:tcMar>
          </w:tcPr>
          <w:p w14:paraId="00255C5F"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45</w:t>
            </w:r>
          </w:p>
        </w:tc>
        <w:tc>
          <w:tcPr>
            <w:tcW w:w="1667" w:type="pct"/>
            <w:shd w:val="clear" w:color="auto" w:fill="auto"/>
            <w:tcMar>
              <w:top w:w="100" w:type="dxa"/>
              <w:left w:w="100" w:type="dxa"/>
              <w:bottom w:w="100" w:type="dxa"/>
              <w:right w:w="100" w:type="dxa"/>
            </w:tcMar>
          </w:tcPr>
          <w:p w14:paraId="34555E9C"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2025</w:t>
            </w:r>
          </w:p>
        </w:tc>
      </w:tr>
      <w:tr w:rsidR="00701ED7" w:rsidRPr="00F557A1" w14:paraId="221D36E3" w14:textId="77777777" w:rsidTr="00321700">
        <w:tc>
          <w:tcPr>
            <w:tcW w:w="1666" w:type="pct"/>
            <w:shd w:val="clear" w:color="auto" w:fill="auto"/>
            <w:tcMar>
              <w:top w:w="100" w:type="dxa"/>
              <w:left w:w="100" w:type="dxa"/>
              <w:bottom w:w="100" w:type="dxa"/>
              <w:right w:w="100" w:type="dxa"/>
            </w:tcMar>
          </w:tcPr>
          <w:p w14:paraId="18271815" w14:textId="77777777" w:rsidR="00701ED7" w:rsidRPr="00F557A1" w:rsidRDefault="0062114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Разом</w:t>
            </w:r>
          </w:p>
        </w:tc>
        <w:tc>
          <w:tcPr>
            <w:tcW w:w="1667" w:type="pct"/>
            <w:shd w:val="clear" w:color="auto" w:fill="auto"/>
            <w:tcMar>
              <w:top w:w="100" w:type="dxa"/>
              <w:left w:w="100" w:type="dxa"/>
              <w:bottom w:w="100" w:type="dxa"/>
              <w:right w:w="100" w:type="dxa"/>
            </w:tcMar>
          </w:tcPr>
          <w:p w14:paraId="2ED38DCF"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100</w:t>
            </w:r>
          </w:p>
        </w:tc>
        <w:tc>
          <w:tcPr>
            <w:tcW w:w="1667" w:type="pct"/>
            <w:shd w:val="clear" w:color="auto" w:fill="auto"/>
            <w:tcMar>
              <w:top w:w="100" w:type="dxa"/>
              <w:left w:w="100" w:type="dxa"/>
              <w:bottom w:w="100" w:type="dxa"/>
              <w:right w:w="100" w:type="dxa"/>
            </w:tcMar>
          </w:tcPr>
          <w:p w14:paraId="04F4102D" w14:textId="77777777" w:rsidR="00701ED7" w:rsidRPr="00F557A1" w:rsidRDefault="00621148" w:rsidP="003217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557A1">
              <w:rPr>
                <w:rFonts w:ascii="Times New Roman" w:eastAsia="Times New Roman" w:hAnsi="Times New Roman" w:cs="Times New Roman"/>
                <w:sz w:val="24"/>
                <w:szCs w:val="24"/>
              </w:rPr>
              <w:t>2818</w:t>
            </w:r>
          </w:p>
        </w:tc>
      </w:tr>
    </w:tbl>
    <w:p w14:paraId="55CF6034" w14:textId="77777777" w:rsidR="00701ED7" w:rsidRPr="00F557A1" w:rsidRDefault="00701ED7"/>
    <w:p w14:paraId="3049FBB6" w14:textId="585EBD80" w:rsidR="000655A7" w:rsidRDefault="00321700" w:rsidP="00321700">
      <w:pPr>
        <w:spacing w:line="360" w:lineRule="auto"/>
        <w:ind w:firstLine="709"/>
        <w:jc w:val="both"/>
        <w:rPr>
          <w:rFonts w:ascii="Times New Roman" w:eastAsia="Times New Roman" w:hAnsi="Times New Roman" w:cs="Times New Roman"/>
          <w:i/>
          <w:sz w:val="28"/>
          <w:szCs w:val="28"/>
        </w:rPr>
      </w:pPr>
      <w:r w:rsidRPr="00F557A1">
        <w:rPr>
          <w:rFonts w:ascii="Times New Roman" w:eastAsia="Times New Roman" w:hAnsi="Times New Roman" w:cs="Times New Roman"/>
          <w:sz w:val="28"/>
          <w:szCs w:val="28"/>
        </w:rPr>
        <w:t xml:space="preserve">Джерело: </w:t>
      </w:r>
      <w:r>
        <w:rPr>
          <w:rFonts w:ascii="Times New Roman" w:eastAsia="Times New Roman" w:hAnsi="Times New Roman" w:cs="Times New Roman"/>
          <w:i/>
          <w:sz w:val="28"/>
          <w:szCs w:val="28"/>
        </w:rPr>
        <w:t>обраховано автором самостійно.</w:t>
      </w:r>
    </w:p>
    <w:p w14:paraId="4598B277" w14:textId="77777777" w:rsidR="00321700" w:rsidRPr="00321700" w:rsidRDefault="00321700" w:rsidP="00321700">
      <w:pPr>
        <w:spacing w:line="360" w:lineRule="auto"/>
        <w:ind w:firstLine="709"/>
        <w:jc w:val="both"/>
        <w:rPr>
          <w:rFonts w:ascii="Times New Roman" w:eastAsia="Times New Roman" w:hAnsi="Times New Roman" w:cs="Times New Roman"/>
          <w:i/>
          <w:sz w:val="28"/>
          <w:szCs w:val="28"/>
        </w:rPr>
      </w:pPr>
    </w:p>
    <w:p w14:paraId="5041AA5C" w14:textId="77777777" w:rsidR="00623B79" w:rsidRDefault="00623B79" w:rsidP="00623B79">
      <w:pPr>
        <w:spacing w:after="8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Отримане значення HHI = 2818 свідчить про помірний рівень концентрації на ринку ІТ-послуг України, що вказує на наявність кількох домінуючих компаній, але все ж значну частку ринку контролюють менші гравці.</w:t>
      </w:r>
    </w:p>
    <w:p w14:paraId="02315F32" w14:textId="77777777" w:rsidR="00623B79" w:rsidRDefault="00623B79" w:rsidP="00623B79">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 сучасних тенденцій і статистичних даних показує, що ринок ІТ-послуг як на глобальному, так і на вітчизняному рівні характеризується помірною або високою концентрацією. Великі компанії продовжують зміцнювати свої позиції через технологічні інновації та злиття, проте малі та середні підприємства також знаходять свої конкурентні ніші. В Україні ринок ІТ-послуг демонструє помірний рівень концентрації, що створює сприятливі умови для розвитку конкурентного середовища.</w:t>
      </w:r>
    </w:p>
    <w:p w14:paraId="63D81D16" w14:textId="77777777" w:rsidR="00701ED7" w:rsidRPr="00F557A1" w:rsidRDefault="00701ED7"/>
    <w:p w14:paraId="74E0B100" w14:textId="77777777" w:rsidR="00701ED7" w:rsidRPr="00F557A1" w:rsidRDefault="00701ED7">
      <w:pPr>
        <w:pStyle w:val="2"/>
        <w:keepNext w:val="0"/>
        <w:keepLines w:val="0"/>
        <w:spacing w:after="80"/>
        <w:rPr>
          <w:b/>
          <w:sz w:val="28"/>
          <w:szCs w:val="28"/>
        </w:rPr>
      </w:pPr>
      <w:bookmarkStart w:id="18" w:name="_q3707h3awf1h" w:colFirst="0" w:colLast="0"/>
      <w:bookmarkEnd w:id="18"/>
    </w:p>
    <w:p w14:paraId="6AF34F4C" w14:textId="77777777" w:rsidR="00701ED7" w:rsidRPr="00F557A1" w:rsidRDefault="00701ED7"/>
    <w:p w14:paraId="13361205" w14:textId="77777777" w:rsidR="00701ED7" w:rsidRPr="00F557A1" w:rsidRDefault="00701ED7"/>
    <w:p w14:paraId="1C5E0397" w14:textId="77777777" w:rsidR="00701ED7" w:rsidRPr="00F557A1" w:rsidRDefault="00701ED7"/>
    <w:p w14:paraId="5DBC6D0E" w14:textId="77777777" w:rsidR="00701ED7" w:rsidRPr="00F557A1" w:rsidRDefault="00701ED7"/>
    <w:p w14:paraId="20B08A94" w14:textId="77777777" w:rsidR="00701ED7" w:rsidRDefault="00701ED7"/>
    <w:p w14:paraId="726A4351" w14:textId="77777777" w:rsidR="00FC60F1" w:rsidRDefault="00FC60F1"/>
    <w:p w14:paraId="71FCDFA6" w14:textId="77777777" w:rsidR="00FC60F1" w:rsidRDefault="00FC60F1"/>
    <w:p w14:paraId="28004799" w14:textId="77777777" w:rsidR="00FC60F1" w:rsidRDefault="00FC60F1"/>
    <w:p w14:paraId="578EE15A" w14:textId="77777777" w:rsidR="00FC60F1" w:rsidRDefault="00FC60F1"/>
    <w:p w14:paraId="77FB9257" w14:textId="77777777" w:rsidR="00FC60F1" w:rsidRDefault="00FC60F1"/>
    <w:p w14:paraId="2FE1CB61" w14:textId="77777777" w:rsidR="00FC60F1" w:rsidRDefault="00FC60F1"/>
    <w:p w14:paraId="42B723A4" w14:textId="77777777" w:rsidR="00FC60F1" w:rsidRDefault="00FC60F1"/>
    <w:p w14:paraId="36ADAF43" w14:textId="77777777" w:rsidR="00FC60F1" w:rsidRDefault="00FC60F1"/>
    <w:p w14:paraId="12C24665" w14:textId="77777777" w:rsidR="00FC60F1" w:rsidRDefault="00FC60F1"/>
    <w:p w14:paraId="775920BB" w14:textId="77777777" w:rsidR="00FC60F1" w:rsidRDefault="00FC60F1"/>
    <w:p w14:paraId="707D49A3" w14:textId="77777777" w:rsidR="00FC60F1" w:rsidRDefault="00FC60F1"/>
    <w:p w14:paraId="4A5290A5" w14:textId="77777777" w:rsidR="00FC60F1" w:rsidRDefault="00FC60F1"/>
    <w:p w14:paraId="4895BA8C" w14:textId="77777777" w:rsidR="00FC60F1" w:rsidRDefault="00FC60F1"/>
    <w:p w14:paraId="496BD6F7" w14:textId="77777777" w:rsidR="00FC60F1" w:rsidRDefault="00FC60F1"/>
    <w:p w14:paraId="52C7BE67" w14:textId="77777777" w:rsidR="00FC60F1" w:rsidRDefault="00FC60F1"/>
    <w:p w14:paraId="631BDCCE" w14:textId="77777777" w:rsidR="00FC60F1" w:rsidRDefault="00FC60F1"/>
    <w:p w14:paraId="00EE8CA2" w14:textId="77777777" w:rsidR="00FC60F1" w:rsidRDefault="00FC60F1"/>
    <w:p w14:paraId="3E806664" w14:textId="77777777" w:rsidR="00FC60F1" w:rsidRDefault="00FC60F1"/>
    <w:p w14:paraId="0E45D4F8" w14:textId="77777777" w:rsidR="00FC60F1" w:rsidRDefault="00FC60F1"/>
    <w:p w14:paraId="51B5EC17" w14:textId="77777777" w:rsidR="00FC60F1" w:rsidRDefault="00FC60F1"/>
    <w:p w14:paraId="663D7921" w14:textId="77777777" w:rsidR="00FC60F1" w:rsidRDefault="00FC60F1"/>
    <w:p w14:paraId="04BA528E" w14:textId="77777777" w:rsidR="00FC60F1" w:rsidRDefault="00FC60F1"/>
    <w:p w14:paraId="71E8A63A" w14:textId="77777777" w:rsidR="00FC60F1" w:rsidRDefault="00FC60F1"/>
    <w:p w14:paraId="34B6865A" w14:textId="77777777" w:rsidR="00FC60F1" w:rsidRDefault="00FC60F1"/>
    <w:p w14:paraId="7A497239" w14:textId="77777777" w:rsidR="00FC60F1" w:rsidRDefault="00FC60F1"/>
    <w:p w14:paraId="6F1CC2C5" w14:textId="77777777" w:rsidR="00FC60F1" w:rsidRDefault="00FC60F1"/>
    <w:p w14:paraId="3C885DFD" w14:textId="77777777" w:rsidR="000655A7" w:rsidRDefault="000655A7"/>
    <w:p w14:paraId="0056F840" w14:textId="77777777" w:rsidR="00FC60F1" w:rsidRDefault="00FC60F1"/>
    <w:p w14:paraId="1D9FF0ED" w14:textId="2EAE398B" w:rsidR="00701ED7" w:rsidRPr="00321700" w:rsidRDefault="00621148" w:rsidP="00FC60F1">
      <w:pPr>
        <w:pStyle w:val="1"/>
        <w:keepNext w:val="0"/>
        <w:keepLines w:val="0"/>
        <w:spacing w:after="80" w:line="360" w:lineRule="auto"/>
        <w:jc w:val="center"/>
        <w:rPr>
          <w:rFonts w:ascii="Times New Roman" w:eastAsia="Times New Roman" w:hAnsi="Times New Roman" w:cs="Times New Roman"/>
          <w:b/>
          <w:bCs/>
          <w:sz w:val="28"/>
          <w:szCs w:val="28"/>
        </w:rPr>
      </w:pPr>
      <w:bookmarkStart w:id="19" w:name="_9ixptfv1ql8v" w:colFirst="0" w:colLast="0"/>
      <w:bookmarkEnd w:id="19"/>
      <w:r w:rsidRPr="00321700">
        <w:rPr>
          <w:rFonts w:ascii="Times New Roman" w:eastAsia="Times New Roman" w:hAnsi="Times New Roman" w:cs="Times New Roman"/>
          <w:b/>
          <w:bCs/>
          <w:sz w:val="28"/>
          <w:szCs w:val="28"/>
        </w:rPr>
        <w:lastRenderedPageBreak/>
        <w:t>Розділ 3</w:t>
      </w:r>
      <w:r w:rsidR="00321700">
        <w:rPr>
          <w:rFonts w:ascii="Times New Roman" w:eastAsia="Times New Roman" w:hAnsi="Times New Roman" w:cs="Times New Roman"/>
          <w:b/>
          <w:bCs/>
          <w:sz w:val="28"/>
          <w:szCs w:val="28"/>
        </w:rPr>
        <w:t>.</w:t>
      </w:r>
      <w:r w:rsidRPr="00321700">
        <w:rPr>
          <w:rFonts w:ascii="Times New Roman" w:eastAsia="Times New Roman" w:hAnsi="Times New Roman" w:cs="Times New Roman"/>
          <w:b/>
          <w:bCs/>
          <w:sz w:val="28"/>
          <w:szCs w:val="28"/>
        </w:rPr>
        <w:t xml:space="preserve"> Вплив ринкової концентрації на конкуренцію, інновації та економічний розвиток в ІТ секторі</w:t>
      </w:r>
    </w:p>
    <w:p w14:paraId="1BEA7B95" w14:textId="77777777" w:rsidR="00701ED7" w:rsidRPr="00F557A1" w:rsidRDefault="00701ED7"/>
    <w:p w14:paraId="22E66721"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Ринкова концентрація в ІТ-секторі, як на глобальному, так і на національному рівні, має суттєвий вплив на конкурентне середовище, рівень інновацій та загальний економічний розвиток. Висока концентрація означає, що декілька великих компаній займають домінуюче становище на ринку, що може призвести до зменшення конкуренції. Така ситуація може створити бар'єри для нових гравців і ускладнити доступ до ринку малим і середнім підприємствам. Водночас, великі компанії можуть мати більше ресурсів для інновацій, однак зниження конкуренції часто призводить до зменшення стимулів для їх впровадження.</w:t>
      </w:r>
    </w:p>
    <w:p w14:paraId="7C0F188E"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Концентрація також впливає на ціни, доступність і якість послуг, оскільки компанії з домінуючим становищем мають більше можливостей для диктування умов на ринку. Це може негативно позначатися на користувачах та малих підприємствах, що покладаються на ІТ-послуги. З іншого боку, концентрація дозволяє великим компаніям ефективніше використовувати економію на масштабі, що може знизити витрати на розвиток нових технологій.</w:t>
      </w:r>
    </w:p>
    <w:p w14:paraId="6A2DE8EF"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з основних наслідків концентрації на ринку є зменшення рівня конкуренції. Великі гравці, що домінують у своїх сегментах, можуть обмежувати доступ до ринку для нових і малих компаній, використовуючи економію на масштабі, зниження цін через контроль ресурсів та потужні маркетингові стратегії [6, с.38]. Злиття і поглинання також сприяють зростанню бар'єрів для входу на ринок, що знижує різноманітність продуктів і послуг.</w:t>
      </w:r>
    </w:p>
    <w:p w14:paraId="7E4E017F"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компанії такі як Amazon і Google, завдяки своїм монопольним позиціям у певних сегментах, можуть впливати на ціноутворення та політику для менших гравців. Це може обмежити конкурентну боротьбу і призвести до меншої кількості нових гравців на ринку.</w:t>
      </w:r>
    </w:p>
    <w:p w14:paraId="119C5BD4"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Україні також існують ризики надмірної концентрації, оскільки кілька провідних ІТ-компаній, таких як SoftServe і EPAM, займають значну частку ринку. Це створює високі бар'єри для нових гравців і ускладнює конкурентне середовище для малих та середніх компаній.</w:t>
      </w:r>
    </w:p>
    <w:p w14:paraId="367B7CB4"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Концентрація на ринку може мати як позитивний, так і негативний вплив на інновації. З одного боку, великі компанії мають значні фінансові ресурси для інвестицій у дослідження та розробки, що сприяє прискоренню інноваційних процесів. Наприклад, Microsoft та Apple постійно інвестують в нові технології, такі як штучний інтелект та хмарні обчислення.</w:t>
      </w:r>
    </w:p>
    <w:p w14:paraId="3A6BD112"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висока концентрація може стримувати інновації через відсутність мотивації для великих гравців ризикувати, особливо якщо їхнє монопольне становище не піддається серйозним викликам з боку конкурентів. Коли домінуючі компанії відчувають, що їхні позиції на ринку захищені, вони часто зосереджуються на підтримці статус-кво, уникаючи радикальних змін або ризикових інвестицій у нові технології. Це може створювати ситуацію, коли розвиток сектору сповільнюється, оскільки немає достатнього тиску для впровадження інновацій. Відсутність конкуренції також може призвести до обмеженого вибору для споживачів, що, в свою чергу, знижує якість послуг і технологій, доступних на ринку.</w:t>
      </w:r>
    </w:p>
    <w:p w14:paraId="5540648C"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тенденція особливо помітна в галузях, де потрібні значні інвестиції для розробки нових рішень, але великі гравці, контролюючи основні ресурси і ринки збуту, можуть використовувати свої фінансові та організаційні можливості не для розвитку, а для захисту своїх ринкових часток. Як наслідок, це створює несприятливі умови для стартапів і менших компаній, які, хоч і мають потенціал для інновацій, можуть не отримувати достатньої підтримки або стикатися з труднощами через обмежений доступ до ринку.</w:t>
      </w:r>
    </w:p>
    <w:p w14:paraId="225E33DD"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українського ринку, концентрація може негативно вплинути на інновації серед малих і середніх ІТ-компаній, оскільки вони часто не мають </w:t>
      </w:r>
      <w:r>
        <w:rPr>
          <w:rFonts w:ascii="Times New Roman" w:eastAsia="Times New Roman" w:hAnsi="Times New Roman" w:cs="Times New Roman"/>
          <w:sz w:val="28"/>
          <w:szCs w:val="28"/>
        </w:rPr>
        <w:lastRenderedPageBreak/>
        <w:t>достатніх ресурсів для конкурентної боротьби з великими гравцями. Водночас, багато українських компаній активно працюють на міжнародних ринках, що спонукає їх до впровадження нових рішень і технологій, підтримуючи високий рівень інновацій.</w:t>
      </w:r>
    </w:p>
    <w:p w14:paraId="12F8796F"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Ринкова концентрація в ІТ-секторі може мати як позитивний, так і негативний вплив на економічний розвиток. З одного боку, великі компанії створюють робочі місця, сплачують податки та стимулюють розвиток суміжних галузей. Також концентрація може сприяти підвищенню якості ІТ-послуг, оскільки великі компанії мають ресурси для вдосконалення своїх продуктів.</w:t>
      </w:r>
    </w:p>
    <w:p w14:paraId="61574A20"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концентрація може призводити до нерівномірного економічного розвитку, оскільки найбільші компанії можуть зосереджувати основні ресурси у великих містах, де базується їх діяльність. Це створює ризик економічного відставання для регіонів та перешкоджає розвитку нових технологічних хабів.</w:t>
      </w:r>
    </w:p>
    <w:p w14:paraId="6CC38D4E" w14:textId="77777777" w:rsidR="00884896" w:rsidRDefault="00884896" w:rsidP="0088489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Україні ІТ-сектор вже має значний вплив на економіку, зокрема через експорт ІТ-послуг, який складає суттєву частину ВВП країни. Однак надмірна концентрація в окремих містах, таких як Київ та Львів, створює ризики для рівномірного розвитку ІТ-індустрії по всій країні.</w:t>
      </w:r>
    </w:p>
    <w:p w14:paraId="2510E7D1"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можна запропонувати кілька рішень для мінімізації негативних наслідків концентрації на ринку ІТ-послуг:</w:t>
      </w:r>
    </w:p>
    <w:p w14:paraId="149A07C8" w14:textId="77777777" w:rsidR="00884896" w:rsidRDefault="00884896" w:rsidP="00884896">
      <w:pPr>
        <w:numPr>
          <w:ilvl w:val="0"/>
          <w:numId w:val="8"/>
        </w:numPr>
        <w:spacing w:before="240" w:line="360" w:lineRule="auto"/>
        <w:jc w:val="both"/>
        <w:rPr>
          <w:sz w:val="28"/>
          <w:szCs w:val="28"/>
        </w:rPr>
      </w:pPr>
      <w:r>
        <w:rPr>
          <w:rFonts w:ascii="Times New Roman" w:eastAsia="Times New Roman" w:hAnsi="Times New Roman" w:cs="Times New Roman"/>
          <w:b/>
          <w:sz w:val="28"/>
          <w:szCs w:val="28"/>
        </w:rPr>
        <w:t>Створення сприятливих умов для розвитку малих і середніх підприємств (МСП)</w:t>
      </w:r>
      <w:r>
        <w:rPr>
          <w:rFonts w:ascii="Times New Roman" w:eastAsia="Times New Roman" w:hAnsi="Times New Roman" w:cs="Times New Roman"/>
          <w:sz w:val="28"/>
          <w:szCs w:val="28"/>
        </w:rPr>
        <w:t>. Держава повинна запровадити програми підтримки стартапів та малих ІТ-компаній, такі як грантові програми, податкові пільги та доступ до фінансових ресурсів. Це дозволить знизити бар'єри для входу на ринок і підтримати конкуренцію.</w:t>
      </w:r>
    </w:p>
    <w:p w14:paraId="742948BD" w14:textId="77777777" w:rsidR="00884896" w:rsidRDefault="00884896" w:rsidP="00884896">
      <w:pPr>
        <w:numPr>
          <w:ilvl w:val="0"/>
          <w:numId w:val="8"/>
        </w:numPr>
        <w:spacing w:line="360" w:lineRule="auto"/>
        <w:jc w:val="both"/>
        <w:rPr>
          <w:sz w:val="28"/>
          <w:szCs w:val="28"/>
        </w:rPr>
      </w:pPr>
      <w:r>
        <w:rPr>
          <w:rFonts w:ascii="Times New Roman" w:eastAsia="Times New Roman" w:hAnsi="Times New Roman" w:cs="Times New Roman"/>
          <w:b/>
          <w:sz w:val="28"/>
          <w:szCs w:val="28"/>
        </w:rPr>
        <w:t>Забезпечення рівного доступу до ринку через антимонопольне регулювання</w:t>
      </w:r>
      <w:r>
        <w:rPr>
          <w:rFonts w:ascii="Times New Roman" w:eastAsia="Times New Roman" w:hAnsi="Times New Roman" w:cs="Times New Roman"/>
          <w:sz w:val="28"/>
          <w:szCs w:val="28"/>
        </w:rPr>
        <w:t xml:space="preserve">. Уряди повинні активно регулювати злиття та поглинання у секторі, щоб запобігти монопольному становищу окремих компаній. Це </w:t>
      </w:r>
      <w:r>
        <w:rPr>
          <w:rFonts w:ascii="Times New Roman" w:eastAsia="Times New Roman" w:hAnsi="Times New Roman" w:cs="Times New Roman"/>
          <w:sz w:val="28"/>
          <w:szCs w:val="28"/>
        </w:rPr>
        <w:lastRenderedPageBreak/>
        <w:t>включає контроль за концентрацією ринку та запровадження заходів щодо захисту прав споживачів.</w:t>
      </w:r>
    </w:p>
    <w:p w14:paraId="6ED866A1" w14:textId="77777777" w:rsidR="00884896" w:rsidRDefault="00884896" w:rsidP="00884896">
      <w:pPr>
        <w:numPr>
          <w:ilvl w:val="0"/>
          <w:numId w:val="8"/>
        </w:numPr>
        <w:spacing w:line="360" w:lineRule="auto"/>
        <w:jc w:val="both"/>
        <w:rPr>
          <w:sz w:val="28"/>
          <w:szCs w:val="28"/>
        </w:rPr>
      </w:pPr>
      <w:r>
        <w:rPr>
          <w:rFonts w:ascii="Times New Roman" w:eastAsia="Times New Roman" w:hAnsi="Times New Roman" w:cs="Times New Roman"/>
          <w:b/>
          <w:sz w:val="28"/>
          <w:szCs w:val="28"/>
        </w:rPr>
        <w:t>Підтримка інновацій через державне фінансування та інкубаційні програми</w:t>
      </w:r>
      <w:r>
        <w:rPr>
          <w:rFonts w:ascii="Times New Roman" w:eastAsia="Times New Roman" w:hAnsi="Times New Roman" w:cs="Times New Roman"/>
          <w:sz w:val="28"/>
          <w:szCs w:val="28"/>
        </w:rPr>
        <w:t>. Інноваційні проекти, зокрема в галузі штучного інтелекту, кібербезпеки та хмарних технологій, потребують постійного стимулювання. Запровадження інкубаційних центрів та акселераційних програм може сприяти розвитку нових технологій і залученню інвестицій в інноваційні проекти.</w:t>
      </w:r>
    </w:p>
    <w:p w14:paraId="7EE624F2" w14:textId="77777777" w:rsidR="00884896" w:rsidRDefault="00884896" w:rsidP="00884896">
      <w:pPr>
        <w:numPr>
          <w:ilvl w:val="0"/>
          <w:numId w:val="8"/>
        </w:numPr>
        <w:spacing w:after="240" w:line="360" w:lineRule="auto"/>
        <w:jc w:val="both"/>
        <w:rPr>
          <w:sz w:val="28"/>
          <w:szCs w:val="28"/>
        </w:rPr>
      </w:pPr>
      <w:r>
        <w:rPr>
          <w:rFonts w:ascii="Times New Roman" w:eastAsia="Times New Roman" w:hAnsi="Times New Roman" w:cs="Times New Roman"/>
          <w:b/>
          <w:sz w:val="28"/>
          <w:szCs w:val="28"/>
        </w:rPr>
        <w:t>Децентралізація ІТ-індустрії</w:t>
      </w:r>
      <w:r>
        <w:rPr>
          <w:rFonts w:ascii="Times New Roman" w:eastAsia="Times New Roman" w:hAnsi="Times New Roman" w:cs="Times New Roman"/>
          <w:sz w:val="28"/>
          <w:szCs w:val="28"/>
        </w:rPr>
        <w:t>. Для забезпечення рівномірного економічного розвитку необхідно сприяти створенню технопарків та ІТ-хабів у регіонах. Це допоможе розвивати таланти по всій країні та сприяти економічному зростанню регіонів.</w:t>
      </w:r>
    </w:p>
    <w:p w14:paraId="5E245EDC" w14:textId="77777777" w:rsidR="00884896" w:rsidRPr="00933203" w:rsidRDefault="00884896" w:rsidP="00884896">
      <w:pPr>
        <w:spacing w:before="240" w:after="240" w:line="360" w:lineRule="auto"/>
        <w:ind w:firstLine="720"/>
        <w:jc w:val="both"/>
        <w:rPr>
          <w:rFonts w:ascii="Times New Roman" w:eastAsia="Times New Roman" w:hAnsi="Times New Roman" w:cs="Times New Roman"/>
          <w:sz w:val="28"/>
          <w:szCs w:val="28"/>
        </w:rPr>
      </w:pPr>
      <w:r w:rsidRPr="00933203">
        <w:rPr>
          <w:rFonts w:ascii="Times New Roman" w:hAnsi="Times New Roman" w:cs="Times New Roman"/>
          <w:sz w:val="28"/>
          <w:szCs w:val="28"/>
        </w:rPr>
        <w:t>Концентрація ринку ІТ-послуг має як позитивні, так і негативні наслідки для конкуренції, інновацій та економічного розвитку. З одного боку, великі гравці, завдяки значним фінансовим та технічним ресурсам, можуть інвестувати у розвиток нових технологій, що сприяє інноваціям і пришвидшує розвиток галузі. Вони здатні проводити масштабні дослідження, створювати високотехнологічні продукти і послуги, а також забезпечувати стабільну інфраструктуру, що вигідно як споживачам, так і економіці в цілому. Основою сучасного аналізу ринкової концентрації є роботи Жана Тіроля, який запропонував розглядати не лише рівень концентрації, але і ринкову владу компаній. Його підходи стали ключовими для оцінки впливу монополізації на конкуренцію та інновації.</w:t>
      </w:r>
    </w:p>
    <w:p w14:paraId="3457FD02" w14:textId="77777777" w:rsidR="00884896" w:rsidRPr="007A545B" w:rsidRDefault="00884896" w:rsidP="00884896">
      <w:pPr>
        <w:spacing w:before="240" w:after="240" w:line="360" w:lineRule="auto"/>
        <w:ind w:firstLine="720"/>
        <w:jc w:val="both"/>
        <w:rPr>
          <w:rFonts w:ascii="Times New Roman" w:eastAsia="Times New Roman" w:hAnsi="Times New Roman" w:cs="Times New Roman"/>
          <w:sz w:val="28"/>
          <w:szCs w:val="28"/>
        </w:rPr>
      </w:pPr>
      <w:r w:rsidRPr="007A545B">
        <w:rPr>
          <w:rFonts w:ascii="Times New Roman" w:hAnsi="Times New Roman" w:cs="Times New Roman"/>
          <w:sz w:val="28"/>
          <w:szCs w:val="28"/>
        </w:rPr>
        <w:t xml:space="preserve">Проте висока концентрація ринку може мати й суттєві негативні наслідки. Коли кілька великих компаній домінують у секторі, це створює значні бар'єри для нових учасників ринку, які можуть не мати доступу до інвестицій, технологій або клієнтської бази. Малим і середнім підприємствам важче конкурувати з великими корпораціями, що призводить до зниження рівня </w:t>
      </w:r>
      <w:r w:rsidRPr="007A545B">
        <w:rPr>
          <w:rFonts w:ascii="Times New Roman" w:hAnsi="Times New Roman" w:cs="Times New Roman"/>
          <w:sz w:val="28"/>
          <w:szCs w:val="28"/>
        </w:rPr>
        <w:lastRenderedPageBreak/>
        <w:t xml:space="preserve">конкуренції. Як наслідок, ринок може втратити динаміку розвитку, а ціни на послуги залишатимуться високими через відсутність альтернатив. </w:t>
      </w:r>
    </w:p>
    <w:p w14:paraId="2E91FC76"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цього, монополісти, відчуваючи відсутність значної конкуренції, можуть втрачати стимул до інноваційного розвитку. Замість того, щоб шукати нові шляхи для покращення продуктів або послуг, такі компанії можуть підтримувати статус-кво і штучно утримувати високу вартість своїх послуг. Це може призвести до стагнації в галузі, уповільнення технологічного прогресу та погіршення якості послуг для кінцевих споживачів.</w:t>
      </w:r>
    </w:p>
    <w:p w14:paraId="318F0054"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здорового розвитку сектору необхідно створювати сприятливі умови для нових і малих гравців, стимулювати інновації та впроваджувати заходи щодо децентралізації економічного розвитку. Важливо зосередитися на підтримці малого бізнесу і стартапів, які часто є джерелом інновацій, пропонуючи їм доступ до фінансових ресурсів через програми підтримки, гранти чи пільгове кредитування. Полегшення регуляторних бар'єрів, спрощення процесів реєстрації і ведення бізнесу також може сприяти притоку нових гравців на ринок.</w:t>
      </w:r>
    </w:p>
    <w:p w14:paraId="560C589A"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підтримки конкуренції слід розвивати законодавчу базу, яка передбачатиме антимонопольні заходи, що запобігатимуть зловживанню ринковою владою з боку великих компаній. Регуляторні органи повинні активно контролювати процеси злиття та поглинання, щоб уникнути надмірної концентрації та підтримувати конкуренцію на належному рівні.</w:t>
      </w:r>
    </w:p>
    <w:p w14:paraId="32AFEDBA" w14:textId="77777777" w:rsidR="00884896" w:rsidRDefault="00884896" w:rsidP="00884896">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Такі заходи сприятимуть підтримці здорової конкуренції та підвищенню рівня інновацій в ІТ-секторі. У результаті, зросте кількість нових технологічних рішень, а споживачі отримають більш широкий вибір якісних послуг за доступними цінами. Дотримання балансу між концентрацією та підтримкою конкуренції стане основою для стабільного і стійкого економічного розвитку ІТ-галузі в довготривалій перспективі.</w:t>
      </w:r>
    </w:p>
    <w:p w14:paraId="0EB7540A" w14:textId="77777777" w:rsidR="00701ED7" w:rsidRPr="00321700" w:rsidRDefault="00621148" w:rsidP="00884896">
      <w:pPr>
        <w:pStyle w:val="1"/>
        <w:spacing w:line="360" w:lineRule="auto"/>
        <w:jc w:val="center"/>
        <w:rPr>
          <w:rFonts w:ascii="Times New Roman" w:eastAsia="Times New Roman" w:hAnsi="Times New Roman" w:cs="Times New Roman"/>
          <w:b/>
          <w:bCs/>
          <w:sz w:val="28"/>
          <w:szCs w:val="28"/>
        </w:rPr>
      </w:pPr>
      <w:bookmarkStart w:id="20" w:name="_6e1oyu29ovv7" w:colFirst="0" w:colLast="0"/>
      <w:bookmarkEnd w:id="20"/>
      <w:r w:rsidRPr="00321700">
        <w:rPr>
          <w:rFonts w:ascii="Times New Roman" w:eastAsia="Times New Roman" w:hAnsi="Times New Roman" w:cs="Times New Roman"/>
          <w:b/>
          <w:bCs/>
          <w:sz w:val="28"/>
          <w:szCs w:val="28"/>
        </w:rPr>
        <w:lastRenderedPageBreak/>
        <w:t>ВИСНОВКИ</w:t>
      </w:r>
    </w:p>
    <w:p w14:paraId="1979F03F" w14:textId="77777777" w:rsidR="00FC60F1" w:rsidRPr="00FC60F1" w:rsidRDefault="00FC60F1" w:rsidP="00FC60F1"/>
    <w:p w14:paraId="178C1D65" w14:textId="77777777" w:rsidR="00884896" w:rsidRDefault="00884896" w:rsidP="00321700">
      <w:pPr>
        <w:spacing w:before="2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курсовій роботі на тему «Концентрація в ІТ секторі: особливості конкуренції на ринку ІТ послуг» було проведено всебічний аналіз процесів концентрації на глобальному і вітчизняному ринку ІТ послуг, а також їх вплив на конкуренцію та інновації. Основні висновки дослідження можна підсумувати наступним чином:</w:t>
      </w:r>
    </w:p>
    <w:p w14:paraId="755060F6" w14:textId="77777777" w:rsidR="00884896" w:rsidRDefault="00884896" w:rsidP="00884896">
      <w:pPr>
        <w:numPr>
          <w:ilvl w:val="0"/>
          <w:numId w:val="9"/>
        </w:num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Концентрація ринків ІТ послуг є глобальною тенденцією. Найбільші гравці, такі як Amazon Web Services, Microsoft та Google, значно домінують у різних сегментах ринку, зокрема в хмарних обчисленнях, де перші три компанії контролюють понад 65% ринку. Це свідчить про високий рівень концентрації у ключових секторах ІТ-галузі.</w:t>
      </w:r>
    </w:p>
    <w:p w14:paraId="27A4C331" w14:textId="77777777" w:rsidR="00884896" w:rsidRDefault="00884896" w:rsidP="00884896">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Злиття та поглинання як основний механізм концентрації. Розвиток ІТ-сектору супроводжується великою кількістю угод зі злиття та поглинання, що дозволяє великим компаніям зміцнювати свої позиції. Як було показано на прикладі злиття Salesforce і Slack, такі угоди допомагають компаніям розширювати спектр своїх послуг і збільшувати ринкову частку.</w:t>
      </w:r>
    </w:p>
    <w:p w14:paraId="76E0F202" w14:textId="77777777" w:rsidR="00884896" w:rsidRDefault="00884896" w:rsidP="00884896">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Концентрація сприяє розвитку інновацій. Завдяки великим ресурсам, провідні компанії активно інвестують у новітні технології, такі як штучний інтелект, блокчейн та квантові обчислення. Це дозволяє їм залишатися конкурентоспроможними і створювати інноваційні рішення, які визначають майбутнє розвитку ІТ-сектору.</w:t>
      </w:r>
    </w:p>
    <w:p w14:paraId="2EB1344F" w14:textId="77777777" w:rsidR="00884896" w:rsidRDefault="00884896" w:rsidP="00884896">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Малі та середні компанії мають можливість знайти нішеві ринки. Незважаючи на високий рівень концентрації, малі та середні компанії в ІТ-секторі мають можливості для успішної конкуренції через спеціалізацію, інновації та нішеві продукти. Вони можуть досягати успіху завдяки фокусуванню на вузьких сегментах, де великі корпорації не завжди мають конкурентні переваги.</w:t>
      </w:r>
    </w:p>
    <w:p w14:paraId="5F307EA8" w14:textId="77777777" w:rsidR="00884896" w:rsidRDefault="00884896" w:rsidP="00884896">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Концентрація на ринку ІТ послуг України. Український ІТ-сектор також демонструє помірний рівень концентрації, де на великі компанії, такі як SoftServe, EPAM, GlobalLogic та Luxoft, припадає більше 50% ІТ-експорту. Проте значна частина ринку контролюється малими та середніми компаніями, що створює конкурентне середовище для їхнього розвитку.</w:t>
      </w:r>
    </w:p>
    <w:p w14:paraId="6277E991" w14:textId="77777777" w:rsidR="00884896" w:rsidRPr="00DA0CB0" w:rsidRDefault="00884896" w:rsidP="00884896">
      <w:pPr>
        <w:numPr>
          <w:ilvl w:val="0"/>
          <w:numId w:val="9"/>
        </w:numPr>
        <w:spacing w:after="240" w:line="360" w:lineRule="auto"/>
        <w:jc w:val="both"/>
        <w:rPr>
          <w:rFonts w:ascii="Times New Roman" w:eastAsia="Times New Roman" w:hAnsi="Times New Roman" w:cs="Times New Roman"/>
          <w:sz w:val="28"/>
          <w:szCs w:val="28"/>
        </w:rPr>
      </w:pPr>
      <w:r w:rsidRPr="00DA0CB0">
        <w:rPr>
          <w:rFonts w:ascii="Times New Roman" w:hAnsi="Times New Roman" w:cs="Times New Roman"/>
          <w:sz w:val="28"/>
          <w:szCs w:val="28"/>
        </w:rPr>
        <w:t>Вплив ринкової концентрації на економічний розвиток. Висока концентрація ринку має як позитивні, так і негативні наслідки для економіки. З одного боку, великі компанії стимулюють розвиток інновацій і залучають значні інвестиції, з іншого — концентрація може призводити до зменшення конкуренції, що негативно впливає на вибір споживачів і можливості малих компаній. Основою сучасного аналізу ринкової концентрації є роботи Жана Тіроля, який запропонував розглядати не лише рівень концентрації, але і ринкову владу компаній. Його підходи стали ключовими для оцінки впливу монополізації на конкуренцію та інновації.</w:t>
      </w:r>
    </w:p>
    <w:p w14:paraId="2D484727" w14:textId="77777777" w:rsidR="00884896" w:rsidRDefault="00884896" w:rsidP="00321700">
      <w:pPr>
        <w:spacing w:before="240" w:after="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процеси концентрації в ІТ-секторі мають комплексний вплив на конкуренцію та економічний розвиток. Великі компанії продовжують збільшувати свою ринкову частку завдяки інноваціям та поглинанню менших гравців, проте малі та середні компанії зберігають можливості для розвитку завдяки спеціалізації та нішевим рішенням.</w:t>
      </w:r>
    </w:p>
    <w:p w14:paraId="058FD040" w14:textId="77777777" w:rsidR="00701ED7" w:rsidRPr="00F557A1" w:rsidRDefault="00701ED7">
      <w:pPr>
        <w:rPr>
          <w:b/>
          <w:sz w:val="28"/>
          <w:szCs w:val="28"/>
        </w:rPr>
      </w:pPr>
    </w:p>
    <w:p w14:paraId="7934D22E" w14:textId="77777777" w:rsidR="00701ED7" w:rsidRPr="00F557A1" w:rsidRDefault="00701ED7">
      <w:pPr>
        <w:rPr>
          <w:b/>
          <w:sz w:val="28"/>
          <w:szCs w:val="28"/>
        </w:rPr>
      </w:pPr>
    </w:p>
    <w:p w14:paraId="7A7031FB" w14:textId="77777777" w:rsidR="00701ED7" w:rsidRPr="00F557A1" w:rsidRDefault="00701ED7">
      <w:pPr>
        <w:rPr>
          <w:b/>
          <w:sz w:val="28"/>
          <w:szCs w:val="28"/>
        </w:rPr>
      </w:pPr>
    </w:p>
    <w:p w14:paraId="3D3A7361" w14:textId="77777777" w:rsidR="00701ED7" w:rsidRPr="00F557A1" w:rsidRDefault="00701ED7">
      <w:pPr>
        <w:rPr>
          <w:b/>
          <w:sz w:val="28"/>
          <w:szCs w:val="28"/>
        </w:rPr>
      </w:pPr>
    </w:p>
    <w:p w14:paraId="06691A32" w14:textId="77777777" w:rsidR="00701ED7" w:rsidRPr="00F557A1" w:rsidRDefault="00701ED7">
      <w:pPr>
        <w:rPr>
          <w:b/>
          <w:sz w:val="28"/>
          <w:szCs w:val="28"/>
        </w:rPr>
      </w:pPr>
    </w:p>
    <w:p w14:paraId="091EAE5C" w14:textId="77777777" w:rsidR="00701ED7" w:rsidRPr="00F557A1" w:rsidRDefault="00701ED7">
      <w:pPr>
        <w:rPr>
          <w:b/>
          <w:sz w:val="28"/>
          <w:szCs w:val="28"/>
        </w:rPr>
      </w:pPr>
    </w:p>
    <w:p w14:paraId="7913A9C1" w14:textId="77777777" w:rsidR="00701ED7" w:rsidRPr="00F557A1" w:rsidRDefault="00701ED7">
      <w:pPr>
        <w:rPr>
          <w:b/>
          <w:sz w:val="28"/>
          <w:szCs w:val="28"/>
        </w:rPr>
      </w:pPr>
    </w:p>
    <w:p w14:paraId="02644302" w14:textId="77777777" w:rsidR="00701ED7" w:rsidRPr="00F557A1" w:rsidRDefault="00701ED7">
      <w:pPr>
        <w:rPr>
          <w:b/>
          <w:sz w:val="28"/>
          <w:szCs w:val="28"/>
        </w:rPr>
      </w:pPr>
    </w:p>
    <w:p w14:paraId="5B6B5ACC" w14:textId="77777777" w:rsidR="00701ED7" w:rsidRPr="00F557A1" w:rsidRDefault="00701ED7">
      <w:pPr>
        <w:rPr>
          <w:b/>
          <w:sz w:val="28"/>
          <w:szCs w:val="28"/>
        </w:rPr>
      </w:pPr>
    </w:p>
    <w:p w14:paraId="4087315C" w14:textId="77777777" w:rsidR="00701ED7" w:rsidRPr="00F557A1" w:rsidRDefault="00701ED7">
      <w:pPr>
        <w:rPr>
          <w:b/>
          <w:sz w:val="28"/>
          <w:szCs w:val="28"/>
        </w:rPr>
      </w:pPr>
    </w:p>
    <w:p w14:paraId="5025CA4C" w14:textId="29C28B2F" w:rsidR="00701ED7" w:rsidRPr="00321700" w:rsidRDefault="00621148" w:rsidP="00321700">
      <w:pPr>
        <w:pStyle w:val="1"/>
        <w:jc w:val="center"/>
        <w:rPr>
          <w:rFonts w:ascii="Times New Roman" w:eastAsia="Times New Roman" w:hAnsi="Times New Roman" w:cs="Times New Roman"/>
          <w:b/>
          <w:bCs/>
          <w:sz w:val="28"/>
          <w:szCs w:val="28"/>
        </w:rPr>
      </w:pPr>
      <w:bookmarkStart w:id="21" w:name="_kucqflk5okgo" w:colFirst="0" w:colLast="0"/>
      <w:bookmarkStart w:id="22" w:name="_4w6rhik93x0c" w:colFirst="0" w:colLast="0"/>
      <w:bookmarkEnd w:id="21"/>
      <w:bookmarkEnd w:id="22"/>
      <w:r w:rsidRPr="00321700">
        <w:rPr>
          <w:rFonts w:ascii="Times New Roman" w:eastAsia="Times New Roman" w:hAnsi="Times New Roman" w:cs="Times New Roman"/>
          <w:b/>
          <w:bCs/>
          <w:sz w:val="28"/>
          <w:szCs w:val="28"/>
        </w:rPr>
        <w:lastRenderedPageBreak/>
        <w:t>СПИСОК ВИКОРИСТАНИХ ДЖЕРЕЛ</w:t>
      </w:r>
    </w:p>
    <w:p w14:paraId="54CE99E7" w14:textId="77777777" w:rsidR="00701ED7" w:rsidRPr="00F557A1" w:rsidRDefault="00701ED7"/>
    <w:p w14:paraId="2765DCD3" w14:textId="36097CC8" w:rsidR="00884896" w:rsidRDefault="00884896" w:rsidP="00884896">
      <w:pPr>
        <w:numPr>
          <w:ilvl w:val="0"/>
          <w:numId w:val="10"/>
        </w:num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Statista. Cloud Infrastructure Market Share Worldwide 2023. </w:t>
      </w:r>
      <w:bookmarkStart w:id="23" w:name="_GoBack"/>
      <w:bookmarkEnd w:id="23"/>
      <w:r>
        <w:rPr>
          <w:rFonts w:ascii="Times New Roman" w:eastAsia="Times New Roman" w:hAnsi="Times New Roman" w:cs="Times New Roman"/>
          <w:sz w:val="28"/>
          <w:szCs w:val="28"/>
        </w:rPr>
        <w:t xml:space="preserve">URL: </w:t>
      </w:r>
      <w:hyperlink r:id="rId11">
        <w:r>
          <w:rPr>
            <w:rFonts w:ascii="Times New Roman" w:eastAsia="Times New Roman" w:hAnsi="Times New Roman" w:cs="Times New Roman"/>
            <w:color w:val="1155CC"/>
            <w:sz w:val="28"/>
            <w:szCs w:val="28"/>
            <w:u w:val="single"/>
          </w:rPr>
          <w:t>https://www.statista.com</w:t>
        </w:r>
      </w:hyperlink>
    </w:p>
    <w:p w14:paraId="09D560ED" w14:textId="4982B293"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Salesforce. Annual Report 2021. URL: </w:t>
      </w:r>
      <w:hyperlink r:id="rId12">
        <w:r>
          <w:rPr>
            <w:rFonts w:ascii="Times New Roman" w:eastAsia="Times New Roman" w:hAnsi="Times New Roman" w:cs="Times New Roman"/>
            <w:color w:val="1155CC"/>
            <w:sz w:val="28"/>
            <w:szCs w:val="28"/>
            <w:u w:val="single"/>
          </w:rPr>
          <w:t>https://www.salesforce.com</w:t>
        </w:r>
      </w:hyperlink>
    </w:p>
    <w:p w14:paraId="59F4219D" w14:textId="7777777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Ukraine Association. Industry Report 2023. – URL: </w:t>
      </w:r>
      <w:hyperlink r:id="rId13">
        <w:r>
          <w:rPr>
            <w:rFonts w:ascii="Times New Roman" w:eastAsia="Times New Roman" w:hAnsi="Times New Roman" w:cs="Times New Roman"/>
            <w:color w:val="1155CC"/>
            <w:sz w:val="28"/>
            <w:szCs w:val="28"/>
            <w:u w:val="single"/>
          </w:rPr>
          <w:t>https://itukraine.org.ua</w:t>
        </w:r>
      </w:hyperlink>
    </w:p>
    <w:p w14:paraId="05BA62C0" w14:textId="1A5BA982"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Amazon Web Services (AWS). AWS Market Insights 2023. URL: </w:t>
      </w:r>
      <w:hyperlink r:id="rId14">
        <w:r>
          <w:rPr>
            <w:rFonts w:ascii="Times New Roman" w:eastAsia="Times New Roman" w:hAnsi="Times New Roman" w:cs="Times New Roman"/>
            <w:color w:val="1155CC"/>
            <w:sz w:val="28"/>
            <w:szCs w:val="28"/>
            <w:u w:val="single"/>
          </w:rPr>
          <w:t>https://aws.amazon.com</w:t>
        </w:r>
      </w:hyperlink>
    </w:p>
    <w:p w14:paraId="5A6B03A4" w14:textId="1277D60F"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Microsoft Azure. Azure Cloud Growth Report 2023. URL: </w:t>
      </w:r>
      <w:hyperlink r:id="rId15">
        <w:r>
          <w:rPr>
            <w:rFonts w:ascii="Times New Roman" w:eastAsia="Times New Roman" w:hAnsi="Times New Roman" w:cs="Times New Roman"/>
            <w:color w:val="1155CC"/>
            <w:sz w:val="28"/>
            <w:szCs w:val="28"/>
            <w:u w:val="single"/>
          </w:rPr>
          <w:t>https://azure.microsoft.com</w:t>
        </w:r>
      </w:hyperlink>
    </w:p>
    <w:p w14:paraId="567784A4" w14:textId="061944FA"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Google Cloud. Cloud Market Share and Innovations 2023. URL: </w:t>
      </w:r>
      <w:hyperlink r:id="rId16">
        <w:r>
          <w:rPr>
            <w:rFonts w:ascii="Times New Roman" w:eastAsia="Times New Roman" w:hAnsi="Times New Roman" w:cs="Times New Roman"/>
            <w:color w:val="1155CC"/>
            <w:sz w:val="28"/>
            <w:szCs w:val="28"/>
            <w:u w:val="single"/>
          </w:rPr>
          <w:t>https://cloud.google.com</w:t>
        </w:r>
      </w:hyperlink>
    </w:p>
    <w:p w14:paraId="42286E28" w14:textId="3716F09B"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Red Hat. IBM and Red Hat Collaboration Overview. URL: </w:t>
      </w:r>
      <w:hyperlink r:id="rId17">
        <w:r>
          <w:rPr>
            <w:rFonts w:ascii="Times New Roman" w:eastAsia="Times New Roman" w:hAnsi="Times New Roman" w:cs="Times New Roman"/>
            <w:color w:val="1155CC"/>
            <w:sz w:val="28"/>
            <w:szCs w:val="28"/>
            <w:u w:val="single"/>
          </w:rPr>
          <w:t>https://www.redhat.com</w:t>
        </w:r>
      </w:hyperlink>
    </w:p>
    <w:p w14:paraId="2416C18F" w14:textId="00DF072A"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McKinsey &amp; Company. The Future of Cloud Computing 2022. URL: </w:t>
      </w:r>
      <w:hyperlink r:id="rId18">
        <w:r>
          <w:rPr>
            <w:rFonts w:ascii="Times New Roman" w:eastAsia="Times New Roman" w:hAnsi="Times New Roman" w:cs="Times New Roman"/>
            <w:color w:val="1155CC"/>
            <w:sz w:val="28"/>
            <w:szCs w:val="28"/>
            <w:u w:val="single"/>
          </w:rPr>
          <w:t>https://www.mckinsey.com</w:t>
        </w:r>
      </w:hyperlink>
    </w:p>
    <w:p w14:paraId="180C5A4D" w14:textId="153BED9A"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Gartner. Global IT</w:t>
      </w:r>
      <w:r w:rsidR="00321700">
        <w:rPr>
          <w:rFonts w:ascii="Times New Roman" w:eastAsia="Times New Roman" w:hAnsi="Times New Roman" w:cs="Times New Roman"/>
          <w:sz w:val="28"/>
          <w:szCs w:val="28"/>
        </w:rPr>
        <w:t xml:space="preserve"> Services Market Forecast 2023. </w:t>
      </w:r>
      <w:r>
        <w:rPr>
          <w:rFonts w:ascii="Times New Roman" w:eastAsia="Times New Roman" w:hAnsi="Times New Roman" w:cs="Times New Roman"/>
          <w:sz w:val="28"/>
          <w:szCs w:val="28"/>
        </w:rPr>
        <w:t xml:space="preserve">URL: </w:t>
      </w:r>
      <w:hyperlink r:id="rId19">
        <w:r>
          <w:rPr>
            <w:rFonts w:ascii="Times New Roman" w:eastAsia="Times New Roman" w:hAnsi="Times New Roman" w:cs="Times New Roman"/>
            <w:color w:val="1155CC"/>
            <w:sz w:val="28"/>
            <w:szCs w:val="28"/>
            <w:u w:val="single"/>
          </w:rPr>
          <w:t>https://www.gartner.com</w:t>
        </w:r>
      </w:hyperlink>
    </w:p>
    <w:p w14:paraId="2CF0FD29" w14:textId="4BA12A42"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EPAM Systems. EPAM Financial and Market Reports 2022. URL: </w:t>
      </w:r>
      <w:hyperlink r:id="rId20">
        <w:r>
          <w:rPr>
            <w:rFonts w:ascii="Times New Roman" w:eastAsia="Times New Roman" w:hAnsi="Times New Roman" w:cs="Times New Roman"/>
            <w:color w:val="1155CC"/>
            <w:sz w:val="28"/>
            <w:szCs w:val="28"/>
            <w:u w:val="single"/>
          </w:rPr>
          <w:t>https://www.epam.com</w:t>
        </w:r>
      </w:hyperlink>
    </w:p>
    <w:p w14:paraId="342CE8C9" w14:textId="555226A3"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SoftServe. SoftServe Annual Report 2022. URL: </w:t>
      </w:r>
      <w:hyperlink r:id="rId21">
        <w:r>
          <w:rPr>
            <w:rFonts w:ascii="Times New Roman" w:eastAsia="Times New Roman" w:hAnsi="Times New Roman" w:cs="Times New Roman"/>
            <w:color w:val="1155CC"/>
            <w:sz w:val="28"/>
            <w:szCs w:val="28"/>
            <w:u w:val="single"/>
          </w:rPr>
          <w:t>https://www.softserveinc.com</w:t>
        </w:r>
      </w:hyperlink>
    </w:p>
    <w:p w14:paraId="39EB2729" w14:textId="1323892C"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GlobalLogic. GlobalLogic IT Services Overview 2023. URL: </w:t>
      </w:r>
      <w:hyperlink r:id="rId22">
        <w:r>
          <w:rPr>
            <w:rFonts w:ascii="Times New Roman" w:eastAsia="Times New Roman" w:hAnsi="Times New Roman" w:cs="Times New Roman"/>
            <w:color w:val="1155CC"/>
            <w:sz w:val="28"/>
            <w:szCs w:val="28"/>
            <w:u w:val="single"/>
          </w:rPr>
          <w:t>https://www.globallogic.com</w:t>
        </w:r>
      </w:hyperlink>
    </w:p>
    <w:p w14:paraId="0D4A15F5" w14:textId="793F7975"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Luxoft. Luxoft IT Solutions and Market Share Report 2023. URL: </w:t>
      </w:r>
      <w:hyperlink r:id="rId23">
        <w:r>
          <w:rPr>
            <w:rFonts w:ascii="Times New Roman" w:eastAsia="Times New Roman" w:hAnsi="Times New Roman" w:cs="Times New Roman"/>
            <w:color w:val="1155CC"/>
            <w:sz w:val="28"/>
            <w:szCs w:val="28"/>
            <w:u w:val="single"/>
          </w:rPr>
          <w:t>https://www.luxoft.com</w:t>
        </w:r>
      </w:hyperlink>
    </w:p>
    <w:p w14:paraId="6E39051C" w14:textId="2EEA9AC0"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Forbes. The Impact of Mergers and Acquisitions in the IT Sector. URL: </w:t>
      </w:r>
      <w:hyperlink r:id="rId24">
        <w:r>
          <w:rPr>
            <w:rFonts w:ascii="Times New Roman" w:eastAsia="Times New Roman" w:hAnsi="Times New Roman" w:cs="Times New Roman"/>
            <w:color w:val="1155CC"/>
            <w:sz w:val="28"/>
            <w:szCs w:val="28"/>
            <w:u w:val="single"/>
          </w:rPr>
          <w:t>https://www.forbes.com</w:t>
        </w:r>
      </w:hyperlink>
    </w:p>
    <w:p w14:paraId="1C85EA5A" w14:textId="48A64D2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Financial Times. Global IT M&amp;A Deals in 2020–2023. URL: </w:t>
      </w:r>
      <w:hyperlink r:id="rId25">
        <w:r>
          <w:rPr>
            <w:rFonts w:ascii="Times New Roman" w:eastAsia="Times New Roman" w:hAnsi="Times New Roman" w:cs="Times New Roman"/>
            <w:color w:val="1155CC"/>
            <w:sz w:val="28"/>
            <w:szCs w:val="28"/>
            <w:u w:val="single"/>
          </w:rPr>
          <w:t>https://www.ft.com</w:t>
        </w:r>
      </w:hyperlink>
    </w:p>
    <w:p w14:paraId="587C36D1" w14:textId="1005C6BF"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World Economic Forum. The Role of Innovation in the IT Sector. URL: </w:t>
      </w:r>
      <w:hyperlink r:id="rId26">
        <w:r>
          <w:rPr>
            <w:rFonts w:ascii="Times New Roman" w:eastAsia="Times New Roman" w:hAnsi="Times New Roman" w:cs="Times New Roman"/>
            <w:color w:val="1155CC"/>
            <w:sz w:val="28"/>
            <w:szCs w:val="28"/>
            <w:u w:val="single"/>
          </w:rPr>
          <w:t>https://www.weforum.org</w:t>
        </w:r>
      </w:hyperlink>
    </w:p>
    <w:p w14:paraId="304FCBA4" w14:textId="7777777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Harvard Business Review. How Cloud Computing Transforms IT Services. – URL: </w:t>
      </w:r>
      <w:hyperlink r:id="rId27">
        <w:r>
          <w:rPr>
            <w:rFonts w:ascii="Times New Roman" w:eastAsia="Times New Roman" w:hAnsi="Times New Roman" w:cs="Times New Roman"/>
            <w:color w:val="1155CC"/>
            <w:sz w:val="28"/>
            <w:szCs w:val="28"/>
            <w:u w:val="single"/>
          </w:rPr>
          <w:t>https://hbr.org</w:t>
        </w:r>
      </w:hyperlink>
    </w:p>
    <w:p w14:paraId="004412A5" w14:textId="727F12EB"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Deloitte. Global Technology, Media, and Telecom Trends 2023. URL: </w:t>
      </w:r>
      <w:hyperlink r:id="rId28">
        <w:r>
          <w:rPr>
            <w:rFonts w:ascii="Times New Roman" w:eastAsia="Times New Roman" w:hAnsi="Times New Roman" w:cs="Times New Roman"/>
            <w:color w:val="1155CC"/>
            <w:sz w:val="28"/>
            <w:szCs w:val="28"/>
            <w:u w:val="single"/>
          </w:rPr>
          <w:t>https://www2.deloitte.com</w:t>
        </w:r>
      </w:hyperlink>
    </w:p>
    <w:p w14:paraId="4E8C0308" w14:textId="39364843"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PwC. The Future of IT Services: Dig</w:t>
      </w:r>
      <w:r w:rsidR="00321700">
        <w:rPr>
          <w:rFonts w:ascii="Times New Roman" w:eastAsia="Times New Roman" w:hAnsi="Times New Roman" w:cs="Times New Roman"/>
          <w:sz w:val="28"/>
          <w:szCs w:val="28"/>
        </w:rPr>
        <w:t xml:space="preserve">ital Transformation and Cloud. </w:t>
      </w:r>
      <w:r>
        <w:rPr>
          <w:rFonts w:ascii="Times New Roman" w:eastAsia="Times New Roman" w:hAnsi="Times New Roman" w:cs="Times New Roman"/>
          <w:sz w:val="28"/>
          <w:szCs w:val="28"/>
        </w:rPr>
        <w:t xml:space="preserve"> URL: </w:t>
      </w:r>
      <w:hyperlink r:id="rId29">
        <w:r>
          <w:rPr>
            <w:rFonts w:ascii="Times New Roman" w:eastAsia="Times New Roman" w:hAnsi="Times New Roman" w:cs="Times New Roman"/>
            <w:color w:val="1155CC"/>
            <w:sz w:val="28"/>
            <w:szCs w:val="28"/>
            <w:u w:val="single"/>
          </w:rPr>
          <w:t>https://www.pwc.com</w:t>
        </w:r>
      </w:hyperlink>
    </w:p>
    <w:p w14:paraId="6C5D217F" w14:textId="7777777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KPMG. Global IT Industry Report 2023. – URL: </w:t>
      </w:r>
      <w:hyperlink r:id="rId30">
        <w:r>
          <w:rPr>
            <w:rFonts w:ascii="Times New Roman" w:eastAsia="Times New Roman" w:hAnsi="Times New Roman" w:cs="Times New Roman"/>
            <w:color w:val="1155CC"/>
            <w:sz w:val="28"/>
            <w:szCs w:val="28"/>
            <w:u w:val="single"/>
          </w:rPr>
          <w:t>https://home.kpmg.com</w:t>
        </w:r>
      </w:hyperlink>
    </w:p>
    <w:p w14:paraId="4BDAFA53" w14:textId="664537F2"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IDC. Worldwide IT Services Market Analysis 2023. URL: </w:t>
      </w:r>
      <w:hyperlink r:id="rId31">
        <w:r>
          <w:rPr>
            <w:rFonts w:ascii="Times New Roman" w:eastAsia="Times New Roman" w:hAnsi="Times New Roman" w:cs="Times New Roman"/>
            <w:color w:val="1155CC"/>
            <w:sz w:val="28"/>
            <w:szCs w:val="28"/>
            <w:u w:val="single"/>
          </w:rPr>
          <w:t>https://www.idc.com</w:t>
        </w:r>
      </w:hyperlink>
    </w:p>
    <w:p w14:paraId="2AC21F4A" w14:textId="6F713D2F"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Accenture. The State of IT Services and Digital Transformation 2023. URL: </w:t>
      </w:r>
      <w:hyperlink r:id="rId32">
        <w:r>
          <w:rPr>
            <w:rFonts w:ascii="Times New Roman" w:eastAsia="Times New Roman" w:hAnsi="Times New Roman" w:cs="Times New Roman"/>
            <w:color w:val="1155CC"/>
            <w:sz w:val="28"/>
            <w:szCs w:val="28"/>
            <w:u w:val="single"/>
          </w:rPr>
          <w:t>https://www.accenture.com</w:t>
        </w:r>
      </w:hyperlink>
    </w:p>
    <w:p w14:paraId="74372B41" w14:textId="4DF29CAB"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Bain &amp; Company. The Evolution of IT Services in a Cloud-Centric World. URL: </w:t>
      </w:r>
      <w:hyperlink r:id="rId33">
        <w:r>
          <w:rPr>
            <w:rFonts w:ascii="Times New Roman" w:eastAsia="Times New Roman" w:hAnsi="Times New Roman" w:cs="Times New Roman"/>
            <w:color w:val="1155CC"/>
            <w:sz w:val="28"/>
            <w:szCs w:val="28"/>
            <w:u w:val="single"/>
          </w:rPr>
          <w:t>https://www.bain.com</w:t>
        </w:r>
      </w:hyperlink>
    </w:p>
    <w:p w14:paraId="0383407F" w14:textId="150DD009"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IBM. IBM Annual Report 2022. URL: </w:t>
      </w:r>
      <w:hyperlink r:id="rId34">
        <w:r>
          <w:rPr>
            <w:rFonts w:ascii="Times New Roman" w:eastAsia="Times New Roman" w:hAnsi="Times New Roman" w:cs="Times New Roman"/>
            <w:color w:val="1155CC"/>
            <w:sz w:val="28"/>
            <w:szCs w:val="28"/>
            <w:u w:val="single"/>
          </w:rPr>
          <w:t>https://www.ibm.com</w:t>
        </w:r>
      </w:hyperlink>
    </w:p>
    <w:p w14:paraId="5D4E008E" w14:textId="31368EB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Cisco. Cisco Cloud Market Insights 2023. URL: </w:t>
      </w:r>
      <w:hyperlink r:id="rId35">
        <w:r>
          <w:rPr>
            <w:rFonts w:ascii="Times New Roman" w:eastAsia="Times New Roman" w:hAnsi="Times New Roman" w:cs="Times New Roman"/>
            <w:color w:val="1155CC"/>
            <w:sz w:val="28"/>
            <w:szCs w:val="28"/>
            <w:u w:val="single"/>
          </w:rPr>
          <w:t>https://www.cisco.com</w:t>
        </w:r>
      </w:hyperlink>
    </w:p>
    <w:p w14:paraId="14783F2D" w14:textId="7B98D529"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Bloomberg. IT Sector Trends in 2023: Mergers, Innovation, and Competition. URL: </w:t>
      </w:r>
      <w:hyperlink r:id="rId36">
        <w:r>
          <w:rPr>
            <w:rFonts w:ascii="Times New Roman" w:eastAsia="Times New Roman" w:hAnsi="Times New Roman" w:cs="Times New Roman"/>
            <w:color w:val="1155CC"/>
            <w:sz w:val="28"/>
            <w:szCs w:val="28"/>
            <w:u w:val="single"/>
          </w:rPr>
          <w:t>https://www.bloomberg.com</w:t>
        </w:r>
      </w:hyperlink>
    </w:p>
    <w:p w14:paraId="641C50ED" w14:textId="77777777"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OECD. Digital Economy Outlook 2023. – URL: </w:t>
      </w:r>
      <w:hyperlink r:id="rId37">
        <w:r>
          <w:rPr>
            <w:rFonts w:ascii="Times New Roman" w:eastAsia="Times New Roman" w:hAnsi="Times New Roman" w:cs="Times New Roman"/>
            <w:color w:val="1155CC"/>
            <w:sz w:val="28"/>
            <w:szCs w:val="28"/>
            <w:u w:val="single"/>
          </w:rPr>
          <w:t>https://www.oecd.org</w:t>
        </w:r>
      </w:hyperlink>
    </w:p>
    <w:p w14:paraId="2D597B0D" w14:textId="4F93FE8A"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Economist. IT Industry Consolidation and Its Impact on Innovation. URL: </w:t>
      </w:r>
      <w:hyperlink r:id="rId38">
        <w:r>
          <w:rPr>
            <w:rFonts w:ascii="Times New Roman" w:eastAsia="Times New Roman" w:hAnsi="Times New Roman" w:cs="Times New Roman"/>
            <w:color w:val="1155CC"/>
            <w:sz w:val="28"/>
            <w:szCs w:val="28"/>
            <w:u w:val="single"/>
          </w:rPr>
          <w:t>https://www.economist.com</w:t>
        </w:r>
      </w:hyperlink>
    </w:p>
    <w:p w14:paraId="5CD26B3A" w14:textId="62ED95AD"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European Commission. Digital Single Market and IT Services. URL: </w:t>
      </w:r>
      <w:hyperlink r:id="rId39">
        <w:r>
          <w:rPr>
            <w:rFonts w:ascii="Times New Roman" w:eastAsia="Times New Roman" w:hAnsi="Times New Roman" w:cs="Times New Roman"/>
            <w:color w:val="1155CC"/>
            <w:sz w:val="28"/>
            <w:szCs w:val="28"/>
            <w:u w:val="single"/>
          </w:rPr>
          <w:t>https://ec.europa.eu</w:t>
        </w:r>
      </w:hyperlink>
    </w:p>
    <w:p w14:paraId="0F68712E" w14:textId="23252448"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World Bank. Technology and Innovation in the Global Economy. URL: </w:t>
      </w:r>
      <w:hyperlink r:id="rId40">
        <w:r>
          <w:rPr>
            <w:rFonts w:ascii="Times New Roman" w:eastAsia="Times New Roman" w:hAnsi="Times New Roman" w:cs="Times New Roman"/>
            <w:color w:val="1155CC"/>
            <w:sz w:val="28"/>
            <w:szCs w:val="28"/>
            <w:u w:val="single"/>
          </w:rPr>
          <w:t>https://www.worldbank.org</w:t>
        </w:r>
      </w:hyperlink>
    </w:p>
    <w:p w14:paraId="34CAB4C6" w14:textId="57A65559"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служба статистики України. Статистичний збірник "Інформаційні технології в Україн</w:t>
      </w:r>
      <w:r w:rsidR="00321700">
        <w:rPr>
          <w:rFonts w:ascii="Times New Roman" w:eastAsia="Times New Roman" w:hAnsi="Times New Roman" w:cs="Times New Roman"/>
          <w:sz w:val="28"/>
          <w:szCs w:val="28"/>
        </w:rPr>
        <w:t xml:space="preserve">і, 2022". </w:t>
      </w:r>
      <w:r>
        <w:rPr>
          <w:rFonts w:ascii="Times New Roman" w:eastAsia="Times New Roman" w:hAnsi="Times New Roman" w:cs="Times New Roman"/>
          <w:sz w:val="28"/>
          <w:szCs w:val="28"/>
        </w:rPr>
        <w:t xml:space="preserve"> URL: </w:t>
      </w:r>
      <w:hyperlink r:id="rId41">
        <w:r>
          <w:rPr>
            <w:rFonts w:ascii="Times New Roman" w:eastAsia="Times New Roman" w:hAnsi="Times New Roman" w:cs="Times New Roman"/>
            <w:color w:val="1155CC"/>
            <w:sz w:val="28"/>
            <w:szCs w:val="28"/>
            <w:u w:val="single"/>
          </w:rPr>
          <w:t>https://www.ukrstat.gov.ua</w:t>
        </w:r>
      </w:hyperlink>
    </w:p>
    <w:p w14:paraId="5F85D935" w14:textId="023C00C2"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Міністерство цифрової трансформації України. Звіт про розвиток ІТ-сектору в Україні, 2023. URL: </w:t>
      </w:r>
      <w:hyperlink r:id="rId42">
        <w:r>
          <w:rPr>
            <w:rFonts w:ascii="Times New Roman" w:eastAsia="Times New Roman" w:hAnsi="Times New Roman" w:cs="Times New Roman"/>
            <w:color w:val="1155CC"/>
            <w:sz w:val="28"/>
            <w:szCs w:val="28"/>
            <w:u w:val="single"/>
          </w:rPr>
          <w:t>https://thedigital.gov.ua</w:t>
        </w:r>
      </w:hyperlink>
    </w:p>
    <w:p w14:paraId="2CEAB8D2" w14:textId="2C1379FF"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Українська асоціація ІТ-компаній. Огляд ІТ-галузі України, 2022-2023 рр. URL: </w:t>
      </w:r>
      <w:hyperlink r:id="rId43">
        <w:r>
          <w:rPr>
            <w:rFonts w:ascii="Times New Roman" w:eastAsia="Times New Roman" w:hAnsi="Times New Roman" w:cs="Times New Roman"/>
            <w:color w:val="1155CC"/>
            <w:sz w:val="28"/>
            <w:szCs w:val="28"/>
            <w:u w:val="single"/>
          </w:rPr>
          <w:t>https://itukraine.org.ua</w:t>
        </w:r>
      </w:hyperlink>
    </w:p>
    <w:p w14:paraId="43C11FB7" w14:textId="104B193A"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Економічна правда. Як війна вплинула на ІТ-сектор України. URL: </w:t>
      </w:r>
      <w:hyperlink r:id="rId44">
        <w:r>
          <w:rPr>
            <w:rFonts w:ascii="Times New Roman" w:eastAsia="Times New Roman" w:hAnsi="Times New Roman" w:cs="Times New Roman"/>
            <w:color w:val="1155CC"/>
            <w:sz w:val="28"/>
            <w:szCs w:val="28"/>
            <w:u w:val="single"/>
          </w:rPr>
          <w:t>https://www.epravda.com.ua</w:t>
        </w:r>
      </w:hyperlink>
    </w:p>
    <w:p w14:paraId="62EA77A2" w14:textId="38437E25"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Інститут економічних досліджень та політичних консультацій. Вплив концентрації в І</w:t>
      </w:r>
      <w:r w:rsidR="00321700">
        <w:rPr>
          <w:rFonts w:ascii="Times New Roman" w:eastAsia="Times New Roman" w:hAnsi="Times New Roman" w:cs="Times New Roman"/>
          <w:sz w:val="28"/>
          <w:szCs w:val="28"/>
        </w:rPr>
        <w:t xml:space="preserve">Т-секторі на економіку України. </w:t>
      </w:r>
      <w:r>
        <w:rPr>
          <w:rFonts w:ascii="Times New Roman" w:eastAsia="Times New Roman" w:hAnsi="Times New Roman" w:cs="Times New Roman"/>
          <w:sz w:val="28"/>
          <w:szCs w:val="28"/>
        </w:rPr>
        <w:t xml:space="preserve">URL: </w:t>
      </w:r>
      <w:hyperlink r:id="rId45">
        <w:r>
          <w:rPr>
            <w:rFonts w:ascii="Times New Roman" w:eastAsia="Times New Roman" w:hAnsi="Times New Roman" w:cs="Times New Roman"/>
            <w:color w:val="1155CC"/>
            <w:sz w:val="28"/>
            <w:szCs w:val="28"/>
            <w:u w:val="single"/>
          </w:rPr>
          <w:t>https://www.ier.com.ua</w:t>
        </w:r>
      </w:hyperlink>
    </w:p>
    <w:p w14:paraId="57FC7EFB" w14:textId="34430BCD" w:rsidR="00884896" w:rsidRDefault="00884896" w:rsidP="0088489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LIGA.Tech. Найбільші ІТ-компан</w:t>
      </w:r>
      <w:r w:rsidR="00321700">
        <w:rPr>
          <w:rFonts w:ascii="Times New Roman" w:eastAsia="Times New Roman" w:hAnsi="Times New Roman" w:cs="Times New Roman"/>
          <w:sz w:val="28"/>
          <w:szCs w:val="28"/>
        </w:rPr>
        <w:t xml:space="preserve">ії України у 2023 році. </w:t>
      </w:r>
      <w:r>
        <w:rPr>
          <w:rFonts w:ascii="Times New Roman" w:eastAsia="Times New Roman" w:hAnsi="Times New Roman" w:cs="Times New Roman"/>
          <w:sz w:val="28"/>
          <w:szCs w:val="28"/>
        </w:rPr>
        <w:t>URL: https://tech.liga.net</w:t>
      </w:r>
    </w:p>
    <w:p w14:paraId="0CA04A10" w14:textId="0B28882D" w:rsidR="00884896" w:rsidRDefault="00884896" w:rsidP="00884896">
      <w:pPr>
        <w:numPr>
          <w:ilvl w:val="0"/>
          <w:numId w:val="10"/>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Mind.ua. ІТ-індустрія України під час війни: перспективи та виклики. URL: </w:t>
      </w:r>
      <w:hyperlink r:id="rId46">
        <w:r>
          <w:rPr>
            <w:rFonts w:ascii="Times New Roman" w:eastAsia="Times New Roman" w:hAnsi="Times New Roman" w:cs="Times New Roman"/>
            <w:color w:val="1155CC"/>
            <w:sz w:val="28"/>
            <w:szCs w:val="28"/>
            <w:u w:val="single"/>
          </w:rPr>
          <w:t>https://mind.ua</w:t>
        </w:r>
      </w:hyperlink>
    </w:p>
    <w:p w14:paraId="584B46DD" w14:textId="77777777" w:rsidR="00701ED7" w:rsidRPr="00F557A1" w:rsidRDefault="00701ED7">
      <w:pPr>
        <w:rPr>
          <w:rFonts w:ascii="Times New Roman" w:eastAsia="Times New Roman" w:hAnsi="Times New Roman" w:cs="Times New Roman"/>
        </w:rPr>
      </w:pPr>
    </w:p>
    <w:p w14:paraId="09640D02" w14:textId="77777777" w:rsidR="00F557A1" w:rsidRPr="00F557A1" w:rsidRDefault="00F557A1">
      <w:pPr>
        <w:rPr>
          <w:rFonts w:ascii="Times New Roman" w:eastAsia="Times New Roman" w:hAnsi="Times New Roman" w:cs="Times New Roman"/>
        </w:rPr>
      </w:pPr>
    </w:p>
    <w:sectPr w:rsidR="00F557A1" w:rsidRPr="00F557A1" w:rsidSect="007D38CF">
      <w:type w:val="continuous"/>
      <w:pgSz w:w="11909" w:h="16834"/>
      <w:pgMar w:top="1134" w:right="85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B21CD" w14:textId="77777777" w:rsidR="007E2874" w:rsidRDefault="007E2874">
      <w:pPr>
        <w:spacing w:line="240" w:lineRule="auto"/>
      </w:pPr>
      <w:r>
        <w:separator/>
      </w:r>
    </w:p>
  </w:endnote>
  <w:endnote w:type="continuationSeparator" w:id="0">
    <w:p w14:paraId="5B3F54EE" w14:textId="77777777" w:rsidR="007E2874" w:rsidRDefault="007E2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Regular">
    <w:altName w:val="Century Gothi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23D34" w14:textId="77777777" w:rsidR="007E2874" w:rsidRDefault="007E2874">
      <w:pPr>
        <w:spacing w:line="240" w:lineRule="auto"/>
      </w:pPr>
      <w:r>
        <w:separator/>
      </w:r>
    </w:p>
  </w:footnote>
  <w:footnote w:type="continuationSeparator" w:id="0">
    <w:p w14:paraId="6E354A65" w14:textId="77777777" w:rsidR="007E2874" w:rsidRDefault="007E28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980229686"/>
      <w:docPartObj>
        <w:docPartGallery w:val="Page Numbers (Top of Page)"/>
        <w:docPartUnique/>
      </w:docPartObj>
    </w:sdtPr>
    <w:sdtEndPr>
      <w:rPr>
        <w:rStyle w:val="a9"/>
      </w:rPr>
    </w:sdtEndPr>
    <w:sdtContent>
      <w:p w14:paraId="1D5BE696" w14:textId="31B0B2D7" w:rsidR="00FC60F1" w:rsidRDefault="00FC60F1" w:rsidP="00D33F17">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22CFEA4A" w14:textId="77777777" w:rsidR="00FC60F1" w:rsidRDefault="00FC60F1" w:rsidP="00FC60F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695892529"/>
      <w:docPartObj>
        <w:docPartGallery w:val="Page Numbers (Top of Page)"/>
        <w:docPartUnique/>
      </w:docPartObj>
    </w:sdtPr>
    <w:sdtEndPr>
      <w:rPr>
        <w:rStyle w:val="a9"/>
      </w:rPr>
    </w:sdtEndPr>
    <w:sdtContent>
      <w:p w14:paraId="61FF734A" w14:textId="60C4E9E3" w:rsidR="00FC60F1" w:rsidRDefault="00FC60F1" w:rsidP="00D33F17">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321700">
          <w:rPr>
            <w:rStyle w:val="a9"/>
          </w:rPr>
          <w:t>21</w:t>
        </w:r>
        <w:r>
          <w:rPr>
            <w:rStyle w:val="a9"/>
          </w:rPr>
          <w:fldChar w:fldCharType="end"/>
        </w:r>
      </w:p>
    </w:sdtContent>
  </w:sdt>
  <w:p w14:paraId="015C2D41" w14:textId="33C32F6F" w:rsidR="00701ED7" w:rsidRDefault="00701ED7" w:rsidP="00FC60F1">
    <w:pP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8CE"/>
    <w:multiLevelType w:val="multilevel"/>
    <w:tmpl w:val="1214F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DBE7325"/>
    <w:multiLevelType w:val="multilevel"/>
    <w:tmpl w:val="59125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CC269D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0D370F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77F6141"/>
    <w:multiLevelType w:val="multilevel"/>
    <w:tmpl w:val="803C2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2FD516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3505429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96054FF"/>
    <w:multiLevelType w:val="multilevel"/>
    <w:tmpl w:val="057A8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B9D2827"/>
    <w:multiLevelType w:val="multilevel"/>
    <w:tmpl w:val="2E6EA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715102B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7"/>
  </w:num>
  <w:num w:numId="3">
    <w:abstractNumId w:val="8"/>
  </w:num>
  <w:num w:numId="4">
    <w:abstractNumId w:val="4"/>
  </w:num>
  <w:num w:numId="5">
    <w:abstractNumId w:val="0"/>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D7"/>
    <w:rsid w:val="000655A7"/>
    <w:rsid w:val="00117AEF"/>
    <w:rsid w:val="00321700"/>
    <w:rsid w:val="005821D2"/>
    <w:rsid w:val="005E1908"/>
    <w:rsid w:val="00621148"/>
    <w:rsid w:val="00623B79"/>
    <w:rsid w:val="0065430A"/>
    <w:rsid w:val="006B06A2"/>
    <w:rsid w:val="00701ED7"/>
    <w:rsid w:val="00786E06"/>
    <w:rsid w:val="007D38CF"/>
    <w:rsid w:val="007E2874"/>
    <w:rsid w:val="00884896"/>
    <w:rsid w:val="008E2E99"/>
    <w:rsid w:val="00A84083"/>
    <w:rsid w:val="00D46840"/>
    <w:rsid w:val="00F557A1"/>
    <w:rsid w:val="00FC60F1"/>
    <w:rsid w:val="00FE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paragraph" w:styleId="a7">
    <w:name w:val="header"/>
    <w:basedOn w:val="a"/>
    <w:link w:val="a8"/>
    <w:uiPriority w:val="99"/>
    <w:unhideWhenUsed/>
    <w:rsid w:val="00FC60F1"/>
    <w:pPr>
      <w:tabs>
        <w:tab w:val="center" w:pos="4513"/>
        <w:tab w:val="right" w:pos="9026"/>
      </w:tabs>
      <w:spacing w:line="240" w:lineRule="auto"/>
    </w:pPr>
  </w:style>
  <w:style w:type="character" w:customStyle="1" w:styleId="a8">
    <w:name w:val="Верхній колонтитул Знак"/>
    <w:basedOn w:val="a0"/>
    <w:link w:val="a7"/>
    <w:uiPriority w:val="99"/>
    <w:rsid w:val="00FC60F1"/>
  </w:style>
  <w:style w:type="character" w:styleId="a9">
    <w:name w:val="page number"/>
    <w:basedOn w:val="a0"/>
    <w:uiPriority w:val="99"/>
    <w:semiHidden/>
    <w:unhideWhenUsed/>
    <w:rsid w:val="00FC60F1"/>
  </w:style>
  <w:style w:type="paragraph" w:styleId="aa">
    <w:name w:val="Balloon Text"/>
    <w:basedOn w:val="a"/>
    <w:link w:val="ab"/>
    <w:uiPriority w:val="99"/>
    <w:semiHidden/>
    <w:unhideWhenUsed/>
    <w:rsid w:val="00A84083"/>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84083"/>
    <w:rPr>
      <w:rFonts w:ascii="Tahoma" w:hAnsi="Tahoma" w:cs="Tahoma"/>
      <w:noProof/>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paragraph" w:styleId="a7">
    <w:name w:val="header"/>
    <w:basedOn w:val="a"/>
    <w:link w:val="a8"/>
    <w:uiPriority w:val="99"/>
    <w:unhideWhenUsed/>
    <w:rsid w:val="00FC60F1"/>
    <w:pPr>
      <w:tabs>
        <w:tab w:val="center" w:pos="4513"/>
        <w:tab w:val="right" w:pos="9026"/>
      </w:tabs>
      <w:spacing w:line="240" w:lineRule="auto"/>
    </w:pPr>
  </w:style>
  <w:style w:type="character" w:customStyle="1" w:styleId="a8">
    <w:name w:val="Верхній колонтитул Знак"/>
    <w:basedOn w:val="a0"/>
    <w:link w:val="a7"/>
    <w:uiPriority w:val="99"/>
    <w:rsid w:val="00FC60F1"/>
  </w:style>
  <w:style w:type="character" w:styleId="a9">
    <w:name w:val="page number"/>
    <w:basedOn w:val="a0"/>
    <w:uiPriority w:val="99"/>
    <w:semiHidden/>
    <w:unhideWhenUsed/>
    <w:rsid w:val="00FC60F1"/>
  </w:style>
  <w:style w:type="paragraph" w:styleId="aa">
    <w:name w:val="Balloon Text"/>
    <w:basedOn w:val="a"/>
    <w:link w:val="ab"/>
    <w:uiPriority w:val="99"/>
    <w:semiHidden/>
    <w:unhideWhenUsed/>
    <w:rsid w:val="00A84083"/>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84083"/>
    <w:rPr>
      <w:rFonts w:ascii="Tahoma" w:hAnsi="Tahoma" w:cs="Tahoma"/>
      <w:noProof/>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95622">
      <w:bodyDiv w:val="1"/>
      <w:marLeft w:val="0"/>
      <w:marRight w:val="0"/>
      <w:marTop w:val="0"/>
      <w:marBottom w:val="0"/>
      <w:divBdr>
        <w:top w:val="none" w:sz="0" w:space="0" w:color="auto"/>
        <w:left w:val="none" w:sz="0" w:space="0" w:color="auto"/>
        <w:bottom w:val="none" w:sz="0" w:space="0" w:color="auto"/>
        <w:right w:val="none" w:sz="0" w:space="0" w:color="auto"/>
      </w:divBdr>
      <w:divsChild>
        <w:div w:id="1728409957">
          <w:marLeft w:val="0"/>
          <w:marRight w:val="0"/>
          <w:marTop w:val="0"/>
          <w:marBottom w:val="0"/>
          <w:divBdr>
            <w:top w:val="none" w:sz="0" w:space="0" w:color="auto"/>
            <w:left w:val="none" w:sz="0" w:space="0" w:color="auto"/>
            <w:bottom w:val="none" w:sz="0" w:space="0" w:color="auto"/>
            <w:right w:val="none" w:sz="0" w:space="0" w:color="auto"/>
          </w:divBdr>
        </w:div>
        <w:div w:id="1215628075">
          <w:marLeft w:val="0"/>
          <w:marRight w:val="0"/>
          <w:marTop w:val="0"/>
          <w:marBottom w:val="0"/>
          <w:divBdr>
            <w:top w:val="none" w:sz="0" w:space="0" w:color="auto"/>
            <w:left w:val="none" w:sz="0" w:space="0" w:color="auto"/>
            <w:bottom w:val="none" w:sz="0" w:space="0" w:color="auto"/>
            <w:right w:val="none" w:sz="0" w:space="0" w:color="auto"/>
          </w:divBdr>
        </w:div>
      </w:divsChild>
    </w:div>
    <w:div w:id="1508250626">
      <w:bodyDiv w:val="1"/>
      <w:marLeft w:val="0"/>
      <w:marRight w:val="0"/>
      <w:marTop w:val="0"/>
      <w:marBottom w:val="0"/>
      <w:divBdr>
        <w:top w:val="none" w:sz="0" w:space="0" w:color="auto"/>
        <w:left w:val="none" w:sz="0" w:space="0" w:color="auto"/>
        <w:bottom w:val="none" w:sz="0" w:space="0" w:color="auto"/>
        <w:right w:val="none" w:sz="0" w:space="0" w:color="auto"/>
      </w:divBdr>
      <w:divsChild>
        <w:div w:id="1692686773">
          <w:marLeft w:val="0"/>
          <w:marRight w:val="0"/>
          <w:marTop w:val="0"/>
          <w:marBottom w:val="0"/>
          <w:divBdr>
            <w:top w:val="none" w:sz="0" w:space="0" w:color="auto"/>
            <w:left w:val="none" w:sz="0" w:space="0" w:color="auto"/>
            <w:bottom w:val="none" w:sz="0" w:space="0" w:color="auto"/>
            <w:right w:val="none" w:sz="0" w:space="0" w:color="auto"/>
          </w:divBdr>
        </w:div>
        <w:div w:id="4875981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kraine.org.ua/" TargetMode="External"/><Relationship Id="rId18" Type="http://schemas.openxmlformats.org/officeDocument/2006/relationships/hyperlink" Target="https://www.mckinsey.com/" TargetMode="External"/><Relationship Id="rId26" Type="http://schemas.openxmlformats.org/officeDocument/2006/relationships/hyperlink" Target="https://www.weforum.org/" TargetMode="External"/><Relationship Id="rId39" Type="http://schemas.openxmlformats.org/officeDocument/2006/relationships/hyperlink" Target="https://ec.europa.eu/" TargetMode="External"/><Relationship Id="rId3" Type="http://schemas.openxmlformats.org/officeDocument/2006/relationships/styles" Target="styles.xml"/><Relationship Id="rId21" Type="http://schemas.openxmlformats.org/officeDocument/2006/relationships/hyperlink" Target="https://www.softserveinc.com/" TargetMode="External"/><Relationship Id="rId34" Type="http://schemas.openxmlformats.org/officeDocument/2006/relationships/hyperlink" Target="https://www.ibm.com/" TargetMode="External"/><Relationship Id="rId42" Type="http://schemas.openxmlformats.org/officeDocument/2006/relationships/hyperlink" Target="https://thedigital.gov.ua/"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alesforce.com/" TargetMode="External"/><Relationship Id="rId17" Type="http://schemas.openxmlformats.org/officeDocument/2006/relationships/hyperlink" Target="https://www.redhat.com/" TargetMode="External"/><Relationship Id="rId25" Type="http://schemas.openxmlformats.org/officeDocument/2006/relationships/hyperlink" Target="https://www.ft.com/" TargetMode="External"/><Relationship Id="rId33" Type="http://schemas.openxmlformats.org/officeDocument/2006/relationships/hyperlink" Target="https://www.bain.com/" TargetMode="External"/><Relationship Id="rId38" Type="http://schemas.openxmlformats.org/officeDocument/2006/relationships/hyperlink" Target="https://www.economist.com/" TargetMode="External"/><Relationship Id="rId46" Type="http://schemas.openxmlformats.org/officeDocument/2006/relationships/hyperlink" Target="https://mind.ua/" TargetMode="External"/><Relationship Id="rId2" Type="http://schemas.openxmlformats.org/officeDocument/2006/relationships/numbering" Target="numbering.xml"/><Relationship Id="rId16" Type="http://schemas.openxmlformats.org/officeDocument/2006/relationships/hyperlink" Target="https://cloud.google.com/" TargetMode="External"/><Relationship Id="rId20" Type="http://schemas.openxmlformats.org/officeDocument/2006/relationships/hyperlink" Target="https://www.epam.com/" TargetMode="External"/><Relationship Id="rId29" Type="http://schemas.openxmlformats.org/officeDocument/2006/relationships/hyperlink" Target="https://www.pwc.com/" TargetMode="External"/><Relationship Id="rId41" Type="http://schemas.openxmlformats.org/officeDocument/2006/relationships/hyperlink" Target="https://www.ukrstat.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ista.com/" TargetMode="External"/><Relationship Id="rId24" Type="http://schemas.openxmlformats.org/officeDocument/2006/relationships/hyperlink" Target="https://www.forbes.com/" TargetMode="External"/><Relationship Id="rId32" Type="http://schemas.openxmlformats.org/officeDocument/2006/relationships/hyperlink" Target="https://www.accenture.com/" TargetMode="External"/><Relationship Id="rId37" Type="http://schemas.openxmlformats.org/officeDocument/2006/relationships/hyperlink" Target="https://www.oecd.org/" TargetMode="External"/><Relationship Id="rId40" Type="http://schemas.openxmlformats.org/officeDocument/2006/relationships/hyperlink" Target="https://www.worldbank.org/" TargetMode="External"/><Relationship Id="rId45" Type="http://schemas.openxmlformats.org/officeDocument/2006/relationships/hyperlink" Target="https://www.ier.com.ua/" TargetMode="External"/><Relationship Id="rId5" Type="http://schemas.openxmlformats.org/officeDocument/2006/relationships/settings" Target="settings.xml"/><Relationship Id="rId15" Type="http://schemas.openxmlformats.org/officeDocument/2006/relationships/hyperlink" Target="https://azure.microsoft.com/" TargetMode="External"/><Relationship Id="rId23" Type="http://schemas.openxmlformats.org/officeDocument/2006/relationships/hyperlink" Target="https://www.luxoft.com/" TargetMode="External"/><Relationship Id="rId28" Type="http://schemas.openxmlformats.org/officeDocument/2006/relationships/hyperlink" Target="https://www2.deloitte.com/" TargetMode="External"/><Relationship Id="rId36" Type="http://schemas.openxmlformats.org/officeDocument/2006/relationships/hyperlink" Target="https://www.bloomberg.com/" TargetMode="External"/><Relationship Id="rId10" Type="http://schemas.openxmlformats.org/officeDocument/2006/relationships/header" Target="header2.xml"/><Relationship Id="rId19" Type="http://schemas.openxmlformats.org/officeDocument/2006/relationships/hyperlink" Target="https://www.gartner.com/" TargetMode="External"/><Relationship Id="rId31" Type="http://schemas.openxmlformats.org/officeDocument/2006/relationships/hyperlink" Target="https://www.idc.com/" TargetMode="External"/><Relationship Id="rId44" Type="http://schemas.openxmlformats.org/officeDocument/2006/relationships/hyperlink" Target="https://www.epravda.com.u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ws.amazon.com/" TargetMode="External"/><Relationship Id="rId22" Type="http://schemas.openxmlformats.org/officeDocument/2006/relationships/hyperlink" Target="https://www.globallogic.com/" TargetMode="External"/><Relationship Id="rId27" Type="http://schemas.openxmlformats.org/officeDocument/2006/relationships/hyperlink" Target="https://hbr.org/" TargetMode="External"/><Relationship Id="rId30" Type="http://schemas.openxmlformats.org/officeDocument/2006/relationships/hyperlink" Target="https://home.kpmg.com/" TargetMode="External"/><Relationship Id="rId35" Type="http://schemas.openxmlformats.org/officeDocument/2006/relationships/hyperlink" Target="https://www.cisco.com/" TargetMode="External"/><Relationship Id="rId43" Type="http://schemas.openxmlformats.org/officeDocument/2006/relationships/hyperlink" Target="https://itukraine.org.u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70B5-1E2A-42E1-AAD0-02661D7E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21793</Words>
  <Characters>12423</Characters>
  <Application>Microsoft Office Word</Application>
  <DocSecurity>0</DocSecurity>
  <Lines>103</Lines>
  <Paragraphs>68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2024-11-25T17:06:00Z</dcterms:created>
  <dcterms:modified xsi:type="dcterms:W3CDTF">2024-11-25T17:15:00Z</dcterms:modified>
</cp:coreProperties>
</file>