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07EA" w14:textId="227BC308" w:rsidR="00623929" w:rsidRDefault="00623929" w:rsidP="001A7C96">
      <w:pPr>
        <w:jc w:val="center"/>
        <w:rPr>
          <w:b/>
          <w:caps/>
          <w:sz w:val="28"/>
          <w:szCs w:val="28"/>
        </w:rPr>
      </w:pPr>
      <w:r w:rsidRPr="00623929">
        <w:rPr>
          <w:b/>
          <w:caps/>
          <w:szCs w:val="28"/>
        </w:rPr>
        <w:t xml:space="preserve"> </w:t>
      </w:r>
      <w:r w:rsidRPr="00A0562A">
        <w:rPr>
          <w:b/>
          <w:caps/>
          <w:sz w:val="28"/>
          <w:szCs w:val="28"/>
        </w:rPr>
        <w:t>Штохман Лілія</w:t>
      </w:r>
    </w:p>
    <w:p w14:paraId="3D98A3D3" w14:textId="51EFCE27" w:rsidR="00625A3C" w:rsidRDefault="00625A3C" w:rsidP="001A7C96">
      <w:pPr>
        <w:jc w:val="center"/>
        <w:rPr>
          <w:b/>
          <w:caps/>
          <w:sz w:val="28"/>
          <w:szCs w:val="28"/>
        </w:rPr>
      </w:pPr>
      <w:r w:rsidRPr="00A0562A">
        <w:rPr>
          <w:b/>
          <w:caps/>
          <w:sz w:val="28"/>
          <w:szCs w:val="28"/>
        </w:rPr>
        <w:t>Небесний Андрій</w:t>
      </w:r>
    </w:p>
    <w:p w14:paraId="04D54B33" w14:textId="77777777" w:rsidR="00FC5FDE" w:rsidRDefault="00FC5FDE" w:rsidP="00826DB4">
      <w:pPr>
        <w:jc w:val="center"/>
        <w:rPr>
          <w:b/>
          <w:caps/>
          <w:sz w:val="28"/>
          <w:szCs w:val="28"/>
        </w:rPr>
      </w:pPr>
    </w:p>
    <w:p w14:paraId="4AB418E6" w14:textId="443D7599" w:rsidR="00625A3C" w:rsidRPr="00A0562A" w:rsidRDefault="00623929" w:rsidP="00826DB4">
      <w:pPr>
        <w:jc w:val="center"/>
        <w:rPr>
          <w:b/>
          <w:caps/>
          <w:sz w:val="28"/>
          <w:szCs w:val="28"/>
        </w:rPr>
      </w:pPr>
      <w:r w:rsidRPr="00A0562A">
        <w:rPr>
          <w:b/>
          <w:caps/>
          <w:sz w:val="28"/>
          <w:szCs w:val="28"/>
        </w:rPr>
        <w:t>ЗАХІДНОУКРАЇНСЬКИЙ НАЦІОНАЛЬНИЙ УНІВЕРСИТЕТ, .</w:t>
      </w:r>
    </w:p>
    <w:p w14:paraId="0CF6B936" w14:textId="7A2C1A2D" w:rsidR="00623929" w:rsidRPr="00A0562A" w:rsidRDefault="00625A3C" w:rsidP="00826DB4">
      <w:pPr>
        <w:jc w:val="center"/>
        <w:rPr>
          <w:b/>
          <w:caps/>
          <w:sz w:val="28"/>
          <w:szCs w:val="28"/>
        </w:rPr>
      </w:pPr>
      <w:r w:rsidRPr="00A0562A">
        <w:rPr>
          <w:sz w:val="28"/>
          <w:szCs w:val="28"/>
        </w:rPr>
        <w:t xml:space="preserve">м. </w:t>
      </w:r>
      <w:r w:rsidR="00623929" w:rsidRPr="00A0562A">
        <w:rPr>
          <w:b/>
          <w:caps/>
          <w:sz w:val="28"/>
          <w:szCs w:val="28"/>
        </w:rPr>
        <w:t>тернопіль</w:t>
      </w:r>
    </w:p>
    <w:p w14:paraId="1CB6A7F4" w14:textId="77777777" w:rsidR="00625A3C" w:rsidRDefault="00625A3C" w:rsidP="00625A3C">
      <w:pPr>
        <w:spacing w:after="160" w:line="259" w:lineRule="auto"/>
        <w:jc w:val="center"/>
        <w:rPr>
          <w:b/>
          <w:caps/>
          <w:sz w:val="28"/>
          <w:szCs w:val="28"/>
        </w:rPr>
      </w:pPr>
    </w:p>
    <w:p w14:paraId="5DF50D32" w14:textId="5AC0D72A" w:rsidR="00A349C6" w:rsidRPr="00A0562A" w:rsidRDefault="001E72BB" w:rsidP="00625A3C">
      <w:pPr>
        <w:spacing w:after="160" w:line="259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Сучасні підходи до викладання іноземної мови</w:t>
      </w:r>
    </w:p>
    <w:p w14:paraId="0B76CBB9" w14:textId="57142324" w:rsidR="00625A3C" w:rsidRDefault="00625A3C" w:rsidP="00625A3C">
      <w:pPr>
        <w:ind w:firstLine="708"/>
        <w:jc w:val="both"/>
        <w:rPr>
          <w:sz w:val="28"/>
          <w:szCs w:val="28"/>
        </w:rPr>
      </w:pPr>
      <w:r w:rsidRPr="00625A3C">
        <w:rPr>
          <w:sz w:val="28"/>
          <w:szCs w:val="28"/>
        </w:rPr>
        <w:t xml:space="preserve">У становленні сучасного конкурентоздатного фахівця зростає необхідність вивчення іноземної мови з орієнтацією на її практичне застосування у побутовому, діловому, професійному спілкуванні. Розуміння іноземної мови як засобу міжнародного спілкування стимулює пошук нових підходів в організації процесу навчання іноземних мов, який забезпечуватиме пізнання студентами нової культури. </w:t>
      </w:r>
      <w:r w:rsidRPr="00AE5355">
        <w:rPr>
          <w:sz w:val="28"/>
          <w:szCs w:val="28"/>
        </w:rPr>
        <w:t>Зростання освітнього, виховного й розвивального значень іноземних мов у житті суспільства й кожної людини, а також наявність багатомовного й полікультурного середовища в усіх європейських країнах продукували ідею розширення індивідуального мовного досвіду особистості.</w:t>
      </w:r>
    </w:p>
    <w:p w14:paraId="7DA2A1D8" w14:textId="6EA3B1A4" w:rsidR="000A73DD" w:rsidRDefault="00826DB4" w:rsidP="00625A3C">
      <w:pPr>
        <w:ind w:firstLine="708"/>
        <w:jc w:val="both"/>
        <w:rPr>
          <w:noProof/>
          <w:sz w:val="28"/>
          <w:szCs w:val="28"/>
        </w:rPr>
      </w:pPr>
      <w:r w:rsidRPr="00826DB4">
        <w:rPr>
          <w:noProof/>
          <w:sz w:val="28"/>
          <w:szCs w:val="28"/>
        </w:rPr>
        <w:t>Викладання англійської мови пройшло через радикальні зміни акценту.</w:t>
      </w:r>
      <w:r>
        <w:rPr>
          <w:noProof/>
          <w:sz w:val="28"/>
          <w:szCs w:val="28"/>
        </w:rPr>
        <w:t xml:space="preserve"> </w:t>
      </w:r>
      <w:r w:rsidRPr="00826DB4">
        <w:rPr>
          <w:sz w:val="28"/>
          <w:szCs w:val="28"/>
        </w:rPr>
        <w:t xml:space="preserve">У 60-70 рр. XX cт. </w:t>
      </w:r>
      <w:r w:rsidR="000A73DD">
        <w:rPr>
          <w:sz w:val="28"/>
          <w:szCs w:val="28"/>
        </w:rPr>
        <w:t xml:space="preserve">було </w:t>
      </w:r>
      <w:r w:rsidRPr="00826DB4">
        <w:rPr>
          <w:sz w:val="28"/>
          <w:szCs w:val="28"/>
        </w:rPr>
        <w:t>розроблено гуманістичний підхід до навчання, зорієнтований на особу учня, його інтереси, потреби і можливості, на способи навчання, які відповідають індивідуальним особливостям.</w:t>
      </w:r>
      <w:r w:rsidR="000A73DD">
        <w:rPr>
          <w:sz w:val="28"/>
          <w:szCs w:val="28"/>
        </w:rPr>
        <w:t xml:space="preserve"> </w:t>
      </w:r>
      <w:r w:rsidR="000A73DD" w:rsidRPr="000A73DD">
        <w:rPr>
          <w:sz w:val="28"/>
          <w:szCs w:val="28"/>
        </w:rPr>
        <w:t xml:space="preserve">Для нього характерна переорієнтація усього процесу навчання з особи викладача і методів викладання на особу учня і способи навчання </w:t>
      </w:r>
      <w:r w:rsidR="000A73DD" w:rsidRPr="00CA2FDE">
        <w:rPr>
          <w:sz w:val="28"/>
          <w:szCs w:val="28"/>
        </w:rPr>
        <w:t>[</w:t>
      </w:r>
      <w:r w:rsidR="00AE5355">
        <w:rPr>
          <w:sz w:val="28"/>
          <w:szCs w:val="28"/>
          <w:lang w:val="ru-RU"/>
        </w:rPr>
        <w:t>3</w:t>
      </w:r>
      <w:r w:rsidR="00CA2FDE" w:rsidRPr="00CA2FDE">
        <w:rPr>
          <w:sz w:val="28"/>
          <w:szCs w:val="28"/>
          <w:lang w:val="ru-RU"/>
        </w:rPr>
        <w:t xml:space="preserve">, </w:t>
      </w:r>
      <w:r w:rsidR="00CA2FDE">
        <w:rPr>
          <w:sz w:val="28"/>
          <w:szCs w:val="28"/>
        </w:rPr>
        <w:t>с.25</w:t>
      </w:r>
      <w:r w:rsidR="000A73DD" w:rsidRPr="00CA2FDE">
        <w:rPr>
          <w:sz w:val="28"/>
          <w:szCs w:val="28"/>
        </w:rPr>
        <w:t>]</w:t>
      </w:r>
      <w:r w:rsidR="000A73DD" w:rsidRPr="000A73DD">
        <w:rPr>
          <w:sz w:val="28"/>
          <w:szCs w:val="28"/>
        </w:rPr>
        <w:t>. Гуманістичний підхід сприяв появі ряду нових, нетрадиційних методів навчання чи оволодіння іноземною мовою.</w:t>
      </w:r>
      <w:r w:rsidR="000A73DD" w:rsidRPr="000A73DD">
        <w:rPr>
          <w:noProof/>
          <w:sz w:val="28"/>
          <w:szCs w:val="28"/>
        </w:rPr>
        <w:t xml:space="preserve"> </w:t>
      </w:r>
    </w:p>
    <w:p w14:paraId="03FB29F4" w14:textId="5B751965" w:rsidR="002C4C7B" w:rsidRPr="00AE5355" w:rsidRDefault="002C4C7B" w:rsidP="00AE5355">
      <w:pPr>
        <w:ind w:firstLine="709"/>
        <w:jc w:val="both"/>
        <w:rPr>
          <w:sz w:val="28"/>
          <w:szCs w:val="28"/>
        </w:rPr>
      </w:pPr>
      <w:r w:rsidRPr="00AE5355">
        <w:rPr>
          <w:sz w:val="28"/>
          <w:szCs w:val="28"/>
        </w:rPr>
        <w:t>Проблема вибору ефективного підходу при вивченні іноземних мов стає актуальною саме тепер, що знайшло своє відображення у працях як вітчизняних, так і зарубіжних вчених. Питанню методик викладання іноземної мови у своїх працях приділяють увагу М. Яременко,, Т. Рудницька, С. Сошенко, Б. Коломієць, С. Гапонова, І. Матвіїв, В. Терещук, О. Тумак та інші</w:t>
      </w:r>
      <w:r w:rsidR="00AE5355">
        <w:rPr>
          <w:sz w:val="28"/>
          <w:szCs w:val="28"/>
        </w:rPr>
        <w:t xml:space="preserve"> </w:t>
      </w:r>
      <w:r w:rsidR="00AE5355" w:rsidRPr="00AE5355">
        <w:rPr>
          <w:sz w:val="28"/>
          <w:szCs w:val="28"/>
        </w:rPr>
        <w:t>[</w:t>
      </w:r>
      <w:r w:rsidR="00AE5355" w:rsidRPr="00B4178A">
        <w:rPr>
          <w:sz w:val="28"/>
          <w:szCs w:val="28"/>
        </w:rPr>
        <w:t>2;3;</w:t>
      </w:r>
      <w:r w:rsidR="00B4178A" w:rsidRPr="00B4178A">
        <w:rPr>
          <w:sz w:val="28"/>
          <w:szCs w:val="28"/>
        </w:rPr>
        <w:t>6</w:t>
      </w:r>
      <w:r w:rsidR="00AE5355" w:rsidRPr="00AE5355">
        <w:rPr>
          <w:sz w:val="28"/>
          <w:szCs w:val="28"/>
        </w:rPr>
        <w:t>]</w:t>
      </w:r>
      <w:r w:rsidRPr="00AE5355">
        <w:rPr>
          <w:sz w:val="28"/>
          <w:szCs w:val="28"/>
        </w:rPr>
        <w:t>.</w:t>
      </w:r>
    </w:p>
    <w:p w14:paraId="56A70335" w14:textId="79BE5B12" w:rsidR="00123D99" w:rsidRDefault="00AE5355" w:rsidP="00FC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23D99" w:rsidRPr="00123D99">
        <w:rPr>
          <w:sz w:val="28"/>
          <w:szCs w:val="28"/>
        </w:rPr>
        <w:t>ому викладачі, розуміючи виклики сучасного світу, обирають методику, орієнтовану передусім на потреби студента. Метод про</w:t>
      </w:r>
      <w:r w:rsidR="00123D99">
        <w:rPr>
          <w:sz w:val="28"/>
          <w:szCs w:val="28"/>
        </w:rPr>
        <w:t>є</w:t>
      </w:r>
      <w:r w:rsidR="00123D99" w:rsidRPr="00123D99">
        <w:rPr>
          <w:sz w:val="28"/>
          <w:szCs w:val="28"/>
        </w:rPr>
        <w:t>ктів (</w:t>
      </w:r>
      <w:r w:rsidR="00123D99" w:rsidRPr="00123D99">
        <w:rPr>
          <w:sz w:val="28"/>
          <w:szCs w:val="28"/>
          <w:lang w:val="en-US"/>
        </w:rPr>
        <w:t>PBL</w:t>
      </w:r>
      <w:r w:rsidR="00123D99" w:rsidRPr="00123D99">
        <w:rPr>
          <w:sz w:val="28"/>
          <w:szCs w:val="28"/>
        </w:rPr>
        <w:t>) бул</w:t>
      </w:r>
      <w:r w:rsidR="00123D99">
        <w:rPr>
          <w:sz w:val="28"/>
          <w:szCs w:val="28"/>
        </w:rPr>
        <w:t>о</w:t>
      </w:r>
      <w:r w:rsidR="00123D99" w:rsidRPr="00123D99">
        <w:rPr>
          <w:sz w:val="28"/>
          <w:szCs w:val="28"/>
        </w:rPr>
        <w:t xml:space="preserve"> створен</w:t>
      </w:r>
      <w:r w:rsidR="00123D99">
        <w:rPr>
          <w:sz w:val="28"/>
          <w:szCs w:val="28"/>
        </w:rPr>
        <w:t>о</w:t>
      </w:r>
      <w:r w:rsidR="00123D99" w:rsidRPr="00123D99">
        <w:rPr>
          <w:sz w:val="28"/>
          <w:szCs w:val="28"/>
        </w:rPr>
        <w:t xml:space="preserve"> для реалізації концепції навчальної ігрової діяльності за професійною спрямованістю, що дозволяє задіяти елементи проблемності, дискусійності, конструювання та сприя</w:t>
      </w:r>
      <w:r w:rsidR="00123D99">
        <w:rPr>
          <w:sz w:val="28"/>
          <w:szCs w:val="28"/>
        </w:rPr>
        <w:t xml:space="preserve">є </w:t>
      </w:r>
      <w:r w:rsidR="00123D99" w:rsidRPr="00123D99">
        <w:rPr>
          <w:sz w:val="28"/>
          <w:szCs w:val="28"/>
        </w:rPr>
        <w:t>розвитку інтегр</w:t>
      </w:r>
      <w:r w:rsidR="00123D99">
        <w:rPr>
          <w:sz w:val="28"/>
          <w:szCs w:val="28"/>
        </w:rPr>
        <w:t>аційного</w:t>
      </w:r>
      <w:r w:rsidR="00123D99" w:rsidRPr="00123D99">
        <w:rPr>
          <w:sz w:val="28"/>
          <w:szCs w:val="28"/>
        </w:rPr>
        <w:t xml:space="preserve"> мислення, здатності творчо і самостійно мислити, прогнозувати варіанти вирішення завдання [</w:t>
      </w:r>
      <w:r w:rsidR="00B4178A" w:rsidRPr="00B4178A">
        <w:rPr>
          <w:sz w:val="28"/>
          <w:szCs w:val="28"/>
        </w:rPr>
        <w:t>2</w:t>
      </w:r>
      <w:r w:rsidR="00CA2FDE">
        <w:rPr>
          <w:sz w:val="28"/>
          <w:szCs w:val="28"/>
        </w:rPr>
        <w:t>,с.139</w:t>
      </w:r>
      <w:r w:rsidR="00123D99" w:rsidRPr="00123D99">
        <w:rPr>
          <w:sz w:val="28"/>
          <w:szCs w:val="28"/>
        </w:rPr>
        <w:t>].</w:t>
      </w:r>
    </w:p>
    <w:p w14:paraId="6CF820AD" w14:textId="1A17875E" w:rsidR="007558BA" w:rsidRPr="007558BA" w:rsidRDefault="007558BA" w:rsidP="007558BA">
      <w:pPr>
        <w:ind w:firstLine="425"/>
        <w:jc w:val="both"/>
        <w:rPr>
          <w:sz w:val="28"/>
          <w:szCs w:val="28"/>
        </w:rPr>
      </w:pPr>
      <w:r w:rsidRPr="007558BA">
        <w:rPr>
          <w:sz w:val="28"/>
          <w:szCs w:val="28"/>
        </w:rPr>
        <w:t>Британський педагог Д. Петрі (</w:t>
      </w:r>
      <w:r w:rsidRPr="007558BA">
        <w:rPr>
          <w:sz w:val="28"/>
          <w:szCs w:val="28"/>
          <w:lang w:val="en-US"/>
        </w:rPr>
        <w:t>Petrie</w:t>
      </w:r>
      <w:r w:rsidRPr="007558BA">
        <w:rPr>
          <w:sz w:val="28"/>
          <w:szCs w:val="28"/>
        </w:rPr>
        <w:t>) у своїй праці «</w:t>
      </w:r>
      <w:r w:rsidRPr="00FC56A8">
        <w:rPr>
          <w:sz w:val="28"/>
          <w:szCs w:val="28"/>
          <w:lang w:val="en-US"/>
        </w:rPr>
        <w:t>Space</w:t>
      </w:r>
      <w:r w:rsidRPr="007558BA">
        <w:rPr>
          <w:sz w:val="28"/>
          <w:szCs w:val="28"/>
        </w:rPr>
        <w:t xml:space="preserve"> </w:t>
      </w:r>
      <w:r w:rsidRPr="00FC56A8">
        <w:rPr>
          <w:sz w:val="28"/>
          <w:szCs w:val="28"/>
          <w:lang w:val="en-US"/>
        </w:rPr>
        <w:t>for</w:t>
      </w:r>
      <w:r w:rsidRPr="007558BA">
        <w:rPr>
          <w:sz w:val="28"/>
          <w:szCs w:val="28"/>
        </w:rPr>
        <w:t xml:space="preserve"> </w:t>
      </w:r>
      <w:r w:rsidRPr="00FC56A8">
        <w:rPr>
          <w:sz w:val="28"/>
          <w:szCs w:val="28"/>
          <w:lang w:val="en-US"/>
        </w:rPr>
        <w:t>spontaneity</w:t>
      </w:r>
      <w:r w:rsidRPr="007558BA">
        <w:rPr>
          <w:noProof/>
          <w:sz w:val="28"/>
          <w:szCs w:val="28"/>
        </w:rPr>
        <w:t xml:space="preserve">» </w:t>
      </w:r>
      <w:r>
        <w:rPr>
          <w:noProof/>
          <w:sz w:val="28"/>
          <w:szCs w:val="28"/>
        </w:rPr>
        <w:t xml:space="preserve">зазначає, </w:t>
      </w:r>
      <w:r w:rsidRPr="007558BA">
        <w:rPr>
          <w:noProof/>
          <w:sz w:val="28"/>
          <w:szCs w:val="28"/>
        </w:rPr>
        <w:t xml:space="preserve">що </w:t>
      </w:r>
      <w:r w:rsidRPr="007558B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такій </w:t>
      </w:r>
      <w:r w:rsidRPr="007558BA">
        <w:rPr>
          <w:sz w:val="28"/>
          <w:szCs w:val="28"/>
        </w:rPr>
        <w:t xml:space="preserve">практиці центральна увага приділяється виконанню завдань на відміну від вивчення граматичних чи лексичних тем, а цілями є не «вивчити структуру», а «виконати завдання». Для успішного досягнення цієї мети передбачається опанування студентами певного граматичного та лексичного матеріалу, щоб комунікувати свої ідеї. Мова в такому випадку стає </w:t>
      </w:r>
      <w:r w:rsidRPr="007558BA">
        <w:rPr>
          <w:sz w:val="28"/>
          <w:szCs w:val="28"/>
        </w:rPr>
        <w:lastRenderedPageBreak/>
        <w:t>не метою, а засобом виконання поставленого завдання. Саме від них залежить вибір мовних конструкцій з метою досягнення поставленої цілі – не існує правильного чи неправильного набору лексики чи граматики для цього. Студенти приймають власне рішення щодо способу виконання завдання та мови, яка для цього підходить</w:t>
      </w:r>
      <w:r w:rsidR="000F4862">
        <w:rPr>
          <w:sz w:val="28"/>
          <w:szCs w:val="28"/>
        </w:rPr>
        <w:t>.</w:t>
      </w:r>
    </w:p>
    <w:p w14:paraId="7B5E8D4E" w14:textId="468083B4" w:rsidR="00345946" w:rsidRPr="000F4862" w:rsidRDefault="00345946" w:rsidP="000F4862">
      <w:pPr>
        <w:ind w:firstLine="709"/>
        <w:jc w:val="both"/>
        <w:rPr>
          <w:sz w:val="28"/>
          <w:szCs w:val="28"/>
        </w:rPr>
      </w:pPr>
      <w:r w:rsidRPr="000F4862">
        <w:rPr>
          <w:sz w:val="28"/>
          <w:szCs w:val="28"/>
        </w:rPr>
        <w:t xml:space="preserve">Перевагою </w:t>
      </w:r>
      <w:r w:rsidR="000F4862" w:rsidRPr="000F4862">
        <w:rPr>
          <w:sz w:val="28"/>
          <w:szCs w:val="28"/>
        </w:rPr>
        <w:t>Р</w:t>
      </w:r>
      <w:r w:rsidRPr="000F4862">
        <w:rPr>
          <w:sz w:val="28"/>
          <w:szCs w:val="28"/>
          <w:lang w:val="en-US"/>
        </w:rPr>
        <w:t>BL</w:t>
      </w:r>
      <w:r w:rsidRPr="000F4862">
        <w:rPr>
          <w:sz w:val="28"/>
          <w:szCs w:val="28"/>
          <w:lang w:val="ru-RU"/>
        </w:rPr>
        <w:t xml:space="preserve"> </w:t>
      </w:r>
      <w:r w:rsidRPr="000F4862">
        <w:rPr>
          <w:sz w:val="28"/>
          <w:szCs w:val="28"/>
        </w:rPr>
        <w:t>перед традиційними методами Петрі називає те, що він дозволяє студентам зосередитись на реальному спілкуванні, а аналіз самого їх мовлення провести  дещо пізніше. Такий спосіб навчання поміщає студентів в автентичні мовні ситуації і дозволяє їм використовувати всі свої мовленнєві ресурси, щоб впоратись із ними. Він дозволяє студентам зрозуміти, яку інформацію їм необхідно повторити, яку опанувати. Завдяки цьому вони самостійно бачать і розуміють свої потреби, що заохочує їх до відповідальності за власне навчання. Педагог наголошує, що важливим є те, що всі вони отримують однаковий комунікативний досвід та інформацію про власні потреби у вивченні мови [</w:t>
      </w:r>
      <w:r w:rsidR="00B4178A" w:rsidRPr="00B4178A">
        <w:rPr>
          <w:sz w:val="28"/>
          <w:szCs w:val="28"/>
        </w:rPr>
        <w:t>4</w:t>
      </w:r>
      <w:r w:rsidRPr="000F4862">
        <w:rPr>
          <w:sz w:val="28"/>
          <w:szCs w:val="28"/>
        </w:rPr>
        <w:t xml:space="preserve">]. </w:t>
      </w:r>
    </w:p>
    <w:p w14:paraId="2EDDB600" w14:textId="05272CDD" w:rsidR="00345946" w:rsidRPr="00584C3D" w:rsidRDefault="00345946" w:rsidP="00584C3D">
      <w:pPr>
        <w:ind w:firstLine="708"/>
        <w:jc w:val="both"/>
        <w:rPr>
          <w:sz w:val="28"/>
          <w:szCs w:val="28"/>
        </w:rPr>
      </w:pPr>
      <w:r w:rsidRPr="00584C3D">
        <w:rPr>
          <w:sz w:val="28"/>
          <w:szCs w:val="28"/>
          <w:lang w:val="en-US"/>
        </w:rPr>
        <w:t>PBL</w:t>
      </w:r>
      <w:r w:rsidRPr="00584C3D">
        <w:rPr>
          <w:sz w:val="28"/>
          <w:szCs w:val="28"/>
          <w:lang w:val="ru-RU"/>
        </w:rPr>
        <w:t xml:space="preserve"> – </w:t>
      </w:r>
      <w:r w:rsidRPr="00584C3D">
        <w:rPr>
          <w:sz w:val="28"/>
          <w:szCs w:val="28"/>
        </w:rPr>
        <w:t xml:space="preserve">підхід, де студентоцентричність на </w:t>
      </w:r>
      <w:r w:rsidR="00584C3D" w:rsidRPr="00584C3D">
        <w:rPr>
          <w:sz w:val="28"/>
          <w:szCs w:val="28"/>
        </w:rPr>
        <w:t>най</w:t>
      </w:r>
      <w:r w:rsidRPr="00584C3D">
        <w:rPr>
          <w:sz w:val="28"/>
          <w:szCs w:val="28"/>
        </w:rPr>
        <w:t xml:space="preserve">вищому рівні. </w:t>
      </w:r>
      <w:r w:rsidR="00584C3D" w:rsidRPr="00584C3D">
        <w:rPr>
          <w:sz w:val="28"/>
          <w:szCs w:val="28"/>
        </w:rPr>
        <w:t>У</w:t>
      </w:r>
      <w:r w:rsidRPr="00584C3D">
        <w:rPr>
          <w:sz w:val="28"/>
          <w:szCs w:val="28"/>
        </w:rPr>
        <w:t xml:space="preserve"> ньому центральним фокусом семестру чи навіть року є виконання про</w:t>
      </w:r>
      <w:r w:rsidR="00A349C6">
        <w:rPr>
          <w:sz w:val="28"/>
          <w:szCs w:val="28"/>
        </w:rPr>
        <w:t>є</w:t>
      </w:r>
      <w:r w:rsidRPr="00584C3D">
        <w:rPr>
          <w:sz w:val="28"/>
          <w:szCs w:val="28"/>
        </w:rPr>
        <w:t xml:space="preserve">кту. </w:t>
      </w:r>
      <w:r w:rsidR="00584C3D" w:rsidRPr="00584C3D">
        <w:rPr>
          <w:sz w:val="28"/>
          <w:szCs w:val="28"/>
        </w:rPr>
        <w:t>З</w:t>
      </w:r>
      <w:r w:rsidRPr="00584C3D">
        <w:rPr>
          <w:sz w:val="28"/>
          <w:szCs w:val="28"/>
        </w:rPr>
        <w:t>алежно від викладача, підхід до цієї методики може бути різним. Одні обирають її як базову для роботи протягом року, інші – приділяють їй лише певний час – на додатковому  курсі або як частину іншої методики.</w:t>
      </w:r>
    </w:p>
    <w:p w14:paraId="0A9BDD8B" w14:textId="12D3465C" w:rsidR="00345946" w:rsidRPr="00584C3D" w:rsidRDefault="00345946" w:rsidP="00584C3D">
      <w:pPr>
        <w:ind w:firstLine="709"/>
        <w:jc w:val="both"/>
        <w:rPr>
          <w:sz w:val="28"/>
          <w:szCs w:val="28"/>
        </w:rPr>
      </w:pPr>
      <w:r w:rsidRPr="00584C3D">
        <w:rPr>
          <w:sz w:val="28"/>
          <w:szCs w:val="28"/>
        </w:rPr>
        <w:t>Кетрін Білсборо зазначає, що в межах всіх занять</w:t>
      </w:r>
      <w:r w:rsidRPr="00584C3D">
        <w:rPr>
          <w:sz w:val="28"/>
          <w:szCs w:val="28"/>
          <w:lang w:val="ru-RU"/>
        </w:rPr>
        <w:t>/</w:t>
      </w:r>
      <w:r w:rsidRPr="00584C3D">
        <w:rPr>
          <w:sz w:val="28"/>
          <w:szCs w:val="28"/>
        </w:rPr>
        <w:t>курсів</w:t>
      </w:r>
      <w:r w:rsidRPr="00584C3D">
        <w:rPr>
          <w:sz w:val="28"/>
          <w:szCs w:val="28"/>
          <w:lang w:val="ru-RU"/>
        </w:rPr>
        <w:t>/</w:t>
      </w:r>
      <w:r w:rsidRPr="00584C3D">
        <w:rPr>
          <w:sz w:val="28"/>
          <w:szCs w:val="28"/>
        </w:rPr>
        <w:t>завдань, які мають на меті створення про</w:t>
      </w:r>
      <w:r w:rsidR="00A349C6">
        <w:rPr>
          <w:sz w:val="28"/>
          <w:szCs w:val="28"/>
        </w:rPr>
        <w:t>є</w:t>
      </w:r>
      <w:r w:rsidRPr="00584C3D">
        <w:rPr>
          <w:sz w:val="28"/>
          <w:szCs w:val="28"/>
        </w:rPr>
        <w:t>ктів, виділяють такі елементи:</w:t>
      </w:r>
    </w:p>
    <w:p w14:paraId="188ED22C" w14:textId="77777777" w:rsidR="00345946" w:rsidRPr="00584C3D" w:rsidRDefault="00345946" w:rsidP="00584C3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584C3D">
        <w:rPr>
          <w:sz w:val="28"/>
          <w:szCs w:val="28"/>
        </w:rPr>
        <w:t>Центральну тему, що визначає всі подальші завдання і є рушійною у досягненні кінцевих цілей.</w:t>
      </w:r>
    </w:p>
    <w:p w14:paraId="3A21B00F" w14:textId="77777777" w:rsidR="00345946" w:rsidRPr="00584C3D" w:rsidRDefault="00345946" w:rsidP="00584C3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584C3D">
        <w:rPr>
          <w:sz w:val="28"/>
          <w:szCs w:val="28"/>
        </w:rPr>
        <w:t>Доступ до засобів проведення дослідження, збору даних, аналізу та їх використання (завдяки Інтернету ця частина стала значно простішою).</w:t>
      </w:r>
    </w:p>
    <w:p w14:paraId="0239DBB6" w14:textId="20C42FF3" w:rsidR="00345946" w:rsidRPr="00584C3D" w:rsidRDefault="00345946" w:rsidP="00584C3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584C3D">
        <w:rPr>
          <w:sz w:val="28"/>
          <w:szCs w:val="28"/>
        </w:rPr>
        <w:t xml:space="preserve">Можливості для обміну ідеями, співпраці, обговорення. Взаємодія з іншими студентами є фундаментальною у </w:t>
      </w:r>
      <w:r w:rsidRPr="00584C3D">
        <w:rPr>
          <w:sz w:val="28"/>
          <w:szCs w:val="28"/>
          <w:lang w:val="en-US"/>
        </w:rPr>
        <w:t>PBL</w:t>
      </w:r>
      <w:r w:rsidRPr="00584C3D">
        <w:rPr>
          <w:sz w:val="28"/>
          <w:szCs w:val="28"/>
        </w:rPr>
        <w:t xml:space="preserve"> </w:t>
      </w:r>
      <w:r w:rsidRPr="00584C3D">
        <w:rPr>
          <w:sz w:val="28"/>
          <w:szCs w:val="28"/>
          <w:lang w:val="ru-RU"/>
        </w:rPr>
        <w:t>[</w:t>
      </w:r>
      <w:r w:rsidRPr="00584C3D">
        <w:rPr>
          <w:sz w:val="28"/>
          <w:szCs w:val="28"/>
        </w:rPr>
        <w:t>1</w:t>
      </w:r>
      <w:r w:rsidRPr="00584C3D">
        <w:rPr>
          <w:sz w:val="28"/>
          <w:szCs w:val="28"/>
          <w:lang w:val="ru-RU"/>
        </w:rPr>
        <w:t>]</w:t>
      </w:r>
      <w:r w:rsidRPr="00584C3D">
        <w:rPr>
          <w:sz w:val="28"/>
          <w:szCs w:val="28"/>
        </w:rPr>
        <w:t>.</w:t>
      </w:r>
    </w:p>
    <w:p w14:paraId="00AE8EE4" w14:textId="0CC08C70" w:rsidR="00345946" w:rsidRPr="00B6606C" w:rsidRDefault="00B6606C" w:rsidP="00B6606C">
      <w:pPr>
        <w:ind w:firstLine="851"/>
        <w:jc w:val="both"/>
        <w:rPr>
          <w:noProof/>
          <w:color w:val="000000"/>
          <w:sz w:val="28"/>
          <w:szCs w:val="28"/>
        </w:rPr>
      </w:pPr>
      <w:r w:rsidRPr="00B6606C">
        <w:rPr>
          <w:sz w:val="28"/>
          <w:szCs w:val="28"/>
        </w:rPr>
        <w:t>С</w:t>
      </w:r>
      <w:r w:rsidR="00345946" w:rsidRPr="00B6606C">
        <w:rPr>
          <w:sz w:val="28"/>
          <w:szCs w:val="28"/>
        </w:rPr>
        <w:t>тудента</w:t>
      </w:r>
      <w:r w:rsidRPr="00B6606C">
        <w:rPr>
          <w:sz w:val="28"/>
          <w:szCs w:val="28"/>
        </w:rPr>
        <w:t>м</w:t>
      </w:r>
      <w:r w:rsidR="00345946" w:rsidRPr="00B6606C">
        <w:rPr>
          <w:sz w:val="28"/>
          <w:szCs w:val="28"/>
        </w:rPr>
        <w:t xml:space="preserve"> дається повна свобода для вирішення питання чи обміну інформацією так, як їм це необхідно. Роль викладача – моніторити та бути посередником, який встановлює рамки виконання завдань та допомагає із вибором мовних засобів, коли це необхідно, та забезпечує студентам можливості  представлення кінцевого продукту чи презентації. </w:t>
      </w:r>
      <w:r w:rsidRPr="00B6606C">
        <w:rPr>
          <w:sz w:val="28"/>
          <w:szCs w:val="28"/>
        </w:rPr>
        <w:t>В</w:t>
      </w:r>
      <w:r w:rsidR="00345946" w:rsidRPr="00B6606C">
        <w:rPr>
          <w:noProof/>
          <w:color w:val="000000"/>
          <w:sz w:val="28"/>
          <w:szCs w:val="28"/>
        </w:rPr>
        <w:t>икладач моніторить співпрацю, але не втручається у саму роботу.</w:t>
      </w:r>
    </w:p>
    <w:p w14:paraId="7E1B414B" w14:textId="60CBB3F2" w:rsidR="00C65F9E" w:rsidRPr="00C65F9E" w:rsidRDefault="00C65F9E" w:rsidP="00C65F9E">
      <w:pPr>
        <w:ind w:firstLine="708"/>
        <w:jc w:val="both"/>
        <w:rPr>
          <w:noProof/>
          <w:color w:val="000000"/>
          <w:sz w:val="28"/>
          <w:szCs w:val="28"/>
        </w:rPr>
      </w:pPr>
      <w:r w:rsidRPr="00C65F9E">
        <w:rPr>
          <w:noProof/>
          <w:color w:val="000000"/>
          <w:sz w:val="28"/>
          <w:szCs w:val="28"/>
        </w:rPr>
        <w:t>Переваги такої діяльності очевидні, адже саме завдяки роботі над про</w:t>
      </w:r>
      <w:r w:rsidR="00A349C6">
        <w:rPr>
          <w:noProof/>
          <w:color w:val="000000"/>
          <w:sz w:val="28"/>
          <w:szCs w:val="28"/>
        </w:rPr>
        <w:t>є</w:t>
      </w:r>
      <w:r w:rsidRPr="00C65F9E">
        <w:rPr>
          <w:noProof/>
          <w:color w:val="000000"/>
          <w:sz w:val="28"/>
          <w:szCs w:val="28"/>
        </w:rPr>
        <w:t xml:space="preserve">ктами в навчальне середовище можуть залучатися автентичні задачі з реального життя. Американський педагог </w:t>
      </w:r>
      <w:r w:rsidR="00B4178A">
        <w:rPr>
          <w:noProof/>
          <w:color w:val="000000"/>
          <w:sz w:val="28"/>
          <w:szCs w:val="28"/>
        </w:rPr>
        <w:t>Джон</w:t>
      </w:r>
      <w:r w:rsidRPr="00C65F9E">
        <w:rPr>
          <w:noProof/>
          <w:color w:val="000000"/>
          <w:sz w:val="28"/>
          <w:szCs w:val="28"/>
        </w:rPr>
        <w:t xml:space="preserve"> Д</w:t>
      </w:r>
      <w:r w:rsidR="00B4178A" w:rsidRPr="00B4178A">
        <w:rPr>
          <w:noProof/>
          <w:color w:val="000000"/>
          <w:sz w:val="28"/>
          <w:szCs w:val="28"/>
          <w:lang w:val="ru-RU"/>
        </w:rPr>
        <w:t>’</w:t>
      </w:r>
      <w:r w:rsidR="00B4178A">
        <w:rPr>
          <w:noProof/>
          <w:color w:val="000000"/>
          <w:sz w:val="28"/>
          <w:szCs w:val="28"/>
        </w:rPr>
        <w:t>юі</w:t>
      </w:r>
      <w:r w:rsidRPr="00C65F9E">
        <w:rPr>
          <w:noProof/>
          <w:color w:val="000000"/>
          <w:sz w:val="28"/>
          <w:szCs w:val="28"/>
        </w:rPr>
        <w:t xml:space="preserve"> (</w:t>
      </w:r>
      <w:r w:rsidRPr="00C65F9E">
        <w:rPr>
          <w:noProof/>
          <w:color w:val="000000"/>
          <w:sz w:val="28"/>
          <w:szCs w:val="28"/>
          <w:lang w:val="en-US"/>
        </w:rPr>
        <w:t>Dewey</w:t>
      </w:r>
      <w:r w:rsidRPr="00C65F9E">
        <w:rPr>
          <w:noProof/>
          <w:color w:val="000000"/>
          <w:sz w:val="28"/>
          <w:szCs w:val="28"/>
        </w:rPr>
        <w:t>) писав, що «освіта не є підготовкою до життя, а є самим життям». Таким чином, така робота дозволяє «самому життю» визначати діяльність на заняттях і забезпечує сотні можливостей для навчання</w:t>
      </w:r>
      <w:r w:rsidR="00B4178A">
        <w:rPr>
          <w:noProof/>
          <w:color w:val="000000"/>
          <w:sz w:val="28"/>
          <w:szCs w:val="28"/>
        </w:rPr>
        <w:t xml:space="preserve"> </w:t>
      </w:r>
      <w:r w:rsidR="00B4178A" w:rsidRPr="00E36FE0">
        <w:rPr>
          <w:noProof/>
          <w:color w:val="000000"/>
          <w:sz w:val="28"/>
          <w:szCs w:val="28"/>
        </w:rPr>
        <w:t>[</w:t>
      </w:r>
      <w:r w:rsidR="00E36FE0">
        <w:rPr>
          <w:noProof/>
          <w:color w:val="000000"/>
          <w:sz w:val="28"/>
          <w:szCs w:val="28"/>
        </w:rPr>
        <w:t>там само</w:t>
      </w:r>
      <w:r w:rsidR="00B4178A" w:rsidRPr="00E36FE0">
        <w:rPr>
          <w:noProof/>
          <w:color w:val="000000"/>
          <w:sz w:val="28"/>
          <w:szCs w:val="28"/>
        </w:rPr>
        <w:t>]</w:t>
      </w:r>
      <w:r w:rsidRPr="00C65F9E">
        <w:rPr>
          <w:noProof/>
          <w:color w:val="000000"/>
          <w:sz w:val="28"/>
          <w:szCs w:val="28"/>
        </w:rPr>
        <w:t>. Крім елементу розваги виконання про</w:t>
      </w:r>
      <w:r w:rsidR="00A349C6">
        <w:rPr>
          <w:noProof/>
          <w:color w:val="000000"/>
          <w:sz w:val="28"/>
          <w:szCs w:val="28"/>
        </w:rPr>
        <w:t>є</w:t>
      </w:r>
      <w:r w:rsidRPr="00C65F9E">
        <w:rPr>
          <w:noProof/>
          <w:color w:val="000000"/>
          <w:sz w:val="28"/>
          <w:szCs w:val="28"/>
        </w:rPr>
        <w:t xml:space="preserve">ктів дає змогу студентам випробувати себе в реальних комунікативних ситуаціях (аналіз, прийняття рішень, делегування, виправлення, відмова, погодження) і часто вимагає мультидисциплінарних </w:t>
      </w:r>
      <w:r w:rsidRPr="00C65F9E">
        <w:rPr>
          <w:noProof/>
          <w:color w:val="000000"/>
          <w:sz w:val="28"/>
          <w:szCs w:val="28"/>
        </w:rPr>
        <w:lastRenderedPageBreak/>
        <w:t>навичків з інших сфер. Тобто така робота дозволяє розвивати вищі рівні розумової діяльності, за Блумом, аніж просте вивчення лексики та структур.</w:t>
      </w:r>
    </w:p>
    <w:p w14:paraId="01D5B8B1" w14:textId="20915349" w:rsidR="00B6606C" w:rsidRPr="00325877" w:rsidRDefault="00345946" w:rsidP="00325877">
      <w:pPr>
        <w:ind w:firstLine="851"/>
        <w:jc w:val="both"/>
        <w:rPr>
          <w:sz w:val="28"/>
          <w:szCs w:val="28"/>
        </w:rPr>
      </w:pPr>
      <w:r w:rsidRPr="00C65F9E">
        <w:rPr>
          <w:b/>
          <w:sz w:val="28"/>
          <w:szCs w:val="28"/>
        </w:rPr>
        <w:t>Висновки</w:t>
      </w:r>
      <w:r w:rsidR="00C65F9E" w:rsidRPr="00C65F9E">
        <w:rPr>
          <w:b/>
          <w:sz w:val="28"/>
          <w:szCs w:val="28"/>
        </w:rPr>
        <w:t xml:space="preserve">. </w:t>
      </w:r>
      <w:r w:rsidR="00C65F9E" w:rsidRPr="00C65F9E">
        <w:rPr>
          <w:bCs/>
          <w:sz w:val="28"/>
          <w:szCs w:val="28"/>
        </w:rPr>
        <w:t>Отож, м</w:t>
      </w:r>
      <w:r w:rsidR="00B6606C" w:rsidRPr="00C65F9E">
        <w:rPr>
          <w:bCs/>
          <w:sz w:val="28"/>
          <w:szCs w:val="28"/>
        </w:rPr>
        <w:t>етод</w:t>
      </w:r>
      <w:r w:rsidR="00B6606C" w:rsidRPr="00C65F9E">
        <w:rPr>
          <w:sz w:val="28"/>
          <w:szCs w:val="28"/>
        </w:rPr>
        <w:t xml:space="preserve"> проєктів демонстру</w:t>
      </w:r>
      <w:r w:rsidR="00C65F9E" w:rsidRPr="00C65F9E">
        <w:rPr>
          <w:sz w:val="28"/>
          <w:szCs w:val="28"/>
        </w:rPr>
        <w:t>є</w:t>
      </w:r>
      <w:r w:rsidR="00B6606C" w:rsidRPr="00C65F9E">
        <w:rPr>
          <w:sz w:val="28"/>
          <w:szCs w:val="28"/>
        </w:rPr>
        <w:t xml:space="preserve"> свою ефективність у формуванні не лише академіч</w:t>
      </w:r>
      <w:r w:rsidR="00B6606C">
        <w:rPr>
          <w:sz w:val="28"/>
          <w:szCs w:val="28"/>
        </w:rPr>
        <w:t xml:space="preserve">них знань, а й практичних навичок, необхідних у сучасному світі. </w:t>
      </w:r>
      <w:r w:rsidR="00C65F9E" w:rsidRPr="00325877">
        <w:rPr>
          <w:noProof/>
          <w:color w:val="000000"/>
          <w:sz w:val="28"/>
          <w:szCs w:val="28"/>
        </w:rPr>
        <w:t xml:space="preserve">Мова в його межах розглядається як засіб виконання завдань, а не як набір ізольованих граматичних чи лексичних тем для вивчення. Вони дають безмежні можливості для комунікації в автентичному контексті та свободу використання мовних ресурсів і разом з тим – інформацію про прогалини у володінні мовою. </w:t>
      </w:r>
      <w:r w:rsidR="00325877" w:rsidRPr="00325877">
        <w:rPr>
          <w:noProof/>
          <w:color w:val="000000"/>
          <w:sz w:val="28"/>
          <w:szCs w:val="28"/>
        </w:rPr>
        <w:t>На сучасному етапі ц</w:t>
      </w:r>
      <w:r w:rsidR="00325877" w:rsidRPr="00325877">
        <w:rPr>
          <w:sz w:val="28"/>
          <w:szCs w:val="28"/>
        </w:rPr>
        <w:t>ей метод</w:t>
      </w:r>
      <w:r w:rsidR="00B6606C" w:rsidRPr="00325877">
        <w:rPr>
          <w:sz w:val="28"/>
          <w:szCs w:val="28"/>
        </w:rPr>
        <w:t xml:space="preserve"> залишається актуальним і продовжує розвиватися, зокрема у сфері мовної освіти, що робить його важливим інструментом у формуванні мовних компетенцій учасників педагогічної взаємодії.</w:t>
      </w:r>
    </w:p>
    <w:p w14:paraId="43AC7608" w14:textId="34B97861" w:rsidR="00345946" w:rsidRPr="008F3B32" w:rsidRDefault="00345946" w:rsidP="00345946">
      <w:pPr>
        <w:spacing w:line="360" w:lineRule="auto"/>
        <w:ind w:firstLine="708"/>
        <w:jc w:val="both"/>
        <w:rPr>
          <w:noProof/>
          <w:color w:val="000000"/>
          <w:szCs w:val="28"/>
        </w:rPr>
      </w:pPr>
    </w:p>
    <w:p w14:paraId="1C51F11E" w14:textId="77777777" w:rsidR="00FC56A8" w:rsidRPr="00FC56A8" w:rsidRDefault="00FC56A8" w:rsidP="00FC56A8">
      <w:pPr>
        <w:jc w:val="center"/>
        <w:rPr>
          <w:b/>
          <w:i/>
          <w:sz w:val="28"/>
          <w:szCs w:val="28"/>
        </w:rPr>
      </w:pPr>
      <w:r w:rsidRPr="00FC56A8">
        <w:rPr>
          <w:b/>
          <w:sz w:val="28"/>
          <w:szCs w:val="28"/>
        </w:rPr>
        <w:t>Список літератури:</w:t>
      </w:r>
    </w:p>
    <w:p w14:paraId="0E9BC5AC" w14:textId="3BC84778" w:rsidR="00FC56A8" w:rsidRPr="00FC56A8" w:rsidRDefault="00FC56A8" w:rsidP="00FC56A8">
      <w:pPr>
        <w:pStyle w:val="a9"/>
        <w:numPr>
          <w:ilvl w:val="0"/>
          <w:numId w:val="1"/>
        </w:numPr>
        <w:ind w:left="284"/>
        <w:jc w:val="both"/>
        <w:rPr>
          <w:color w:val="0000FF"/>
          <w:sz w:val="28"/>
          <w:szCs w:val="28"/>
          <w:u w:val="single"/>
        </w:rPr>
      </w:pPr>
      <w:r w:rsidRPr="00FC56A8">
        <w:rPr>
          <w:rStyle w:val="ae"/>
          <w:rFonts w:eastAsiaTheme="majorEastAsia"/>
          <w:b w:val="0"/>
          <w:bCs w:val="0"/>
          <w:noProof/>
          <w:color w:val="000000"/>
          <w:sz w:val="28"/>
          <w:szCs w:val="28"/>
          <w:lang w:val="en-US"/>
        </w:rPr>
        <w:t xml:space="preserve">Bilsborough K. TBL and PBL: two learner-centered approaches </w:t>
      </w:r>
      <w:r w:rsidRPr="00FC56A8">
        <w:rPr>
          <w:b/>
          <w:bCs/>
          <w:sz w:val="28"/>
          <w:szCs w:val="28"/>
          <w:lang w:val="en-US"/>
        </w:rPr>
        <w:t>URL</w:t>
      </w:r>
      <w:r w:rsidRPr="00FC56A8">
        <w:rPr>
          <w:sz w:val="28"/>
          <w:szCs w:val="28"/>
        </w:rPr>
        <w:t xml:space="preserve">: </w:t>
      </w:r>
      <w:hyperlink r:id="rId5" w:history="1">
        <w:r w:rsidRPr="00FC56A8">
          <w:rPr>
            <w:rStyle w:val="af"/>
            <w:rFonts w:eastAsiaTheme="majorEastAsia"/>
            <w:sz w:val="28"/>
            <w:szCs w:val="28"/>
          </w:rPr>
          <w:t>https://www.teachingenglish.org.uk/article/tbl-pbl-two-learner-centred-approaches</w:t>
        </w:r>
      </w:hyperlink>
      <w:r w:rsidRPr="00FC56A8">
        <w:rPr>
          <w:rStyle w:val="af"/>
          <w:rFonts w:eastAsiaTheme="majorEastAsia"/>
          <w:sz w:val="28"/>
          <w:szCs w:val="28"/>
        </w:rPr>
        <w:t xml:space="preserve"> </w:t>
      </w:r>
    </w:p>
    <w:p w14:paraId="1DE54983" w14:textId="77777777" w:rsidR="00FC56A8" w:rsidRPr="00FC56A8" w:rsidRDefault="00FC56A8" w:rsidP="00FC56A8">
      <w:pPr>
        <w:pStyle w:val="a9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FC56A8">
        <w:rPr>
          <w:sz w:val="28"/>
          <w:szCs w:val="28"/>
        </w:rPr>
        <w:t>Межуєва І. Ю., Єльцова С. С. Концептуальні підходи до навчання англійської мови в немовному вузі. Науковий вісник Міжнародного гуманітарного університету. Сер.: Філологія. 2017. №29 том 2. С. 138- 140</w:t>
      </w:r>
    </w:p>
    <w:p w14:paraId="0041D713" w14:textId="77777777" w:rsidR="00FC56A8" w:rsidRPr="00FC56A8" w:rsidRDefault="00FC56A8" w:rsidP="00FC56A8">
      <w:pPr>
        <w:pStyle w:val="a9"/>
        <w:numPr>
          <w:ilvl w:val="0"/>
          <w:numId w:val="1"/>
        </w:numPr>
        <w:ind w:left="284"/>
        <w:jc w:val="both"/>
        <w:rPr>
          <w:noProof/>
          <w:sz w:val="28"/>
          <w:szCs w:val="28"/>
        </w:rPr>
      </w:pPr>
      <w:r w:rsidRPr="00FC56A8">
        <w:rPr>
          <w:sz w:val="28"/>
          <w:szCs w:val="28"/>
        </w:rPr>
        <w:t>Ніколаєва С. Ю. Сучасні підходи до викладання іноземних мов. Іноземні мови.  2002. № 1.  С. 19–46.</w:t>
      </w:r>
    </w:p>
    <w:p w14:paraId="6339C166" w14:textId="646F8618" w:rsidR="00FC56A8" w:rsidRPr="00FC56A8" w:rsidRDefault="00FC56A8" w:rsidP="00FC56A8">
      <w:pPr>
        <w:pStyle w:val="a9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C56A8">
        <w:rPr>
          <w:sz w:val="28"/>
          <w:szCs w:val="28"/>
          <w:lang w:val="en-US"/>
        </w:rPr>
        <w:t>Petrie D. Space for spontaneity URL</w:t>
      </w:r>
      <w:r w:rsidRPr="00FC56A8">
        <w:rPr>
          <w:sz w:val="28"/>
          <w:szCs w:val="28"/>
        </w:rPr>
        <w:t>:</w:t>
      </w:r>
      <w:r w:rsidRPr="00FC56A8">
        <w:rPr>
          <w:sz w:val="28"/>
          <w:szCs w:val="28"/>
          <w:lang w:val="en-US"/>
        </w:rPr>
        <w:t xml:space="preserve"> </w:t>
      </w:r>
      <w:hyperlink r:id="rId6" w:history="1">
        <w:r w:rsidR="00271575" w:rsidRPr="008541EB">
          <w:rPr>
            <w:rStyle w:val="af"/>
            <w:noProof/>
            <w:sz w:val="28"/>
            <w:szCs w:val="28"/>
            <w:lang w:eastAsia="ru-RU"/>
          </w:rPr>
          <w:t>https://www.teachingenglish.org.uk/blogs/david-petrie/david-petrie-space-spontaneity</w:t>
        </w:r>
      </w:hyperlink>
      <w:r w:rsidRPr="00FC56A8">
        <w:rPr>
          <w:noProof/>
          <w:color w:val="006EC7"/>
          <w:sz w:val="28"/>
          <w:szCs w:val="28"/>
          <w:u w:val="single"/>
          <w:lang w:eastAsia="ru-RU"/>
        </w:rPr>
        <w:t xml:space="preserve"> </w:t>
      </w:r>
    </w:p>
    <w:p w14:paraId="4DEA4C48" w14:textId="2DCA3489" w:rsidR="00FC56A8" w:rsidRPr="00FC56A8" w:rsidRDefault="00FC56A8" w:rsidP="00FC56A8">
      <w:pPr>
        <w:pStyle w:val="a9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C56A8">
        <w:rPr>
          <w:sz w:val="28"/>
          <w:szCs w:val="28"/>
        </w:rPr>
        <w:t xml:space="preserve"> Сошенко С. М., Коломієць Б. С. Еволюція методів викладання іноземної мови. </w:t>
      </w:r>
      <w:r w:rsidRPr="00FC56A8">
        <w:rPr>
          <w:sz w:val="28"/>
          <w:szCs w:val="28"/>
          <w:lang w:val="ru-RU"/>
        </w:rPr>
        <w:t xml:space="preserve">  </w:t>
      </w:r>
      <w:r w:rsidRPr="00FC56A8">
        <w:rPr>
          <w:sz w:val="28"/>
          <w:szCs w:val="28"/>
        </w:rPr>
        <w:t>Педагогічний процес: теорія і практика Випуск 1. 2014. С. 22-27</w:t>
      </w:r>
    </w:p>
    <w:p w14:paraId="62DE6FA4" w14:textId="513164A2" w:rsidR="00B4630D" w:rsidRPr="00FC56A8" w:rsidRDefault="00B4178A" w:rsidP="00FC56A8">
      <w:pPr>
        <w:ind w:left="284" w:hanging="284"/>
        <w:jc w:val="both"/>
        <w:rPr>
          <w:sz w:val="28"/>
          <w:szCs w:val="28"/>
        </w:rPr>
      </w:pPr>
      <w:r w:rsidRPr="00B4178A">
        <w:rPr>
          <w:noProof/>
          <w:sz w:val="28"/>
          <w:szCs w:val="28"/>
          <w:lang w:val="ru-RU"/>
        </w:rPr>
        <w:t>6</w:t>
      </w:r>
      <w:r w:rsidR="00FC56A8" w:rsidRPr="00FC56A8">
        <w:rPr>
          <w:noProof/>
          <w:sz w:val="28"/>
          <w:szCs w:val="28"/>
        </w:rPr>
        <w:t>.</w:t>
      </w:r>
      <w:r w:rsidR="00FC56A8">
        <w:rPr>
          <w:sz w:val="28"/>
          <w:szCs w:val="28"/>
        </w:rPr>
        <w:t xml:space="preserve"> </w:t>
      </w:r>
      <w:r w:rsidR="00B4630D" w:rsidRPr="00FC56A8">
        <w:rPr>
          <w:sz w:val="28"/>
          <w:szCs w:val="28"/>
        </w:rPr>
        <w:t xml:space="preserve">Штохман Л. М. Методика </w:t>
      </w:r>
      <w:r w:rsidR="00B4630D" w:rsidRPr="00FC56A8">
        <w:rPr>
          <w:sz w:val="28"/>
          <w:szCs w:val="28"/>
          <w:lang w:val="en-US"/>
        </w:rPr>
        <w:t>TBL</w:t>
      </w:r>
      <w:r w:rsidR="00B4630D" w:rsidRPr="00FC56A8">
        <w:rPr>
          <w:sz w:val="28"/>
          <w:szCs w:val="28"/>
          <w:lang w:val="ru-RU"/>
        </w:rPr>
        <w:t xml:space="preserve"> </w:t>
      </w:r>
      <w:r w:rsidR="00B4630D" w:rsidRPr="00FC56A8">
        <w:rPr>
          <w:sz w:val="28"/>
          <w:szCs w:val="28"/>
        </w:rPr>
        <w:t xml:space="preserve">та </w:t>
      </w:r>
      <w:r w:rsidR="00B4630D" w:rsidRPr="00FC56A8">
        <w:rPr>
          <w:sz w:val="28"/>
          <w:szCs w:val="28"/>
          <w:lang w:val="en-US"/>
        </w:rPr>
        <w:t>PBL</w:t>
      </w:r>
      <w:r w:rsidR="00B4630D" w:rsidRPr="00FC56A8">
        <w:rPr>
          <w:sz w:val="28"/>
          <w:szCs w:val="28"/>
        </w:rPr>
        <w:t xml:space="preserve"> у практиці викладання іноземних мов у немовному ВНЗ</w:t>
      </w:r>
      <w:r w:rsidR="00B4630D" w:rsidRPr="00FC56A8">
        <w:rPr>
          <w:sz w:val="28"/>
          <w:szCs w:val="28"/>
          <w:lang w:val="ru-RU"/>
        </w:rPr>
        <w:t xml:space="preserve"> </w:t>
      </w:r>
      <w:r w:rsidR="00B4630D" w:rsidRPr="00FC56A8">
        <w:rPr>
          <w:sz w:val="28"/>
          <w:szCs w:val="28"/>
        </w:rPr>
        <w:t>/ Молодий вчений</w:t>
      </w:r>
      <w:r w:rsidR="00E36FE0">
        <w:rPr>
          <w:sz w:val="28"/>
          <w:szCs w:val="28"/>
        </w:rPr>
        <w:t xml:space="preserve"> </w:t>
      </w:r>
      <w:r w:rsidR="00B4630D" w:rsidRPr="00FC56A8">
        <w:rPr>
          <w:sz w:val="28"/>
          <w:szCs w:val="28"/>
        </w:rPr>
        <w:t>- №11 (87), 2020</w:t>
      </w:r>
      <w:r w:rsidR="00E36FE0">
        <w:rPr>
          <w:sz w:val="28"/>
          <w:szCs w:val="28"/>
        </w:rPr>
        <w:t xml:space="preserve"> </w:t>
      </w:r>
      <w:r w:rsidR="00B4630D" w:rsidRPr="00FC56A8">
        <w:rPr>
          <w:sz w:val="28"/>
          <w:szCs w:val="28"/>
        </w:rPr>
        <w:t>- С.407</w:t>
      </w:r>
    </w:p>
    <w:p w14:paraId="5261386C" w14:textId="77777777" w:rsidR="00F12C76" w:rsidRPr="00FC56A8" w:rsidRDefault="00F12C76" w:rsidP="00FC56A8">
      <w:pPr>
        <w:ind w:firstLine="709"/>
        <w:jc w:val="both"/>
        <w:rPr>
          <w:sz w:val="28"/>
          <w:szCs w:val="28"/>
        </w:rPr>
      </w:pPr>
    </w:p>
    <w:sectPr w:rsidR="00F12C76" w:rsidRPr="00FC56A8" w:rsidSect="009D27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7F8"/>
    <w:multiLevelType w:val="hybridMultilevel"/>
    <w:tmpl w:val="906AD0E6"/>
    <w:lvl w:ilvl="0" w:tplc="D20EF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10350"/>
    <w:multiLevelType w:val="hybridMultilevel"/>
    <w:tmpl w:val="A004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1582">
    <w:abstractNumId w:val="1"/>
  </w:num>
  <w:num w:numId="2" w16cid:durableId="108765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E"/>
    <w:rsid w:val="000A73DD"/>
    <w:rsid w:val="000F4862"/>
    <w:rsid w:val="00123D99"/>
    <w:rsid w:val="001A7C96"/>
    <w:rsid w:val="001E72BB"/>
    <w:rsid w:val="00271575"/>
    <w:rsid w:val="002C4C7B"/>
    <w:rsid w:val="00325877"/>
    <w:rsid w:val="00345946"/>
    <w:rsid w:val="004325F2"/>
    <w:rsid w:val="00584C3D"/>
    <w:rsid w:val="00623929"/>
    <w:rsid w:val="00625A3C"/>
    <w:rsid w:val="006C0B77"/>
    <w:rsid w:val="007558BA"/>
    <w:rsid w:val="008242FF"/>
    <w:rsid w:val="00826DB4"/>
    <w:rsid w:val="00870751"/>
    <w:rsid w:val="008B3A3E"/>
    <w:rsid w:val="00922C48"/>
    <w:rsid w:val="009D2783"/>
    <w:rsid w:val="00A0562A"/>
    <w:rsid w:val="00A349C6"/>
    <w:rsid w:val="00AE5355"/>
    <w:rsid w:val="00B4178A"/>
    <w:rsid w:val="00B4630D"/>
    <w:rsid w:val="00B6606C"/>
    <w:rsid w:val="00B915B7"/>
    <w:rsid w:val="00BD02BE"/>
    <w:rsid w:val="00C65F9E"/>
    <w:rsid w:val="00CA2FDE"/>
    <w:rsid w:val="00E36FE0"/>
    <w:rsid w:val="00EA59DF"/>
    <w:rsid w:val="00EE4070"/>
    <w:rsid w:val="00F12C76"/>
    <w:rsid w:val="00F267B7"/>
    <w:rsid w:val="00FC56A8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E390"/>
  <w15:chartTrackingRefBased/>
  <w15:docId w15:val="{037FA161-05F3-4618-B1B2-52C78F5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0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2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2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2B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02B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D02B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D02B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D02B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02B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D0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0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02B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BD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B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02B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BD02BE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FC56A8"/>
    <w:rPr>
      <w:b/>
      <w:bCs/>
    </w:rPr>
  </w:style>
  <w:style w:type="character" w:styleId="af">
    <w:name w:val="Hyperlink"/>
    <w:basedOn w:val="a0"/>
    <w:uiPriority w:val="99"/>
    <w:unhideWhenUsed/>
    <w:rsid w:val="00FC56A8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E3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ingenglish.org.uk/blogs/david-petrie/david-petrie-space-spontaneity" TargetMode="External"/><Relationship Id="rId5" Type="http://schemas.openxmlformats.org/officeDocument/2006/relationships/hyperlink" Target="https://www.teachingenglish.org.uk/article/tbl-pbl-two-learner-centred-approac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4618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Штохман</dc:creator>
  <cp:keywords/>
  <dc:description/>
  <cp:lastModifiedBy>Лілія Штохман</cp:lastModifiedBy>
  <cp:revision>7</cp:revision>
  <dcterms:created xsi:type="dcterms:W3CDTF">2025-02-07T13:46:00Z</dcterms:created>
  <dcterms:modified xsi:type="dcterms:W3CDTF">2025-02-21T11:43:00Z</dcterms:modified>
</cp:coreProperties>
</file>