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0F3" w:rsidRPr="00A000F3" w:rsidRDefault="00A000F3" w:rsidP="00A000F3">
      <w:pPr>
        <w:tabs>
          <w:tab w:val="left" w:pos="540"/>
        </w:tabs>
        <w:spacing w:line="360" w:lineRule="auto"/>
        <w:ind w:right="-81" w:firstLine="540"/>
        <w:jc w:val="right"/>
        <w:rPr>
          <w:i/>
          <w:color w:val="000000"/>
          <w:sz w:val="28"/>
          <w:szCs w:val="28"/>
        </w:rPr>
      </w:pPr>
      <w:r w:rsidRPr="00A000F3">
        <w:rPr>
          <w:i/>
          <w:color w:val="000000"/>
          <w:sz w:val="28"/>
          <w:szCs w:val="28"/>
        </w:rPr>
        <w:t>Баран Анжеліка Володимирівна</w:t>
      </w:r>
    </w:p>
    <w:p w:rsidR="00A000F3" w:rsidRPr="00A000F3" w:rsidRDefault="00A000F3" w:rsidP="00A000F3">
      <w:pPr>
        <w:tabs>
          <w:tab w:val="left" w:pos="540"/>
        </w:tabs>
        <w:spacing w:line="360" w:lineRule="auto"/>
        <w:ind w:right="-81" w:firstLine="540"/>
        <w:jc w:val="right"/>
        <w:rPr>
          <w:i/>
          <w:color w:val="000000"/>
          <w:sz w:val="28"/>
          <w:szCs w:val="28"/>
        </w:rPr>
      </w:pPr>
      <w:r w:rsidRPr="00A000F3">
        <w:rPr>
          <w:i/>
          <w:color w:val="000000"/>
          <w:sz w:val="28"/>
          <w:szCs w:val="28"/>
        </w:rPr>
        <w:t xml:space="preserve">доцент кафедри правового регулювання </w:t>
      </w:r>
    </w:p>
    <w:p w:rsidR="00A000F3" w:rsidRPr="00A000F3" w:rsidRDefault="00A000F3" w:rsidP="00A000F3">
      <w:pPr>
        <w:tabs>
          <w:tab w:val="left" w:pos="540"/>
        </w:tabs>
        <w:spacing w:line="360" w:lineRule="auto"/>
        <w:ind w:right="-81" w:firstLine="540"/>
        <w:jc w:val="right"/>
        <w:rPr>
          <w:i/>
          <w:color w:val="000000"/>
          <w:sz w:val="28"/>
          <w:szCs w:val="28"/>
        </w:rPr>
      </w:pPr>
      <w:r w:rsidRPr="00A000F3">
        <w:rPr>
          <w:i/>
          <w:color w:val="000000"/>
          <w:sz w:val="28"/>
          <w:szCs w:val="28"/>
        </w:rPr>
        <w:t xml:space="preserve">економіки і правознавства </w:t>
      </w:r>
    </w:p>
    <w:p w:rsidR="00A000F3" w:rsidRPr="00A000F3" w:rsidRDefault="00A000F3" w:rsidP="00A000F3">
      <w:pPr>
        <w:tabs>
          <w:tab w:val="left" w:pos="540"/>
        </w:tabs>
        <w:spacing w:line="360" w:lineRule="auto"/>
        <w:ind w:right="-81" w:firstLine="540"/>
        <w:jc w:val="right"/>
        <w:rPr>
          <w:i/>
          <w:color w:val="000000"/>
          <w:sz w:val="28"/>
          <w:szCs w:val="28"/>
        </w:rPr>
      </w:pPr>
      <w:r w:rsidRPr="00A000F3">
        <w:rPr>
          <w:i/>
          <w:color w:val="000000"/>
          <w:sz w:val="28"/>
          <w:szCs w:val="28"/>
        </w:rPr>
        <w:t>Тернопільського національного</w:t>
      </w:r>
    </w:p>
    <w:p w:rsidR="00A000F3" w:rsidRPr="00A000F3" w:rsidRDefault="00A000F3" w:rsidP="00A000F3">
      <w:pPr>
        <w:tabs>
          <w:tab w:val="left" w:pos="540"/>
        </w:tabs>
        <w:spacing w:line="360" w:lineRule="auto"/>
        <w:ind w:right="-81" w:firstLine="540"/>
        <w:jc w:val="right"/>
        <w:rPr>
          <w:i/>
          <w:color w:val="000000"/>
          <w:sz w:val="28"/>
          <w:szCs w:val="28"/>
        </w:rPr>
      </w:pPr>
      <w:r w:rsidRPr="00A000F3">
        <w:rPr>
          <w:i/>
          <w:color w:val="000000"/>
          <w:sz w:val="28"/>
          <w:szCs w:val="28"/>
        </w:rPr>
        <w:t>економічного університету,</w:t>
      </w:r>
    </w:p>
    <w:p w:rsidR="00A000F3" w:rsidRDefault="00A000F3" w:rsidP="00A000F3">
      <w:pPr>
        <w:tabs>
          <w:tab w:val="left" w:pos="540"/>
        </w:tabs>
        <w:spacing w:line="360" w:lineRule="auto"/>
        <w:ind w:right="-81" w:firstLine="540"/>
        <w:jc w:val="right"/>
        <w:rPr>
          <w:i/>
          <w:color w:val="000000"/>
          <w:sz w:val="28"/>
          <w:szCs w:val="28"/>
        </w:rPr>
      </w:pPr>
      <w:r w:rsidRPr="00A000F3">
        <w:rPr>
          <w:i/>
          <w:color w:val="000000"/>
          <w:sz w:val="28"/>
          <w:szCs w:val="28"/>
        </w:rPr>
        <w:t>кандидат юридичних наук</w:t>
      </w:r>
    </w:p>
    <w:p w:rsidR="00A000F3" w:rsidRPr="00A000F3" w:rsidRDefault="00101417" w:rsidP="00A000F3">
      <w:pPr>
        <w:tabs>
          <w:tab w:val="left" w:pos="540"/>
        </w:tabs>
        <w:spacing w:line="360" w:lineRule="auto"/>
        <w:ind w:right="-81" w:firstLine="540"/>
        <w:jc w:val="center"/>
        <w:rPr>
          <w:b/>
          <w:color w:val="000000"/>
          <w:sz w:val="28"/>
          <w:szCs w:val="28"/>
        </w:rPr>
      </w:pPr>
      <w:r>
        <w:rPr>
          <w:b/>
          <w:color w:val="000000"/>
          <w:sz w:val="28"/>
          <w:szCs w:val="28"/>
        </w:rPr>
        <w:t>Лютневий патент 1861 р. як правова основа</w:t>
      </w:r>
      <w:r w:rsidR="000151C0">
        <w:rPr>
          <w:b/>
          <w:color w:val="000000"/>
          <w:sz w:val="28"/>
          <w:szCs w:val="28"/>
        </w:rPr>
        <w:t xml:space="preserve"> становлення парламентарної традиції на землях Східної Галичини у сер. ХІХ ст.</w:t>
      </w:r>
    </w:p>
    <w:p w:rsidR="007B0780" w:rsidRDefault="007B0780" w:rsidP="007B0780">
      <w:pPr>
        <w:tabs>
          <w:tab w:val="left" w:pos="540"/>
        </w:tabs>
        <w:spacing w:line="360" w:lineRule="auto"/>
        <w:ind w:right="-81" w:firstLine="540"/>
        <w:jc w:val="both"/>
        <w:rPr>
          <w:sz w:val="28"/>
          <w:szCs w:val="28"/>
        </w:rPr>
      </w:pPr>
      <w:r w:rsidRPr="00D5667B">
        <w:rPr>
          <w:color w:val="000000"/>
          <w:sz w:val="28"/>
          <w:szCs w:val="28"/>
        </w:rPr>
        <w:t>Парламент і парламентаризм є невід’ємними атрибутами демократичної держави. Проблеми функціонування та розвитку сучасного вітчизняного парламентаризму глибоко пов’язані з його історичним підґрунтям. Маючи досить давню тривалу передісторію становлення, сучасний український парламентаризм не може не спиратися на відповідні національні політичні традиції та культуру. Разом з тим, питання становлення українського парламентаризму викликають багато суперечок у сучасних правознавців.</w:t>
      </w:r>
      <w:r w:rsidRPr="007B0780">
        <w:rPr>
          <w:color w:val="000000"/>
          <w:sz w:val="28"/>
          <w:szCs w:val="28"/>
          <w:lang w:val="ru-RU"/>
        </w:rPr>
        <w:t xml:space="preserve"> О</w:t>
      </w:r>
      <w:r>
        <w:rPr>
          <w:color w:val="000000"/>
          <w:sz w:val="28"/>
          <w:szCs w:val="28"/>
          <w:lang w:val="ru-RU"/>
        </w:rPr>
        <w:t xml:space="preserve">дним </w:t>
      </w:r>
      <w:proofErr w:type="spellStart"/>
      <w:r>
        <w:rPr>
          <w:color w:val="000000"/>
          <w:sz w:val="28"/>
          <w:szCs w:val="28"/>
          <w:lang w:val="ru-RU"/>
        </w:rPr>
        <w:t>із</w:t>
      </w:r>
      <w:proofErr w:type="spellEnd"/>
      <w:r>
        <w:rPr>
          <w:color w:val="000000"/>
          <w:sz w:val="28"/>
          <w:szCs w:val="28"/>
          <w:lang w:val="ru-RU"/>
        </w:rPr>
        <w:t xml:space="preserve"> таких </w:t>
      </w:r>
      <w:proofErr w:type="spellStart"/>
      <w:r>
        <w:rPr>
          <w:color w:val="000000"/>
          <w:sz w:val="28"/>
          <w:szCs w:val="28"/>
          <w:lang w:val="ru-RU"/>
        </w:rPr>
        <w:t>періодів</w:t>
      </w:r>
      <w:proofErr w:type="spellEnd"/>
      <w:r>
        <w:rPr>
          <w:color w:val="000000"/>
          <w:sz w:val="28"/>
          <w:szCs w:val="28"/>
          <w:lang w:val="ru-RU"/>
        </w:rPr>
        <w:t xml:space="preserve">, </w:t>
      </w:r>
      <w:proofErr w:type="spellStart"/>
      <w:r>
        <w:rPr>
          <w:color w:val="000000"/>
          <w:sz w:val="28"/>
          <w:szCs w:val="28"/>
          <w:lang w:val="ru-RU"/>
        </w:rPr>
        <w:t>які</w:t>
      </w:r>
      <w:proofErr w:type="spellEnd"/>
      <w:r>
        <w:rPr>
          <w:color w:val="000000"/>
          <w:sz w:val="28"/>
          <w:szCs w:val="28"/>
          <w:lang w:val="ru-RU"/>
        </w:rPr>
        <w:t xml:space="preserve"> </w:t>
      </w:r>
      <w:proofErr w:type="spellStart"/>
      <w:r>
        <w:rPr>
          <w:color w:val="000000"/>
          <w:sz w:val="28"/>
          <w:szCs w:val="28"/>
          <w:lang w:val="ru-RU"/>
        </w:rPr>
        <w:t>потребують</w:t>
      </w:r>
      <w:proofErr w:type="spellEnd"/>
      <w:r>
        <w:rPr>
          <w:color w:val="000000"/>
          <w:sz w:val="28"/>
          <w:szCs w:val="28"/>
          <w:lang w:val="ru-RU"/>
        </w:rPr>
        <w:t xml:space="preserve"> детального </w:t>
      </w:r>
      <w:proofErr w:type="spellStart"/>
      <w:r>
        <w:rPr>
          <w:color w:val="000000"/>
          <w:sz w:val="28"/>
          <w:szCs w:val="28"/>
          <w:lang w:val="ru-RU"/>
        </w:rPr>
        <w:t>дослідження</w:t>
      </w:r>
      <w:proofErr w:type="spellEnd"/>
      <w:r>
        <w:rPr>
          <w:color w:val="000000"/>
          <w:sz w:val="28"/>
          <w:szCs w:val="28"/>
          <w:lang w:val="ru-RU"/>
        </w:rPr>
        <w:t xml:space="preserve"> та </w:t>
      </w:r>
      <w:proofErr w:type="spellStart"/>
      <w:r>
        <w:rPr>
          <w:color w:val="000000"/>
          <w:sz w:val="28"/>
          <w:szCs w:val="28"/>
          <w:lang w:val="ru-RU"/>
        </w:rPr>
        <w:t>наукового</w:t>
      </w:r>
      <w:proofErr w:type="spellEnd"/>
      <w:r>
        <w:rPr>
          <w:color w:val="000000"/>
          <w:sz w:val="28"/>
          <w:szCs w:val="28"/>
          <w:lang w:val="ru-RU"/>
        </w:rPr>
        <w:t xml:space="preserve"> </w:t>
      </w:r>
      <w:proofErr w:type="spellStart"/>
      <w:r>
        <w:rPr>
          <w:color w:val="000000"/>
          <w:sz w:val="28"/>
          <w:szCs w:val="28"/>
          <w:lang w:val="ru-RU"/>
        </w:rPr>
        <w:t>переосислення</w:t>
      </w:r>
      <w:proofErr w:type="spellEnd"/>
      <w:r>
        <w:rPr>
          <w:color w:val="000000"/>
          <w:sz w:val="28"/>
          <w:szCs w:val="28"/>
          <w:lang w:val="ru-RU"/>
        </w:rPr>
        <w:t xml:space="preserve"> </w:t>
      </w:r>
      <w:proofErr w:type="spellStart"/>
      <w:r>
        <w:rPr>
          <w:color w:val="000000"/>
          <w:sz w:val="28"/>
          <w:szCs w:val="28"/>
          <w:lang w:val="ru-RU"/>
        </w:rPr>
        <w:t>є</w:t>
      </w:r>
      <w:proofErr w:type="spellEnd"/>
      <w:r>
        <w:rPr>
          <w:color w:val="000000"/>
          <w:sz w:val="28"/>
          <w:szCs w:val="28"/>
          <w:lang w:val="ru-RU"/>
        </w:rPr>
        <w:t xml:space="preserve"> </w:t>
      </w:r>
      <w:proofErr w:type="spellStart"/>
      <w:r>
        <w:rPr>
          <w:color w:val="000000"/>
          <w:sz w:val="28"/>
          <w:szCs w:val="28"/>
          <w:lang w:val="ru-RU"/>
        </w:rPr>
        <w:t>період</w:t>
      </w:r>
      <w:proofErr w:type="spellEnd"/>
      <w:r>
        <w:rPr>
          <w:color w:val="000000"/>
          <w:sz w:val="28"/>
          <w:szCs w:val="28"/>
          <w:lang w:val="ru-RU"/>
        </w:rPr>
        <w:t xml:space="preserve"> </w:t>
      </w:r>
      <w:r>
        <w:rPr>
          <w:sz w:val="28"/>
          <w:szCs w:val="28"/>
        </w:rPr>
        <w:t>середини ХІ</w:t>
      </w:r>
      <w:proofErr w:type="gramStart"/>
      <w:r>
        <w:rPr>
          <w:sz w:val="28"/>
          <w:szCs w:val="28"/>
        </w:rPr>
        <w:t>Х</w:t>
      </w:r>
      <w:proofErr w:type="gramEnd"/>
      <w:r>
        <w:rPr>
          <w:sz w:val="28"/>
          <w:szCs w:val="28"/>
        </w:rPr>
        <w:t xml:space="preserve"> ст., коли відбувалося становлення основ парламентської традиції на території Східної Галичини</w:t>
      </w:r>
      <w:r>
        <w:rPr>
          <w:sz w:val="28"/>
          <w:szCs w:val="28"/>
          <w:lang w:val="ru-RU"/>
        </w:rPr>
        <w:t xml:space="preserve"> </w:t>
      </w:r>
      <w:r>
        <w:rPr>
          <w:sz w:val="28"/>
          <w:szCs w:val="28"/>
        </w:rPr>
        <w:t>в складі Габсбурзької монархії.</w:t>
      </w:r>
    </w:p>
    <w:p w:rsidR="007B0780" w:rsidRDefault="007B0780" w:rsidP="007B0780">
      <w:pPr>
        <w:pStyle w:val="1"/>
        <w:spacing w:line="360" w:lineRule="auto"/>
        <w:ind w:left="0" w:firstLine="708"/>
        <w:jc w:val="both"/>
        <w:rPr>
          <w:rFonts w:ascii="Times New Roman" w:hAnsi="Times New Roman"/>
          <w:sz w:val="28"/>
          <w:szCs w:val="28"/>
        </w:rPr>
      </w:pPr>
      <w:r>
        <w:rPr>
          <w:rFonts w:ascii="Times New Roman" w:hAnsi="Times New Roman"/>
          <w:sz w:val="28"/>
          <w:szCs w:val="28"/>
        </w:rPr>
        <w:t xml:space="preserve">Визначальне значення для утвердження засад парламентаризму в Австрійській монархії мало прийняття Лютневого патенту та додатків до нього від 26 лютого 1861 р. Зокрема, Додаток до Лютневого патенту під назвою «Основний закон про державне представництво» визначав, що для представництва держави створюється Державна рада, яка складається з повної (загальної) Державної ради </w:t>
      </w:r>
      <w:r>
        <w:rPr>
          <w:rFonts w:ascii="Times New Roman" w:hAnsi="Times New Roman"/>
          <w:color w:val="FF0000"/>
          <w:sz w:val="28"/>
          <w:szCs w:val="28"/>
        </w:rPr>
        <w:t>(</w:t>
      </w:r>
      <w:proofErr w:type="spellStart"/>
      <w:r>
        <w:rPr>
          <w:rFonts w:ascii="Times New Roman" w:hAnsi="Times New Roman"/>
          <w:i/>
          <w:color w:val="000000"/>
          <w:sz w:val="28"/>
          <w:szCs w:val="28"/>
        </w:rPr>
        <w:t>gesammten</w:t>
      </w:r>
      <w:proofErr w:type="spellEnd"/>
      <w:r>
        <w:rPr>
          <w:rFonts w:ascii="Times New Roman" w:hAnsi="Times New Roman"/>
          <w:i/>
          <w:color w:val="000000"/>
          <w:sz w:val="28"/>
          <w:szCs w:val="28"/>
        </w:rPr>
        <w:t xml:space="preserve"> </w:t>
      </w:r>
      <w:proofErr w:type="spellStart"/>
      <w:r>
        <w:rPr>
          <w:rFonts w:ascii="Times New Roman" w:hAnsi="Times New Roman"/>
          <w:i/>
          <w:color w:val="000000"/>
          <w:sz w:val="28"/>
          <w:szCs w:val="28"/>
        </w:rPr>
        <w:t>Reichsrat</w:t>
      </w:r>
      <w:proofErr w:type="spellEnd"/>
      <w:r>
        <w:rPr>
          <w:rFonts w:ascii="Times New Roman" w:hAnsi="Times New Roman"/>
          <w:color w:val="000000"/>
          <w:sz w:val="28"/>
          <w:szCs w:val="28"/>
        </w:rPr>
        <w:t>)</w:t>
      </w:r>
      <w:r>
        <w:rPr>
          <w:rFonts w:ascii="Times New Roman" w:hAnsi="Times New Roman"/>
          <w:sz w:val="28"/>
          <w:szCs w:val="28"/>
        </w:rPr>
        <w:t xml:space="preserve"> (з представниками Угорського королівства) та вузької Державної Ради (</w:t>
      </w:r>
      <w:proofErr w:type="spellStart"/>
      <w:r>
        <w:rPr>
          <w:rFonts w:ascii="Times New Roman" w:hAnsi="Times New Roman"/>
          <w:i/>
          <w:color w:val="000000"/>
          <w:sz w:val="28"/>
          <w:szCs w:val="28"/>
        </w:rPr>
        <w:t>engere</w:t>
      </w:r>
      <w:proofErr w:type="spellEnd"/>
      <w:r>
        <w:rPr>
          <w:rFonts w:ascii="Times New Roman" w:hAnsi="Times New Roman"/>
          <w:i/>
          <w:color w:val="000000"/>
          <w:sz w:val="28"/>
          <w:szCs w:val="28"/>
        </w:rPr>
        <w:t xml:space="preserve"> </w:t>
      </w:r>
      <w:proofErr w:type="spellStart"/>
      <w:r>
        <w:rPr>
          <w:rFonts w:ascii="Times New Roman" w:hAnsi="Times New Roman"/>
          <w:i/>
          <w:color w:val="000000"/>
          <w:sz w:val="28"/>
          <w:szCs w:val="28"/>
        </w:rPr>
        <w:t>Reichsrat</w:t>
      </w:r>
      <w:proofErr w:type="spellEnd"/>
      <w:r>
        <w:rPr>
          <w:rFonts w:ascii="Times New Roman" w:hAnsi="Times New Roman"/>
          <w:color w:val="FF0000"/>
          <w:sz w:val="28"/>
          <w:szCs w:val="28"/>
        </w:rPr>
        <w:t>)</w:t>
      </w:r>
      <w:r>
        <w:rPr>
          <w:rFonts w:ascii="Times New Roman" w:hAnsi="Times New Roman"/>
          <w:sz w:val="28"/>
          <w:szCs w:val="28"/>
        </w:rPr>
        <w:t xml:space="preserve"> (без представників Угорського королівства). Для Галичини визначальне значення мала вузька Державна рада, яка складалася з Палати Панів (</w:t>
      </w:r>
      <w:proofErr w:type="spellStart"/>
      <w:r>
        <w:rPr>
          <w:rFonts w:ascii="Times New Roman" w:hAnsi="Times New Roman"/>
          <w:i/>
          <w:sz w:val="28"/>
          <w:szCs w:val="28"/>
        </w:rPr>
        <w:t>Herrenhaus</w:t>
      </w:r>
      <w:proofErr w:type="spellEnd"/>
      <w:r>
        <w:rPr>
          <w:rFonts w:ascii="Times New Roman" w:hAnsi="Times New Roman"/>
          <w:sz w:val="28"/>
          <w:szCs w:val="28"/>
        </w:rPr>
        <w:t>) і Палати Послів (</w:t>
      </w:r>
      <w:proofErr w:type="spellStart"/>
      <w:r>
        <w:rPr>
          <w:rFonts w:ascii="Times New Roman" w:hAnsi="Times New Roman"/>
          <w:i/>
          <w:sz w:val="28"/>
          <w:szCs w:val="28"/>
          <w:lang w:val="en-US"/>
        </w:rPr>
        <w:t>Abgeordnetenhaus</w:t>
      </w:r>
      <w:proofErr w:type="spellEnd"/>
      <w:r>
        <w:rPr>
          <w:rFonts w:ascii="Times New Roman" w:hAnsi="Times New Roman"/>
          <w:sz w:val="28"/>
          <w:szCs w:val="28"/>
        </w:rPr>
        <w:t xml:space="preserve">) (ст. 1). Членами Палати Панів за правом  народження ставали повнолітні князі цісарського дому (ст. 2). Спадковими </w:t>
      </w:r>
      <w:r>
        <w:rPr>
          <w:rFonts w:ascii="Times New Roman" w:hAnsi="Times New Roman"/>
          <w:sz w:val="28"/>
          <w:szCs w:val="28"/>
        </w:rPr>
        <w:lastRenderedPageBreak/>
        <w:t xml:space="preserve">членами Палати Панів були ті повнолітні голови шляхетських родів, яким цісар надав спадкову здатність бути Державними Радниками (ст. 3). Членами Палати Панів також були церковні архієпископи та єпископи (ст. 4). Цісар закріплював за собою право призначати до Палати панів </w:t>
      </w:r>
      <w:proofErr w:type="spellStart"/>
      <w:r>
        <w:rPr>
          <w:rFonts w:ascii="Times New Roman" w:hAnsi="Times New Roman"/>
          <w:sz w:val="28"/>
          <w:szCs w:val="28"/>
        </w:rPr>
        <w:t>пожиттєвих</w:t>
      </w:r>
      <w:proofErr w:type="spellEnd"/>
      <w:r>
        <w:rPr>
          <w:rFonts w:ascii="Times New Roman" w:hAnsi="Times New Roman"/>
          <w:sz w:val="28"/>
          <w:szCs w:val="28"/>
        </w:rPr>
        <w:t xml:space="preserve"> членів із «видатних мужів» держави (ст. 5).</w:t>
      </w:r>
    </w:p>
    <w:p w:rsidR="007B0780" w:rsidRDefault="007B0780" w:rsidP="007B0780">
      <w:pPr>
        <w:spacing w:line="360" w:lineRule="auto"/>
        <w:ind w:firstLine="708"/>
        <w:jc w:val="both"/>
        <w:rPr>
          <w:i/>
        </w:rPr>
      </w:pPr>
      <w:r>
        <w:rPr>
          <w:sz w:val="28"/>
          <w:szCs w:val="28"/>
        </w:rPr>
        <w:t xml:space="preserve">До Палати Послів вузької Державної ради входило 223 виборних депутати (від Королівства Галичини і </w:t>
      </w:r>
      <w:proofErr w:type="spellStart"/>
      <w:r>
        <w:rPr>
          <w:sz w:val="28"/>
          <w:szCs w:val="28"/>
        </w:rPr>
        <w:t>Володимерії</w:t>
      </w:r>
      <w:proofErr w:type="spellEnd"/>
      <w:r>
        <w:rPr>
          <w:sz w:val="28"/>
          <w:szCs w:val="28"/>
        </w:rPr>
        <w:t xml:space="preserve"> з князівствами </w:t>
      </w:r>
      <w:proofErr w:type="spellStart"/>
      <w:r>
        <w:rPr>
          <w:sz w:val="28"/>
          <w:szCs w:val="28"/>
        </w:rPr>
        <w:t>Освенцім</w:t>
      </w:r>
      <w:proofErr w:type="spellEnd"/>
      <w:r>
        <w:rPr>
          <w:sz w:val="28"/>
          <w:szCs w:val="28"/>
        </w:rPr>
        <w:t xml:space="preserve"> і </w:t>
      </w:r>
      <w:proofErr w:type="spellStart"/>
      <w:r>
        <w:rPr>
          <w:sz w:val="28"/>
          <w:szCs w:val="28"/>
        </w:rPr>
        <w:t>Затора</w:t>
      </w:r>
      <w:proofErr w:type="spellEnd"/>
      <w:r>
        <w:rPr>
          <w:sz w:val="28"/>
          <w:szCs w:val="28"/>
        </w:rPr>
        <w:t xml:space="preserve"> та Великим князівством Краківським – 38 депутати; від Буковини – 5)</w:t>
      </w:r>
      <w:r>
        <w:rPr>
          <w:color w:val="FF0000"/>
          <w:sz w:val="28"/>
          <w:szCs w:val="28"/>
        </w:rPr>
        <w:t xml:space="preserve">. </w:t>
      </w:r>
      <w:r>
        <w:rPr>
          <w:sz w:val="28"/>
          <w:szCs w:val="28"/>
        </w:rPr>
        <w:t>До повної Державної ради входило 343 посли (з них 120 з країв Угорської корони) (ст. 6)</w:t>
      </w:r>
      <w:r>
        <w:t xml:space="preserve">  </w:t>
      </w:r>
      <w:r>
        <w:rPr>
          <w:sz w:val="28"/>
          <w:szCs w:val="28"/>
        </w:rPr>
        <w:t xml:space="preserve">[1, </w:t>
      </w:r>
      <w:r>
        <w:rPr>
          <w:sz w:val="28"/>
          <w:szCs w:val="28"/>
          <w:lang w:val="en-US"/>
        </w:rPr>
        <w:t>s</w:t>
      </w:r>
      <w:r>
        <w:rPr>
          <w:sz w:val="28"/>
          <w:szCs w:val="28"/>
        </w:rPr>
        <w:t>. 166–167].</w:t>
      </w:r>
      <w:r>
        <w:rPr>
          <w:i/>
          <w:sz w:val="28"/>
          <w:szCs w:val="28"/>
        </w:rPr>
        <w:t xml:space="preserve"> </w:t>
      </w:r>
      <w:r>
        <w:rPr>
          <w:sz w:val="28"/>
          <w:szCs w:val="28"/>
        </w:rPr>
        <w:t xml:space="preserve"> </w:t>
      </w:r>
      <w:r>
        <w:rPr>
          <w:color w:val="FF0000"/>
          <w:sz w:val="28"/>
          <w:szCs w:val="28"/>
        </w:rPr>
        <w:t xml:space="preserve"> </w:t>
      </w:r>
      <w:r>
        <w:rPr>
          <w:sz w:val="28"/>
          <w:szCs w:val="28"/>
        </w:rPr>
        <w:t xml:space="preserve"> </w:t>
      </w:r>
    </w:p>
    <w:p w:rsidR="007B0780" w:rsidRDefault="007B0780" w:rsidP="007B0780">
      <w:pPr>
        <w:pStyle w:val="1"/>
        <w:spacing w:line="360" w:lineRule="auto"/>
        <w:ind w:left="0" w:firstLine="708"/>
        <w:jc w:val="both"/>
        <w:rPr>
          <w:rFonts w:ascii="Times New Roman" w:hAnsi="Times New Roman"/>
          <w:sz w:val="28"/>
          <w:szCs w:val="28"/>
        </w:rPr>
      </w:pPr>
      <w:r>
        <w:rPr>
          <w:rFonts w:ascii="Times New Roman" w:hAnsi="Times New Roman"/>
          <w:sz w:val="28"/>
          <w:szCs w:val="28"/>
        </w:rPr>
        <w:t xml:space="preserve"> Депутати Палати Послів обиралися крайовими сеймами (ландтагами), Державними зборами Угорщини і </w:t>
      </w:r>
      <w:proofErr w:type="spellStart"/>
      <w:r>
        <w:rPr>
          <w:rFonts w:ascii="Times New Roman" w:hAnsi="Times New Roman"/>
          <w:i/>
          <w:sz w:val="28"/>
          <w:szCs w:val="28"/>
        </w:rPr>
        <w:t>сабором</w:t>
      </w:r>
      <w:proofErr w:type="spellEnd"/>
      <w:r>
        <w:rPr>
          <w:rFonts w:ascii="Times New Roman" w:hAnsi="Times New Roman"/>
          <w:sz w:val="28"/>
          <w:szCs w:val="28"/>
        </w:rPr>
        <w:t xml:space="preserve"> (сеймом. – А.Б.) Хорватії та Славонії. </w:t>
      </w:r>
    </w:p>
    <w:p w:rsidR="007B0780" w:rsidRDefault="007B0780" w:rsidP="007B0780">
      <w:pPr>
        <w:pStyle w:val="1"/>
        <w:spacing w:line="360" w:lineRule="auto"/>
        <w:ind w:left="0" w:firstLine="708"/>
        <w:jc w:val="both"/>
        <w:rPr>
          <w:rFonts w:ascii="Times New Roman" w:hAnsi="Times New Roman"/>
          <w:sz w:val="28"/>
          <w:szCs w:val="28"/>
        </w:rPr>
      </w:pPr>
      <w:r>
        <w:rPr>
          <w:rFonts w:ascii="Times New Roman" w:hAnsi="Times New Roman"/>
          <w:sz w:val="28"/>
          <w:szCs w:val="28"/>
        </w:rPr>
        <w:t>Правові підстави організації діяльності Галицького сейму регулював Додаток до Лютневого патенту №ІІ, літера «о» від 26 лютого 1861 р. під назвою «Галицький крайовий статут». У Розділі 1 цього статуту «Про репрезентацію краю в загальному» визначалося, що крайовий сейм складатиметься з 150 членів. Серед них автоматично ставали послами сейму так звані «</w:t>
      </w:r>
      <w:proofErr w:type="spellStart"/>
      <w:r>
        <w:rPr>
          <w:rFonts w:ascii="Times New Roman" w:hAnsi="Times New Roman"/>
          <w:sz w:val="28"/>
          <w:szCs w:val="28"/>
        </w:rPr>
        <w:t>вірилісти</w:t>
      </w:r>
      <w:proofErr w:type="spellEnd"/>
      <w:r>
        <w:rPr>
          <w:rFonts w:ascii="Times New Roman" w:hAnsi="Times New Roman"/>
          <w:sz w:val="28"/>
          <w:szCs w:val="28"/>
        </w:rPr>
        <w:t xml:space="preserve">»: 2 львівські архієпископи (католицький та греко-католицький), 2 – </w:t>
      </w:r>
      <w:proofErr w:type="spellStart"/>
      <w:r>
        <w:rPr>
          <w:rFonts w:ascii="Times New Roman" w:hAnsi="Times New Roman"/>
          <w:sz w:val="28"/>
          <w:szCs w:val="28"/>
        </w:rPr>
        <w:t>перемиські</w:t>
      </w:r>
      <w:proofErr w:type="spellEnd"/>
      <w:r>
        <w:rPr>
          <w:rFonts w:ascii="Times New Roman" w:hAnsi="Times New Roman"/>
          <w:sz w:val="28"/>
          <w:szCs w:val="28"/>
        </w:rPr>
        <w:t xml:space="preserve">, </w:t>
      </w:r>
      <w:proofErr w:type="spellStart"/>
      <w:r>
        <w:rPr>
          <w:rFonts w:ascii="Times New Roman" w:hAnsi="Times New Roman"/>
          <w:sz w:val="28"/>
          <w:szCs w:val="28"/>
        </w:rPr>
        <w:t>тарнівський</w:t>
      </w:r>
      <w:proofErr w:type="spellEnd"/>
      <w:r>
        <w:rPr>
          <w:rFonts w:ascii="Times New Roman" w:hAnsi="Times New Roman"/>
          <w:sz w:val="28"/>
          <w:szCs w:val="28"/>
        </w:rPr>
        <w:t xml:space="preserve"> та </w:t>
      </w:r>
      <w:proofErr w:type="spellStart"/>
      <w:r>
        <w:rPr>
          <w:rFonts w:ascii="Times New Roman" w:hAnsi="Times New Roman"/>
          <w:sz w:val="28"/>
          <w:szCs w:val="28"/>
        </w:rPr>
        <w:t>станіславівський</w:t>
      </w:r>
      <w:proofErr w:type="spellEnd"/>
      <w:r>
        <w:rPr>
          <w:rFonts w:ascii="Times New Roman" w:hAnsi="Times New Roman"/>
          <w:sz w:val="28"/>
          <w:szCs w:val="28"/>
        </w:rPr>
        <w:t xml:space="preserve"> єпископи, ректори Львівського та Краківського університетів. Решта 141 посол обиралися: з курії великої земельної власності – 44; з торгово-промислових палат (у Бродах, Кракові, Львові) – 3; з міської курії – 20; з курії малої земельної власності (сільської) – 74. Сейм утворював виконавчий орган – Крайовий відділ, який очолював маршалок. Розділ ІІ Крайового статуту визначав повноваження крайового сейму. А саме: управляти майном краю, регулювати податки, контролювати громадські ради,і громадські справи, церкву та школу (у частині, що не суперечила чинному законодавству) та згадане вище повноваження, щодо обрання депутатів до Державної ради. Порядок виборів до Державної ради визначав додаток до «Галицького </w:t>
      </w:r>
      <w:r>
        <w:rPr>
          <w:rFonts w:ascii="Times New Roman" w:hAnsi="Times New Roman"/>
          <w:sz w:val="28"/>
          <w:szCs w:val="28"/>
        </w:rPr>
        <w:lastRenderedPageBreak/>
        <w:t xml:space="preserve">крайового статуту». У відповідності до даного нормативно-правового акту, Галицький крайовий сейм був уповноважений висилати до Державної Ради 38 депутатів у наступному співвідношенні: від </w:t>
      </w:r>
      <w:proofErr w:type="spellStart"/>
      <w:r>
        <w:rPr>
          <w:rFonts w:ascii="Times New Roman" w:hAnsi="Times New Roman"/>
          <w:sz w:val="28"/>
          <w:szCs w:val="28"/>
        </w:rPr>
        <w:t>вірилістів</w:t>
      </w:r>
      <w:proofErr w:type="spellEnd"/>
      <w:r>
        <w:rPr>
          <w:rFonts w:ascii="Times New Roman" w:hAnsi="Times New Roman"/>
          <w:sz w:val="28"/>
          <w:szCs w:val="28"/>
        </w:rPr>
        <w:t xml:space="preserve"> – 9 послів; від курії великих землевласників – 4 посли; від курії міст – 6 послів; з курії торгово-промислових палат – 1 посла; з сільської курії – 18 послів [2, </w:t>
      </w:r>
      <w:r>
        <w:rPr>
          <w:rFonts w:ascii="Times New Roman" w:hAnsi="Times New Roman"/>
          <w:sz w:val="28"/>
          <w:szCs w:val="28"/>
          <w:lang w:val="en-US"/>
        </w:rPr>
        <w:t>s</w:t>
      </w:r>
      <w:r>
        <w:rPr>
          <w:rFonts w:ascii="Times New Roman" w:hAnsi="Times New Roman"/>
          <w:sz w:val="28"/>
          <w:szCs w:val="28"/>
        </w:rPr>
        <w:t>. 5–1</w:t>
      </w:r>
      <w:r>
        <w:rPr>
          <w:sz w:val="28"/>
          <w:szCs w:val="28"/>
        </w:rPr>
        <w:t>3</w:t>
      </w:r>
      <w:r>
        <w:rPr>
          <w:rFonts w:ascii="Times New Roman" w:hAnsi="Times New Roman"/>
          <w:sz w:val="28"/>
          <w:szCs w:val="28"/>
        </w:rPr>
        <w:t>].</w:t>
      </w:r>
      <w:r>
        <w:rPr>
          <w:i/>
          <w:sz w:val="28"/>
          <w:szCs w:val="28"/>
        </w:rPr>
        <w:t xml:space="preserve"> </w:t>
      </w:r>
      <w:r>
        <w:rPr>
          <w:sz w:val="28"/>
          <w:szCs w:val="28"/>
        </w:rPr>
        <w:t xml:space="preserve"> </w:t>
      </w:r>
      <w:r>
        <w:rPr>
          <w:color w:val="FF0000"/>
          <w:sz w:val="28"/>
          <w:szCs w:val="28"/>
        </w:rPr>
        <w:t xml:space="preserve"> </w:t>
      </w:r>
      <w:r>
        <w:rPr>
          <w:rFonts w:ascii="Times New Roman" w:hAnsi="Times New Roman"/>
          <w:sz w:val="28"/>
          <w:szCs w:val="28"/>
        </w:rPr>
        <w:t>Голосування відбувалося в кожній курії окремо. В результаті цього представництво в Державній раді мало подвійний характер – депутати були репрезентантами крайової автономії та представниками інтересів певних груп (що мало на той час визначальне значення) [3, с. 106].</w:t>
      </w:r>
      <w:r>
        <w:rPr>
          <w:i/>
          <w:sz w:val="28"/>
          <w:szCs w:val="28"/>
        </w:rPr>
        <w:t xml:space="preserve"> </w:t>
      </w:r>
      <w:r>
        <w:rPr>
          <w:sz w:val="28"/>
          <w:szCs w:val="28"/>
        </w:rPr>
        <w:t xml:space="preserve"> </w:t>
      </w:r>
      <w:r>
        <w:rPr>
          <w:color w:val="FF0000"/>
          <w:sz w:val="28"/>
          <w:szCs w:val="28"/>
        </w:rPr>
        <w:t xml:space="preserve"> </w:t>
      </w:r>
      <w:r>
        <w:rPr>
          <w:rFonts w:ascii="Times New Roman" w:hAnsi="Times New Roman"/>
          <w:sz w:val="28"/>
          <w:szCs w:val="28"/>
        </w:rPr>
        <w:t xml:space="preserve">  Цісар залишив за собою право призначати президентів та віце-президентів кожної з Палат (ст. 8).</w:t>
      </w:r>
    </w:p>
    <w:p w:rsidR="007B0780" w:rsidRDefault="007B0780" w:rsidP="007B0780">
      <w:pPr>
        <w:pStyle w:val="1"/>
        <w:spacing w:line="360" w:lineRule="auto"/>
        <w:ind w:left="0" w:firstLine="708"/>
        <w:jc w:val="both"/>
        <w:rPr>
          <w:rFonts w:ascii="Times New Roman" w:hAnsi="Times New Roman"/>
          <w:sz w:val="28"/>
          <w:szCs w:val="28"/>
        </w:rPr>
      </w:pPr>
      <w:r>
        <w:rPr>
          <w:rFonts w:ascii="Times New Roman" w:hAnsi="Times New Roman"/>
          <w:sz w:val="28"/>
          <w:szCs w:val="28"/>
        </w:rPr>
        <w:t>Державна Рада мала скликатися щорічно (ст. 9).</w:t>
      </w:r>
    </w:p>
    <w:p w:rsidR="007B0780" w:rsidRDefault="007B0780" w:rsidP="007B0780">
      <w:pPr>
        <w:pStyle w:val="1"/>
        <w:spacing w:line="360" w:lineRule="auto"/>
        <w:ind w:left="0" w:firstLine="708"/>
        <w:jc w:val="both"/>
        <w:rPr>
          <w:rFonts w:ascii="Times New Roman" w:hAnsi="Times New Roman"/>
          <w:sz w:val="28"/>
          <w:szCs w:val="28"/>
        </w:rPr>
      </w:pPr>
      <w:r>
        <w:rPr>
          <w:rFonts w:ascii="Times New Roman" w:hAnsi="Times New Roman"/>
          <w:sz w:val="28"/>
          <w:szCs w:val="28"/>
        </w:rPr>
        <w:t>Сфера діяльності повної Державної Ради охоплювала усе загальнодержавне законодавство. Зокрема, це були питання, що стосувалися військової служби; загальнодержавних фінансів; комунікацій (пошта, залізниця і телеграф) (ст. 10).</w:t>
      </w:r>
    </w:p>
    <w:p w:rsidR="007B0780" w:rsidRDefault="007B0780" w:rsidP="007B0780">
      <w:pPr>
        <w:pStyle w:val="1"/>
        <w:spacing w:line="360" w:lineRule="auto"/>
        <w:ind w:left="0" w:firstLine="708"/>
        <w:jc w:val="both"/>
        <w:rPr>
          <w:rFonts w:ascii="Times New Roman" w:hAnsi="Times New Roman"/>
          <w:sz w:val="28"/>
          <w:szCs w:val="28"/>
        </w:rPr>
      </w:pPr>
      <w:r>
        <w:rPr>
          <w:rFonts w:ascii="Times New Roman" w:hAnsi="Times New Roman"/>
          <w:sz w:val="28"/>
          <w:szCs w:val="28"/>
        </w:rPr>
        <w:t xml:space="preserve">До компетенції вузької Державної Ради (не входили угорські представники)  належали усі справи, які не були окремо передбачені в статутах сеймів окремих країв (ст. 11). </w:t>
      </w:r>
    </w:p>
    <w:p w:rsidR="007B0780" w:rsidRDefault="007B0780" w:rsidP="007B0780">
      <w:pPr>
        <w:pStyle w:val="1"/>
        <w:spacing w:line="360" w:lineRule="auto"/>
        <w:ind w:left="0" w:firstLine="708"/>
        <w:jc w:val="both"/>
        <w:rPr>
          <w:rFonts w:ascii="Times New Roman" w:hAnsi="Times New Roman"/>
          <w:sz w:val="28"/>
          <w:szCs w:val="28"/>
        </w:rPr>
      </w:pPr>
      <w:r>
        <w:rPr>
          <w:rFonts w:ascii="Times New Roman" w:hAnsi="Times New Roman"/>
          <w:sz w:val="28"/>
          <w:szCs w:val="28"/>
        </w:rPr>
        <w:t>Право законодавчої ініціативи надавалося урядові та Державній Раді (лише в питаннях, що відносились до сфери її компетенції). Для законопроектів, які виносилися на розгляд Державною Радою, вимагалася згода двох Палат та санкція цісаря (ст. 12).</w:t>
      </w:r>
    </w:p>
    <w:p w:rsidR="007B0780" w:rsidRDefault="007B0780" w:rsidP="007B0780">
      <w:pPr>
        <w:pStyle w:val="1"/>
        <w:spacing w:line="360" w:lineRule="auto"/>
        <w:ind w:left="0" w:firstLine="708"/>
        <w:jc w:val="both"/>
        <w:rPr>
          <w:rFonts w:ascii="Times New Roman" w:hAnsi="Times New Roman"/>
          <w:sz w:val="28"/>
          <w:szCs w:val="28"/>
        </w:rPr>
      </w:pPr>
      <w:r>
        <w:rPr>
          <w:rFonts w:ascii="Times New Roman" w:hAnsi="Times New Roman"/>
          <w:sz w:val="28"/>
          <w:szCs w:val="28"/>
        </w:rPr>
        <w:t>Для прийняття законопроекту потрібно було, щоб за нього проголосувала абсолютна більшість присутніх депутатів (ст. 14). Усі члени Державної Ради повинні були голосувати особисто (ст. 16).</w:t>
      </w:r>
    </w:p>
    <w:p w:rsidR="007B0780" w:rsidRDefault="007B0780" w:rsidP="007B0780">
      <w:pPr>
        <w:spacing w:line="360" w:lineRule="auto"/>
        <w:ind w:firstLine="708"/>
        <w:jc w:val="both"/>
        <w:rPr>
          <w:i/>
        </w:rPr>
      </w:pPr>
      <w:r>
        <w:rPr>
          <w:sz w:val="28"/>
          <w:szCs w:val="28"/>
        </w:rPr>
        <w:t xml:space="preserve">Рішення про скликання чи розпуск Палати послів приймав цісар (ст. 18) [1, </w:t>
      </w:r>
      <w:r>
        <w:rPr>
          <w:sz w:val="28"/>
          <w:szCs w:val="28"/>
          <w:lang w:val="en-US"/>
        </w:rPr>
        <w:t>s</w:t>
      </w:r>
      <w:r>
        <w:rPr>
          <w:sz w:val="28"/>
          <w:szCs w:val="28"/>
        </w:rPr>
        <w:t xml:space="preserve">. </w:t>
      </w:r>
      <w:proofErr w:type="gramStart"/>
      <w:r>
        <w:rPr>
          <w:sz w:val="28"/>
          <w:szCs w:val="28"/>
        </w:rPr>
        <w:t>168</w:t>
      </w:r>
      <w:proofErr w:type="gramEnd"/>
      <w:r>
        <w:rPr>
          <w:sz w:val="28"/>
          <w:szCs w:val="28"/>
        </w:rPr>
        <w:t>–170].</w:t>
      </w:r>
      <w:r>
        <w:rPr>
          <w:i/>
          <w:sz w:val="28"/>
          <w:szCs w:val="28"/>
        </w:rPr>
        <w:t xml:space="preserve"> </w:t>
      </w:r>
      <w:r>
        <w:rPr>
          <w:sz w:val="28"/>
          <w:szCs w:val="28"/>
        </w:rPr>
        <w:t xml:space="preserve"> </w:t>
      </w:r>
      <w:r>
        <w:rPr>
          <w:color w:val="FF0000"/>
          <w:sz w:val="28"/>
          <w:szCs w:val="28"/>
        </w:rPr>
        <w:t xml:space="preserve"> </w:t>
      </w:r>
    </w:p>
    <w:p w:rsidR="007B0780" w:rsidRPr="007B0780" w:rsidRDefault="007B0780" w:rsidP="007B0780">
      <w:pPr>
        <w:spacing w:line="360" w:lineRule="auto"/>
        <w:ind w:firstLine="900"/>
        <w:jc w:val="both"/>
        <w:rPr>
          <w:sz w:val="28"/>
          <w:szCs w:val="28"/>
          <w:lang w:val="ru-RU"/>
        </w:rPr>
      </w:pPr>
      <w:r>
        <w:rPr>
          <w:sz w:val="28"/>
          <w:szCs w:val="28"/>
        </w:rPr>
        <w:t xml:space="preserve">Загалом, Додаток до Лютневого патенту «Основний закон про державне представництво» був прогресивним в тому, що збільшив </w:t>
      </w:r>
      <w:r>
        <w:rPr>
          <w:sz w:val="28"/>
          <w:szCs w:val="28"/>
        </w:rPr>
        <w:lastRenderedPageBreak/>
        <w:t>повноваження нового парламенту, зокрема, він отримав право законодавчої ініціативи та контролю за державними фінансами. Цей нормативно-правовий акт також ввів формулу «королівства і землі, представлені у рейхсраті», яка з 1867 р. стала офіційною назвою австрійської частини Австро-Угорської монархії. Вперше вона була вжита в Додатку до Лютневого патенту при визначенні складу вузької Державної Ради, на відміну від повної Державної Ради, в якій обговорювались загальнодержавні справи, включаючи й Угорське королівство [4, с. 86–87</w:t>
      </w:r>
      <w:r w:rsidRPr="007B0780">
        <w:rPr>
          <w:sz w:val="28"/>
          <w:szCs w:val="28"/>
          <w:lang w:val="ru-RU"/>
        </w:rPr>
        <w:t>].</w:t>
      </w:r>
    </w:p>
    <w:p w:rsidR="007B0780" w:rsidRPr="007B0780" w:rsidRDefault="007B0780" w:rsidP="007B0780">
      <w:pPr>
        <w:spacing w:line="360" w:lineRule="auto"/>
        <w:ind w:firstLine="900"/>
        <w:jc w:val="center"/>
        <w:rPr>
          <w:b/>
          <w:sz w:val="28"/>
          <w:szCs w:val="28"/>
        </w:rPr>
      </w:pPr>
      <w:r w:rsidRPr="007B0780">
        <w:rPr>
          <w:b/>
          <w:sz w:val="28"/>
          <w:szCs w:val="28"/>
        </w:rPr>
        <w:t>Список використаних джерел</w:t>
      </w:r>
    </w:p>
    <w:p w:rsidR="007B0780" w:rsidRPr="00A000F3" w:rsidRDefault="007B0780" w:rsidP="007B0780">
      <w:pPr>
        <w:pStyle w:val="a3"/>
        <w:numPr>
          <w:ilvl w:val="0"/>
          <w:numId w:val="1"/>
        </w:numPr>
        <w:spacing w:line="360" w:lineRule="auto"/>
        <w:jc w:val="both"/>
        <w:rPr>
          <w:sz w:val="28"/>
          <w:szCs w:val="28"/>
          <w:lang w:val="pl-PL"/>
        </w:rPr>
      </w:pPr>
      <w:proofErr w:type="spellStart"/>
      <w:r w:rsidRPr="00A000F3">
        <w:rPr>
          <w:sz w:val="28"/>
          <w:szCs w:val="28"/>
        </w:rPr>
        <w:t>Kodeks</w:t>
      </w:r>
      <w:proofErr w:type="spellEnd"/>
      <w:r w:rsidRPr="00A000F3">
        <w:rPr>
          <w:sz w:val="28"/>
          <w:szCs w:val="28"/>
        </w:rPr>
        <w:t xml:space="preserve"> </w:t>
      </w:r>
      <w:proofErr w:type="spellStart"/>
      <w:r w:rsidRPr="00A000F3">
        <w:rPr>
          <w:sz w:val="28"/>
          <w:szCs w:val="28"/>
        </w:rPr>
        <w:t>prawa</w:t>
      </w:r>
      <w:proofErr w:type="spellEnd"/>
      <w:r w:rsidRPr="00A000F3">
        <w:rPr>
          <w:sz w:val="28"/>
          <w:szCs w:val="28"/>
        </w:rPr>
        <w:t xml:space="preserve"> </w:t>
      </w:r>
      <w:proofErr w:type="spellStart"/>
      <w:r w:rsidRPr="00A000F3">
        <w:rPr>
          <w:sz w:val="28"/>
          <w:szCs w:val="28"/>
        </w:rPr>
        <w:t>politycznego</w:t>
      </w:r>
      <w:proofErr w:type="spellEnd"/>
      <w:r w:rsidRPr="00A000F3">
        <w:rPr>
          <w:sz w:val="28"/>
          <w:szCs w:val="28"/>
        </w:rPr>
        <w:t xml:space="preserve">, </w:t>
      </w:r>
      <w:proofErr w:type="spellStart"/>
      <w:r w:rsidRPr="00A000F3">
        <w:rPr>
          <w:sz w:val="28"/>
          <w:szCs w:val="28"/>
        </w:rPr>
        <w:t>czyli</w:t>
      </w:r>
      <w:proofErr w:type="spellEnd"/>
      <w:r w:rsidRPr="00A000F3">
        <w:rPr>
          <w:sz w:val="28"/>
          <w:szCs w:val="28"/>
        </w:rPr>
        <w:t xml:space="preserve"> </w:t>
      </w:r>
      <w:proofErr w:type="spellStart"/>
      <w:r w:rsidRPr="00A000F3">
        <w:rPr>
          <w:sz w:val="28"/>
          <w:szCs w:val="28"/>
        </w:rPr>
        <w:t>Austryackie</w:t>
      </w:r>
      <w:proofErr w:type="spellEnd"/>
      <w:r w:rsidRPr="00A000F3">
        <w:rPr>
          <w:sz w:val="28"/>
          <w:szCs w:val="28"/>
        </w:rPr>
        <w:t xml:space="preserve"> </w:t>
      </w:r>
      <w:proofErr w:type="spellStart"/>
      <w:r w:rsidRPr="00A000F3">
        <w:rPr>
          <w:sz w:val="28"/>
          <w:szCs w:val="28"/>
        </w:rPr>
        <w:t>Ustawy</w:t>
      </w:r>
      <w:proofErr w:type="spellEnd"/>
      <w:r w:rsidRPr="00A000F3">
        <w:rPr>
          <w:sz w:val="28"/>
          <w:szCs w:val="28"/>
        </w:rPr>
        <w:t xml:space="preserve"> </w:t>
      </w:r>
      <w:proofErr w:type="spellStart"/>
      <w:r w:rsidRPr="00A000F3">
        <w:rPr>
          <w:sz w:val="28"/>
          <w:szCs w:val="28"/>
        </w:rPr>
        <w:t>Konstytucyjne</w:t>
      </w:r>
      <w:proofErr w:type="spellEnd"/>
      <w:r w:rsidRPr="00A000F3">
        <w:rPr>
          <w:sz w:val="28"/>
          <w:szCs w:val="28"/>
        </w:rPr>
        <w:t xml:space="preserve"> 1848-1903 / </w:t>
      </w:r>
      <w:proofErr w:type="spellStart"/>
      <w:r w:rsidRPr="00A000F3">
        <w:rPr>
          <w:sz w:val="28"/>
          <w:szCs w:val="28"/>
        </w:rPr>
        <w:t>systematycznie</w:t>
      </w:r>
      <w:proofErr w:type="spellEnd"/>
      <w:r w:rsidRPr="00A000F3">
        <w:rPr>
          <w:sz w:val="28"/>
          <w:szCs w:val="28"/>
        </w:rPr>
        <w:t xml:space="preserve"> </w:t>
      </w:r>
      <w:proofErr w:type="spellStart"/>
      <w:r w:rsidRPr="00A000F3">
        <w:rPr>
          <w:sz w:val="28"/>
          <w:szCs w:val="28"/>
        </w:rPr>
        <w:t>zestawił</w:t>
      </w:r>
      <w:proofErr w:type="spellEnd"/>
      <w:r w:rsidRPr="00A000F3">
        <w:rPr>
          <w:sz w:val="28"/>
          <w:szCs w:val="28"/>
        </w:rPr>
        <w:t xml:space="preserve">, </w:t>
      </w:r>
      <w:proofErr w:type="spellStart"/>
      <w:r w:rsidRPr="00A000F3">
        <w:rPr>
          <w:sz w:val="28"/>
          <w:szCs w:val="28"/>
        </w:rPr>
        <w:t>przełożył</w:t>
      </w:r>
      <w:proofErr w:type="spellEnd"/>
      <w:r w:rsidRPr="00A000F3">
        <w:rPr>
          <w:sz w:val="28"/>
          <w:szCs w:val="28"/>
        </w:rPr>
        <w:t xml:space="preserve"> i </w:t>
      </w:r>
      <w:proofErr w:type="spellStart"/>
      <w:r w:rsidRPr="00A000F3">
        <w:rPr>
          <w:sz w:val="28"/>
          <w:szCs w:val="28"/>
        </w:rPr>
        <w:t>opracował</w:t>
      </w:r>
      <w:proofErr w:type="spellEnd"/>
      <w:r w:rsidRPr="00A000F3">
        <w:rPr>
          <w:sz w:val="28"/>
          <w:szCs w:val="28"/>
        </w:rPr>
        <w:t xml:space="preserve"> </w:t>
      </w:r>
      <w:proofErr w:type="spellStart"/>
      <w:r w:rsidRPr="00A000F3">
        <w:rPr>
          <w:sz w:val="28"/>
          <w:szCs w:val="28"/>
        </w:rPr>
        <w:t>Stanisław</w:t>
      </w:r>
      <w:proofErr w:type="spellEnd"/>
      <w:r w:rsidRPr="00A000F3">
        <w:rPr>
          <w:sz w:val="28"/>
          <w:szCs w:val="28"/>
        </w:rPr>
        <w:t xml:space="preserve"> </w:t>
      </w:r>
      <w:proofErr w:type="spellStart"/>
      <w:r w:rsidRPr="00A000F3">
        <w:rPr>
          <w:sz w:val="28"/>
          <w:szCs w:val="28"/>
        </w:rPr>
        <w:t>Starzyński</w:t>
      </w:r>
      <w:proofErr w:type="spellEnd"/>
      <w:r w:rsidRPr="00A000F3">
        <w:rPr>
          <w:sz w:val="28"/>
          <w:szCs w:val="28"/>
        </w:rPr>
        <w:t xml:space="preserve"> </w:t>
      </w:r>
      <w:proofErr w:type="spellStart"/>
      <w:r w:rsidRPr="00A000F3">
        <w:rPr>
          <w:sz w:val="28"/>
          <w:szCs w:val="28"/>
        </w:rPr>
        <w:t>We</w:t>
      </w:r>
      <w:proofErr w:type="spellEnd"/>
      <w:r w:rsidRPr="00A000F3">
        <w:rPr>
          <w:sz w:val="28"/>
          <w:szCs w:val="28"/>
        </w:rPr>
        <w:t xml:space="preserve"> </w:t>
      </w:r>
      <w:proofErr w:type="spellStart"/>
      <w:r w:rsidRPr="00A000F3">
        <w:rPr>
          <w:sz w:val="28"/>
          <w:szCs w:val="28"/>
        </w:rPr>
        <w:t>Lwowie</w:t>
      </w:r>
      <w:proofErr w:type="spellEnd"/>
      <w:r w:rsidRPr="00A000F3">
        <w:rPr>
          <w:sz w:val="28"/>
          <w:szCs w:val="28"/>
        </w:rPr>
        <w:t xml:space="preserve"> : </w:t>
      </w:r>
      <w:proofErr w:type="spellStart"/>
      <w:r w:rsidRPr="00A000F3">
        <w:rPr>
          <w:sz w:val="28"/>
          <w:szCs w:val="28"/>
        </w:rPr>
        <w:t>Nakładem</w:t>
      </w:r>
      <w:proofErr w:type="spellEnd"/>
      <w:r w:rsidRPr="00A000F3">
        <w:rPr>
          <w:sz w:val="28"/>
          <w:szCs w:val="28"/>
        </w:rPr>
        <w:t xml:space="preserve"> K.S</w:t>
      </w:r>
      <w:r w:rsidR="00A000F3">
        <w:rPr>
          <w:sz w:val="28"/>
          <w:szCs w:val="28"/>
        </w:rPr>
        <w:t xml:space="preserve">. </w:t>
      </w:r>
      <w:proofErr w:type="spellStart"/>
      <w:r w:rsidR="00A000F3">
        <w:rPr>
          <w:sz w:val="28"/>
          <w:szCs w:val="28"/>
        </w:rPr>
        <w:t>Jakubowskiego</w:t>
      </w:r>
      <w:proofErr w:type="spellEnd"/>
      <w:r w:rsidR="00A000F3">
        <w:rPr>
          <w:sz w:val="28"/>
          <w:szCs w:val="28"/>
        </w:rPr>
        <w:t>, 1903. –  1069</w:t>
      </w:r>
      <w:r w:rsidR="00A000F3">
        <w:rPr>
          <w:sz w:val="28"/>
          <w:szCs w:val="28"/>
          <w:lang w:val="en-US"/>
        </w:rPr>
        <w:t> s</w:t>
      </w:r>
      <w:r w:rsidR="00A000F3">
        <w:rPr>
          <w:sz w:val="28"/>
          <w:szCs w:val="28"/>
        </w:rPr>
        <w:t>.</w:t>
      </w:r>
      <w:r w:rsidRPr="00A000F3">
        <w:rPr>
          <w:sz w:val="28"/>
          <w:szCs w:val="28"/>
        </w:rPr>
        <w:t xml:space="preserve"> </w:t>
      </w:r>
    </w:p>
    <w:p w:rsidR="00A000F3" w:rsidRPr="00A000F3" w:rsidRDefault="007B0780" w:rsidP="007B0780">
      <w:pPr>
        <w:pStyle w:val="1"/>
        <w:numPr>
          <w:ilvl w:val="0"/>
          <w:numId w:val="1"/>
        </w:numPr>
        <w:spacing w:line="360" w:lineRule="auto"/>
        <w:jc w:val="both"/>
        <w:rPr>
          <w:rFonts w:ascii="Times New Roman" w:hAnsi="Times New Roman"/>
          <w:sz w:val="28"/>
          <w:szCs w:val="28"/>
        </w:rPr>
      </w:pPr>
      <w:r w:rsidRPr="00A000F3">
        <w:rPr>
          <w:rFonts w:ascii="Times New Roman" w:hAnsi="Times New Roman"/>
          <w:sz w:val="28"/>
          <w:szCs w:val="28"/>
          <w:lang w:val="pl-PL"/>
        </w:rPr>
        <w:t>Grodziski</w:t>
      </w:r>
      <w:r w:rsidRPr="00A000F3">
        <w:rPr>
          <w:rFonts w:ascii="Times New Roman" w:hAnsi="Times New Roman"/>
          <w:sz w:val="28"/>
          <w:szCs w:val="28"/>
        </w:rPr>
        <w:t xml:space="preserve"> </w:t>
      </w:r>
      <w:r w:rsidR="00A000F3" w:rsidRPr="00A000F3">
        <w:rPr>
          <w:rFonts w:ascii="Times New Roman" w:hAnsi="Times New Roman"/>
          <w:sz w:val="28"/>
          <w:szCs w:val="28"/>
          <w:lang w:val="pl-PL"/>
        </w:rPr>
        <w:t xml:space="preserve">S. </w:t>
      </w:r>
      <w:proofErr w:type="spellStart"/>
      <w:r w:rsidRPr="00A000F3">
        <w:rPr>
          <w:rFonts w:ascii="Times New Roman" w:hAnsi="Times New Roman"/>
          <w:sz w:val="28"/>
          <w:szCs w:val="28"/>
        </w:rPr>
        <w:t>Sejm</w:t>
      </w:r>
      <w:proofErr w:type="spellEnd"/>
      <w:r w:rsidRPr="00A000F3">
        <w:rPr>
          <w:rFonts w:ascii="Times New Roman" w:hAnsi="Times New Roman"/>
          <w:sz w:val="28"/>
          <w:szCs w:val="28"/>
          <w:lang w:val="pl-PL"/>
        </w:rPr>
        <w:t xml:space="preserve"> Krajowy galicyjski</w:t>
      </w:r>
      <w:r w:rsidRPr="00A000F3">
        <w:rPr>
          <w:rFonts w:ascii="Times New Roman" w:hAnsi="Times New Roman"/>
          <w:sz w:val="28"/>
          <w:szCs w:val="28"/>
        </w:rPr>
        <w:t xml:space="preserve"> 1861-1914</w:t>
      </w:r>
      <w:r w:rsidR="00A000F3">
        <w:rPr>
          <w:rFonts w:ascii="Times New Roman" w:hAnsi="Times New Roman"/>
          <w:sz w:val="28"/>
          <w:szCs w:val="28"/>
          <w:lang w:val="pl-PL"/>
        </w:rPr>
        <w:t xml:space="preserve">. </w:t>
      </w:r>
      <w:r w:rsidRPr="00A000F3">
        <w:rPr>
          <w:rFonts w:ascii="Times New Roman" w:hAnsi="Times New Roman"/>
          <w:sz w:val="28"/>
          <w:szCs w:val="28"/>
          <w:lang w:val="pl-PL"/>
        </w:rPr>
        <w:t>Zrodla</w:t>
      </w:r>
      <w:r w:rsidR="00A000F3">
        <w:rPr>
          <w:rFonts w:ascii="Times New Roman" w:hAnsi="Times New Roman"/>
          <w:sz w:val="28"/>
          <w:szCs w:val="28"/>
        </w:rPr>
        <w:t xml:space="preserve"> //</w:t>
      </w:r>
      <w:r w:rsidRPr="00A000F3">
        <w:rPr>
          <w:rFonts w:ascii="Times New Roman" w:hAnsi="Times New Roman"/>
          <w:sz w:val="28"/>
          <w:szCs w:val="28"/>
          <w:lang w:val="pl-PL"/>
        </w:rPr>
        <w:t xml:space="preserve"> </w:t>
      </w:r>
      <w:r w:rsidR="00A000F3" w:rsidRPr="00A000F3">
        <w:rPr>
          <w:rFonts w:ascii="Times New Roman" w:hAnsi="Times New Roman"/>
          <w:sz w:val="28"/>
          <w:szCs w:val="28"/>
          <w:lang w:val="pl-PL"/>
        </w:rPr>
        <w:t>S. Grodziski</w:t>
      </w:r>
      <w:r w:rsidR="00A000F3">
        <w:rPr>
          <w:rFonts w:ascii="Times New Roman" w:hAnsi="Times New Roman"/>
          <w:sz w:val="28"/>
          <w:szCs w:val="28"/>
        </w:rPr>
        <w:t> :</w:t>
      </w:r>
      <w:r w:rsidR="00A000F3" w:rsidRPr="00A000F3">
        <w:rPr>
          <w:rFonts w:ascii="Times New Roman" w:hAnsi="Times New Roman"/>
          <w:sz w:val="28"/>
          <w:szCs w:val="28"/>
        </w:rPr>
        <w:t xml:space="preserve"> </w:t>
      </w:r>
      <w:r w:rsidRPr="00A000F3">
        <w:rPr>
          <w:rFonts w:ascii="Times New Roman" w:hAnsi="Times New Roman"/>
          <w:sz w:val="28"/>
          <w:szCs w:val="28"/>
          <w:lang w:val="pl-PL"/>
        </w:rPr>
        <w:t>Wydawnictwo Sejmowe</w:t>
      </w:r>
      <w:r w:rsidR="00A000F3">
        <w:rPr>
          <w:rFonts w:ascii="Times New Roman" w:hAnsi="Times New Roman"/>
          <w:sz w:val="28"/>
          <w:szCs w:val="28"/>
        </w:rPr>
        <w:t>. –</w:t>
      </w:r>
      <w:r w:rsidRPr="00A000F3">
        <w:rPr>
          <w:rFonts w:ascii="Times New Roman" w:hAnsi="Times New Roman"/>
          <w:sz w:val="28"/>
          <w:szCs w:val="28"/>
          <w:lang w:val="pl-PL"/>
        </w:rPr>
        <w:t xml:space="preserve"> Warszawa</w:t>
      </w:r>
      <w:r w:rsidR="00A000F3">
        <w:rPr>
          <w:rFonts w:ascii="Times New Roman" w:hAnsi="Times New Roman"/>
          <w:sz w:val="28"/>
          <w:szCs w:val="28"/>
        </w:rPr>
        <w:t>, 1993. –</w:t>
      </w:r>
      <w:r w:rsidRPr="00A000F3">
        <w:rPr>
          <w:rFonts w:ascii="Times New Roman" w:hAnsi="Times New Roman"/>
          <w:sz w:val="28"/>
          <w:szCs w:val="28"/>
        </w:rPr>
        <w:t xml:space="preserve"> 558</w:t>
      </w:r>
      <w:r w:rsidRPr="00A000F3">
        <w:rPr>
          <w:rFonts w:ascii="Times New Roman" w:hAnsi="Times New Roman"/>
          <w:sz w:val="28"/>
          <w:szCs w:val="28"/>
          <w:lang w:val="pl-PL"/>
        </w:rPr>
        <w:t xml:space="preserve"> s</w:t>
      </w:r>
      <w:r w:rsidRPr="00A000F3">
        <w:rPr>
          <w:rFonts w:ascii="Times New Roman" w:hAnsi="Times New Roman"/>
          <w:sz w:val="28"/>
          <w:szCs w:val="28"/>
        </w:rPr>
        <w:t xml:space="preserve">.  </w:t>
      </w:r>
    </w:p>
    <w:p w:rsidR="007B0780" w:rsidRPr="00A000F3" w:rsidRDefault="00A000F3" w:rsidP="007B0780">
      <w:pPr>
        <w:pStyle w:val="1"/>
        <w:numPr>
          <w:ilvl w:val="0"/>
          <w:numId w:val="1"/>
        </w:numPr>
        <w:spacing w:line="360" w:lineRule="auto"/>
        <w:jc w:val="both"/>
        <w:rPr>
          <w:rFonts w:ascii="Times New Roman" w:hAnsi="Times New Roman"/>
          <w:sz w:val="28"/>
          <w:szCs w:val="28"/>
        </w:rPr>
      </w:pPr>
      <w:r>
        <w:rPr>
          <w:rFonts w:ascii="Times New Roman" w:hAnsi="Times New Roman"/>
          <w:sz w:val="28"/>
          <w:szCs w:val="28"/>
        </w:rPr>
        <w:t>Дністрянський С. Р</w:t>
      </w:r>
      <w:r w:rsidR="007B0780" w:rsidRPr="00A000F3">
        <w:rPr>
          <w:rFonts w:ascii="Times New Roman" w:hAnsi="Times New Roman"/>
          <w:sz w:val="28"/>
          <w:szCs w:val="28"/>
        </w:rPr>
        <w:t xml:space="preserve">еформа виборчого права в Австрії // </w:t>
      </w:r>
      <w:proofErr w:type="spellStart"/>
      <w:r w:rsidR="007B0780" w:rsidRPr="00A000F3">
        <w:rPr>
          <w:rFonts w:ascii="Times New Roman" w:hAnsi="Times New Roman"/>
          <w:sz w:val="28"/>
          <w:szCs w:val="28"/>
        </w:rPr>
        <w:t>Часопись</w:t>
      </w:r>
      <w:proofErr w:type="spellEnd"/>
      <w:r w:rsidR="007B0780" w:rsidRPr="00A000F3">
        <w:rPr>
          <w:rFonts w:ascii="Times New Roman" w:hAnsi="Times New Roman"/>
          <w:sz w:val="28"/>
          <w:szCs w:val="28"/>
        </w:rPr>
        <w:t xml:space="preserve"> правнича і економічна. – Льві</w:t>
      </w:r>
      <w:r>
        <w:rPr>
          <w:rFonts w:ascii="Times New Roman" w:hAnsi="Times New Roman"/>
          <w:sz w:val="28"/>
          <w:szCs w:val="28"/>
        </w:rPr>
        <w:t>в, 1906. – Ч.6 – Т.9. – С. 34-55</w:t>
      </w:r>
      <w:r w:rsidR="007B0780" w:rsidRPr="00A000F3">
        <w:rPr>
          <w:rFonts w:ascii="Times New Roman" w:hAnsi="Times New Roman"/>
          <w:sz w:val="28"/>
          <w:szCs w:val="28"/>
        </w:rPr>
        <w:t>.</w:t>
      </w:r>
    </w:p>
    <w:p w:rsidR="00A000F3" w:rsidRPr="00D069BF" w:rsidRDefault="00A000F3" w:rsidP="00A000F3">
      <w:pPr>
        <w:numPr>
          <w:ilvl w:val="0"/>
          <w:numId w:val="1"/>
        </w:numPr>
        <w:tabs>
          <w:tab w:val="left" w:pos="540"/>
        </w:tabs>
        <w:spacing w:line="360" w:lineRule="auto"/>
        <w:ind w:right="-81"/>
        <w:jc w:val="both"/>
        <w:rPr>
          <w:color w:val="000000"/>
          <w:sz w:val="28"/>
          <w:szCs w:val="28"/>
        </w:rPr>
      </w:pPr>
      <w:proofErr w:type="spellStart"/>
      <w:r w:rsidRPr="00D069BF">
        <w:rPr>
          <w:color w:val="000000"/>
          <w:sz w:val="28"/>
          <w:szCs w:val="28"/>
        </w:rPr>
        <w:t>Никифорак</w:t>
      </w:r>
      <w:proofErr w:type="spellEnd"/>
      <w:r w:rsidRPr="00D069BF">
        <w:rPr>
          <w:color w:val="000000"/>
          <w:sz w:val="28"/>
          <w:szCs w:val="28"/>
        </w:rPr>
        <w:t xml:space="preserve"> М.</w:t>
      </w:r>
      <w:r>
        <w:rPr>
          <w:color w:val="000000"/>
          <w:sz w:val="28"/>
          <w:szCs w:val="28"/>
        </w:rPr>
        <w:t> </w:t>
      </w:r>
      <w:r w:rsidRPr="00D069BF">
        <w:rPr>
          <w:color w:val="000000"/>
          <w:sz w:val="28"/>
          <w:szCs w:val="28"/>
        </w:rPr>
        <w:t>В. Державний лад і право на Буковині в 1774–1918 рр. /</w:t>
      </w:r>
      <w:r>
        <w:rPr>
          <w:color w:val="000000"/>
          <w:sz w:val="28"/>
          <w:szCs w:val="28"/>
        </w:rPr>
        <w:t>/</w:t>
      </w:r>
      <w:r w:rsidRPr="00D069BF">
        <w:rPr>
          <w:color w:val="000000"/>
          <w:sz w:val="28"/>
          <w:szCs w:val="28"/>
        </w:rPr>
        <w:t xml:space="preserve"> </w:t>
      </w:r>
      <w:r>
        <w:rPr>
          <w:color w:val="000000"/>
          <w:sz w:val="28"/>
          <w:szCs w:val="28"/>
        </w:rPr>
        <w:t xml:space="preserve">М. В. </w:t>
      </w:r>
      <w:proofErr w:type="spellStart"/>
      <w:r>
        <w:rPr>
          <w:color w:val="000000"/>
          <w:sz w:val="28"/>
          <w:szCs w:val="28"/>
        </w:rPr>
        <w:t>Никифорак</w:t>
      </w:r>
      <w:proofErr w:type="spellEnd"/>
      <w:r>
        <w:rPr>
          <w:color w:val="000000"/>
          <w:sz w:val="28"/>
          <w:szCs w:val="28"/>
        </w:rPr>
        <w:t>. – Чернівецький</w:t>
      </w:r>
      <w:r w:rsidRPr="00D069BF">
        <w:rPr>
          <w:color w:val="000000"/>
          <w:sz w:val="28"/>
          <w:szCs w:val="28"/>
        </w:rPr>
        <w:t xml:space="preserve"> нац</w:t>
      </w:r>
      <w:r>
        <w:rPr>
          <w:color w:val="000000"/>
          <w:sz w:val="28"/>
          <w:szCs w:val="28"/>
        </w:rPr>
        <w:t>іональний</w:t>
      </w:r>
      <w:r w:rsidRPr="00D069BF">
        <w:rPr>
          <w:color w:val="000000"/>
          <w:sz w:val="28"/>
          <w:szCs w:val="28"/>
        </w:rPr>
        <w:t xml:space="preserve"> ун</w:t>
      </w:r>
      <w:r>
        <w:rPr>
          <w:color w:val="000000"/>
          <w:sz w:val="28"/>
          <w:szCs w:val="28"/>
        </w:rPr>
        <w:t>іверситет ім. Ю. </w:t>
      </w:r>
      <w:proofErr w:type="spellStart"/>
      <w:r>
        <w:rPr>
          <w:color w:val="000000"/>
          <w:sz w:val="28"/>
          <w:szCs w:val="28"/>
        </w:rPr>
        <w:t>Федьковича</w:t>
      </w:r>
      <w:proofErr w:type="spellEnd"/>
      <w:r>
        <w:rPr>
          <w:color w:val="000000"/>
          <w:sz w:val="28"/>
          <w:szCs w:val="28"/>
        </w:rPr>
        <w:t>. – Чернівці</w:t>
      </w:r>
      <w:r w:rsidRPr="00D069BF">
        <w:rPr>
          <w:color w:val="000000"/>
          <w:sz w:val="28"/>
          <w:szCs w:val="28"/>
        </w:rPr>
        <w:t xml:space="preserve">: Рута, 2000. – 279 c.  </w:t>
      </w:r>
    </w:p>
    <w:p w:rsidR="007B0780" w:rsidRPr="007B0780" w:rsidRDefault="007B0780" w:rsidP="007B0780">
      <w:pPr>
        <w:spacing w:line="360" w:lineRule="auto"/>
        <w:ind w:firstLine="900"/>
        <w:jc w:val="both"/>
        <w:rPr>
          <w:i/>
          <w:sz w:val="28"/>
          <w:szCs w:val="28"/>
        </w:rPr>
      </w:pPr>
    </w:p>
    <w:p w:rsidR="00AC76E6" w:rsidRDefault="00AC76E6"/>
    <w:sectPr w:rsidR="00AC76E6" w:rsidSect="00AC76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37F7D"/>
    <w:multiLevelType w:val="hybridMultilevel"/>
    <w:tmpl w:val="048A7444"/>
    <w:lvl w:ilvl="0" w:tplc="C6D696FA">
      <w:start w:val="1"/>
      <w:numFmt w:val="decimal"/>
      <w:lvlText w:val="%1."/>
      <w:lvlJc w:val="left"/>
      <w:pPr>
        <w:tabs>
          <w:tab w:val="num" w:pos="540"/>
        </w:tabs>
        <w:ind w:left="540" w:hanging="360"/>
      </w:pPr>
      <w:rPr>
        <w:rFonts w:hint="default"/>
        <w:b w:val="0"/>
        <w:i w:val="0"/>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nsid w:val="5F5801C1"/>
    <w:multiLevelType w:val="hybridMultilevel"/>
    <w:tmpl w:val="0CD6DE96"/>
    <w:lvl w:ilvl="0" w:tplc="ACC4744E">
      <w:start w:val="1"/>
      <w:numFmt w:val="decimal"/>
      <w:lvlText w:val="%1."/>
      <w:lvlJc w:val="left"/>
      <w:pPr>
        <w:ind w:left="1068" w:hanging="360"/>
      </w:pPr>
      <w:rPr>
        <w:rFonts w:hint="default"/>
        <w:i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0780"/>
    <w:rsid w:val="000151C0"/>
    <w:rsid w:val="00101417"/>
    <w:rsid w:val="007B0780"/>
    <w:rsid w:val="00A000F3"/>
    <w:rsid w:val="00AC76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80"/>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B0780"/>
    <w:pPr>
      <w:spacing w:after="200" w:line="276" w:lineRule="auto"/>
      <w:ind w:left="720"/>
      <w:contextualSpacing/>
    </w:pPr>
    <w:rPr>
      <w:rFonts w:ascii="Calibri" w:hAnsi="Calibri"/>
      <w:sz w:val="22"/>
      <w:szCs w:val="22"/>
    </w:rPr>
  </w:style>
  <w:style w:type="paragraph" w:styleId="a3">
    <w:name w:val="List Paragraph"/>
    <w:basedOn w:val="a"/>
    <w:uiPriority w:val="34"/>
    <w:qFormat/>
    <w:rsid w:val="007B078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1014</Words>
  <Characters>5782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2015-03-19T13:41:00Z</dcterms:created>
  <dcterms:modified xsi:type="dcterms:W3CDTF">2015-03-19T14:08:00Z</dcterms:modified>
</cp:coreProperties>
</file>