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5D" w:rsidRPr="00B1285D" w:rsidRDefault="00B1285D" w:rsidP="00B1285D">
      <w:pPr>
        <w:shd w:val="clear" w:color="auto" w:fill="ECF0F4"/>
        <w:spacing w:before="75" w:after="75" w:line="240" w:lineRule="auto"/>
        <w:outlineLvl w:val="1"/>
        <w:rPr>
          <w:rFonts w:ascii="Verdana" w:eastAsia="Times New Roman" w:hAnsi="Verdana" w:cs="Tahoma"/>
          <w:b/>
          <w:bCs/>
          <w:color w:val="012296"/>
          <w:sz w:val="27"/>
          <w:szCs w:val="27"/>
          <w:lang w:eastAsia="ru-RU"/>
        </w:rPr>
      </w:pPr>
      <w:r w:rsidRPr="00B1285D">
        <w:rPr>
          <w:rFonts w:ascii="Verdana" w:eastAsia="Times New Roman" w:hAnsi="Verdana" w:cs="Tahoma"/>
          <w:b/>
          <w:bCs/>
          <w:color w:val="012296"/>
          <w:sz w:val="27"/>
          <w:szCs w:val="27"/>
          <w:lang w:eastAsia="ru-RU"/>
        </w:rPr>
        <w:t>УКРАЇНСЬКА ЦЕНТРАЛЬНА РАДА – ДОБА ДЕРЖАВОТВОРЕННЯ: ЗНАЧИМІСТЬ ТА УРОКИ</w:t>
      </w:r>
    </w:p>
    <w:p w:rsidR="00B1285D" w:rsidRPr="00B1285D" w:rsidRDefault="00B1285D" w:rsidP="00B1285D">
      <w:pPr>
        <w:shd w:val="clear" w:color="auto" w:fill="ECF0F4"/>
        <w:spacing w:after="0" w:line="240" w:lineRule="auto"/>
        <w:rPr>
          <w:rFonts w:ascii="Tahoma" w:eastAsia="Times New Roman" w:hAnsi="Tahoma" w:cs="Tahoma"/>
          <w:color w:val="3F5469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3F5469"/>
          <w:sz w:val="20"/>
          <w:szCs w:val="20"/>
          <w:lang w:eastAsia="ru-RU"/>
        </w:rPr>
        <w:t>25.02.12 01:40 | Автор(и) КРАВЧУК МИКОЛА ВОЛОДИМИРОВИЧ, к.ю.н., доцент, доктор права Українського вільного університету, завідувач кафедри теорії та історії держави і права юридичного факультету ТНЕУ (м</w:t>
      </w:r>
      <w:proofErr w:type="gramStart"/>
      <w:r w:rsidRPr="00B1285D">
        <w:rPr>
          <w:rFonts w:ascii="Tahoma" w:eastAsia="Times New Roman" w:hAnsi="Tahoma" w:cs="Tahoma"/>
          <w:color w:val="3F5469"/>
          <w:sz w:val="20"/>
          <w:szCs w:val="20"/>
          <w:lang w:eastAsia="ru-RU"/>
        </w:rPr>
        <w:t>.Т</w:t>
      </w:r>
      <w:proofErr w:type="gramEnd"/>
      <w:r w:rsidRPr="00B1285D">
        <w:rPr>
          <w:rFonts w:ascii="Tahoma" w:eastAsia="Times New Roman" w:hAnsi="Tahoma" w:cs="Tahoma"/>
          <w:color w:val="3F5469"/>
          <w:sz w:val="20"/>
          <w:szCs w:val="20"/>
          <w:lang w:eastAsia="ru-RU"/>
        </w:rPr>
        <w:t>ернопіль) | </w:t>
      </w:r>
      <w:r w:rsidRPr="00B1285D">
        <w:rPr>
          <w:rFonts w:ascii="Tahoma" w:eastAsia="Times New Roman" w:hAnsi="Tahoma" w:cs="Tahoma"/>
          <w:i/>
          <w:iCs/>
          <w:noProof/>
          <w:color w:val="227A97"/>
          <w:sz w:val="20"/>
          <w:szCs w:val="20"/>
          <w:lang w:eastAsia="ru-RU"/>
        </w:rPr>
        <w:drawing>
          <wp:inline distT="0" distB="0" distL="0" distR="0" wp14:anchorId="6D5679B9" wp14:editId="29889F6D">
            <wp:extent cx="133350" cy="133350"/>
            <wp:effectExtent l="0" t="0" r="0" b="0"/>
            <wp:docPr id="1" name="Рисунок 1" descr="Печать">
              <a:hlinkClick xmlns:a="http://schemas.openxmlformats.org/drawingml/2006/main" r:id="rId5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чать">
                      <a:hlinkClick r:id="rId5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85D">
        <w:rPr>
          <w:rFonts w:ascii="Tahoma" w:eastAsia="Times New Roman" w:hAnsi="Tahoma" w:cs="Tahoma"/>
          <w:color w:val="3F5469"/>
          <w:sz w:val="20"/>
          <w:szCs w:val="20"/>
          <w:lang w:eastAsia="ru-RU"/>
        </w:rPr>
        <w:t> | </w:t>
      </w:r>
      <w:r w:rsidRPr="00B1285D">
        <w:rPr>
          <w:rFonts w:ascii="Tahoma" w:eastAsia="Times New Roman" w:hAnsi="Tahoma" w:cs="Tahoma"/>
          <w:i/>
          <w:iCs/>
          <w:noProof/>
          <w:color w:val="227A97"/>
          <w:sz w:val="20"/>
          <w:szCs w:val="20"/>
          <w:lang w:eastAsia="ru-RU"/>
        </w:rPr>
        <w:drawing>
          <wp:inline distT="0" distB="0" distL="0" distR="0" wp14:anchorId="7958DDC1" wp14:editId="6140280D">
            <wp:extent cx="104775" cy="76200"/>
            <wp:effectExtent l="0" t="0" r="9525" b="0"/>
            <wp:docPr id="2" name="Рисунок 2" descr="E-mail">
              <a:hlinkClick xmlns:a="http://schemas.openxmlformats.org/drawingml/2006/main" r:id="rId7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-mail">
                      <a:hlinkClick r:id="rId7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5"/>
      </w:tblGrid>
      <w:tr w:rsidR="00B1285D" w:rsidRPr="00B1285D" w:rsidTr="00B128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85D" w:rsidRPr="00B1285D" w:rsidRDefault="00B1285D" w:rsidP="00B1285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hyperlink r:id="rId9" w:history="1">
              <w:r w:rsidRPr="00B1285D">
                <w:rPr>
                  <w:rFonts w:ascii="Tahoma" w:eastAsia="Times New Roman" w:hAnsi="Tahoma" w:cs="Tahoma"/>
                  <w:color w:val="217692"/>
                  <w:sz w:val="20"/>
                  <w:szCs w:val="20"/>
                  <w:lang w:eastAsia="ru-RU"/>
                </w:rPr>
                <w:t>Науково-практична Інтернет-конференція 24.02.2012</w:t>
              </w:r>
            </w:hyperlink>
            <w:r w:rsidRPr="00B1285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- </w:t>
            </w:r>
            <w:hyperlink r:id="rId10" w:history="1">
              <w:r w:rsidRPr="00B1285D">
                <w:rPr>
                  <w:rFonts w:ascii="Tahoma" w:eastAsia="Times New Roman" w:hAnsi="Tahoma" w:cs="Tahoma"/>
                  <w:color w:val="217692"/>
                  <w:sz w:val="20"/>
                  <w:szCs w:val="20"/>
                  <w:lang w:eastAsia="ru-RU"/>
                </w:rPr>
                <w:t>Секція №1</w:t>
              </w:r>
            </w:hyperlink>
          </w:p>
        </w:tc>
      </w:tr>
    </w:tbl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Пройшло 95 років з часу віковічних подій створення у березневі дні 1917 р. Української Центральної Ради. Історичний досвід того періоду найбільш повчальний для сучасного державного будівництва, тому ця тема є актуальною для українського держав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о-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і правотворення.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цього приводу О. Копиленко зазначає, що «навколо Центральної Ради як у свідомості громадськості, так і в літературі накопилося безліч міфів і пересудів, і щоб зрозуміти їх, потрібен не один рік і не один дослідник. …Бо ЦР, як і УНР, не впала з неба, …а мала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ій початок, піднесення і закономірний занепад» [11, с.3]. Особливу увагу вчений-юрист звернув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значимість цих двох державницьких утворень, «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як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 проіснували дуже не довго, в історичному масштабі тільки мить, та лишилися по ній повчальні уроки першопрохідців, які ми просто не маємо права нехтувати» [10, с.5].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УЦР,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ісля її офіційного проголошення 17 березня 1917 р. (див.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О. Копиленко [11, с.46]), стала фундатором відродження української нації, політичного і духовного визволення власного народу, яке ще називали “українізацією” та реалізації його права на самовизначення.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Саме вона, в період перебування України в епіцентрі Першої світової війни, політичної кризи у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осійській імперії (припинення діяльності Держдуми, формування Тимчасового уряду, виникнення двовладдя) та у зв’язку з цими подіями значного погіршення економічного стану українського люду [16, с.22-28, 29] «очолила український національно-визвольний рух, надала українській революційній стихії організованих форм, об’єднала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ід своїм прапором провідні українські політичні партії, змусила російську революційну демократію рахуватись і вести діалог з українськими національними силами, проголосила Українську Народну Республіку і виступила її будівничим» [3, c.8]. Тільки завдячуючи УЦР, у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ітній період ствердження націй, що для української державності було найголовнішою проблемою кінця 19 – початку 20 ст., із «бездержавної нації» українство трансформувалося у національно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ідому, цивілізовану й політичну громаду і це стало апогеєм формування української «історичної нації». 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Найбільш вдало подію створення Центрально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ї 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ади охарактеризував В. Винниченко: «…це був вислов усієї нації. Це було не тільки координоване, сполучене співробітництво всіх українських партій і впливових організацій, а виразний, необхідний прояв існування української нації. Центральна Рада явилась найкращим доказом цього. Коли б вона не виникла в Києві, то утворилася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би 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Харкові, в Полтаві, Одесі. Вона мусила бути, бо нація мусила, як така, як уся нація, як певний організм, мати єдиний вираз, єдиний орган свого проява. Це був центр, до якого радіусами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ікались усі хилитання пробудженої, національної енергії; з усіх куточків, з усіх великих і малих пунктів животворіння національного організму простяглись до центру нерви нації» [6, с.80].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На думку вітчизняних вчених, потреба у глибинному науковому аналізі періоду діяльності УЦР є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значимою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і викликана багатьма причинами. У першу чергу, це порівняння процесів державотворення сучасної України і періоду Центрально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ї 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ади та використання у сучасній практиці цього збереженого історією масиву втілених і невтілених у суспільне життя вчень, програм, планів, концепцій, доктрин розбудови власної держави, вартість яких важко переоцінити.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Так, В. Верстюк зазначив: «шлях до об’єктивного пізнання історії Центрально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ї 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ади лежить не тільки у вивченні конкретного перебігу та нюансів її діяльності, а й у широкому узагальненню досвіду, в такій постановці проблеми, яка б допомогла наочно переконатися наскільки ідеї і принципи, покладені в основу політики ЦР, відповідали суспільним ідеям і цінностям модерної доби». Це дає можливість оцінити і визначити, що із застосованої нею суспільної, ідейної спадщини сьогодні повторно реалізується в державному будівництві [3, с.8-9;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]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Я. Яцків з цього приводу вказав: «Читаючи протоколи засідань Центральної і Малої Рад, Ради Міні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ів, урядові ухвалини, надто часто ловиш себе на відчутті, що вони переносять тебе в сьогоднішні дні. У своїй радості і в своїй гіркоті… 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Писати про УЦР і її універсали необхідно не тільки тому, що до цього змушує збіг календарних дат, а й тому, що в діяльності Центрально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ї 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ади і сьогоднішніх політичних реаліях є чимало спільного, а …значення та уроки минулого нашим суспільством, його елітою засвоєні погано і осмислені слабо» [21].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Отже, метою представленої статті є дослідження, аналіз і встановлення особливостей процесу державотворення в період Центрально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ї 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ади, значимість цього досвіду та основні уроки її діяльності.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ab/>
        <w:t xml:space="preserve">Ця тематика знайшла наукову розробку у працях сучасних вчених В. Верстюка, Р.Іванченко, О. Копиленка, В.Кульчицького, О.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Реєнта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О. Рубльова, В. Румянцева, О.Мироненка, П. Музиченка, В. Солдатенка, О. Тимощука, Я. Тинченка, Б. Тищика, В.Шевченка, О.Шевченка, Я. Яцківа, українських вчених В. Винниченка, М. Грушевського, Д.Дорошенка та ін.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У цілому функціонування Центральної Ради в літературі висвітлено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ізними авторами контроверсійно. Так, В.Шевченко зазначив, що діяльність УЦР відноситься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тих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явищ, які знаменують нову епоху нашого народу, при цьому як і за часів її існування, так і до сьогоднішнього дня, робота, здобутки і прорахунки ЦР – в центрі уваги широкого загалу, нерідко є предметом запальних дискусій.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ім того, він стверджує, що саме вона резолюцією від 22 квітня 1917 р. започаткувала принцип “українізації” всього життя в Україні, як всеосяжний процес усього національного, державотворчого, політичного, соціально-економічного і духовного розвитку українського народу. Українізація охопила національні школу, армію, все українське життя, отримала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ідтримку всього суспільства, його структур. …йшлося про широке розуміння процесу українізації. Численні з’їзди (селянські, кооперативні, партійні, загальнонаціональні) повинні були б переконати всіх, що це, український рух, це не вигадка купки інтелігентів, що це величезна сила, котра вирвалася з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ід вікового тиску, що сила ця росте...  Припинити її…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нема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можливості, бо прокинувся 35-мільйонний народ…» [20].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ідміну від тих часів, ми спостерігаємо у сьогоднішньому суспільному і політичному житті нехтування українськими мовою, історією тощо. Ніби стверджується процес антиукраїнізації.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ім того, важливою рисою УЦР було впровадження нею, з перших днів заснування, функції представництва всього українського народу, вона постійно зверталася до народу і діяла від імені народу, що отримало суспільне схвалення.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Так, В. Верстюк зазначив: «історична заслуга Центральної Ради полягає в тому, що вона, на відміну від окремих політичних партій, захищала інтереси не якогось одного класу, а перша, публічно й відкрито, почала говорити від імені нації й про потреби нації. УЦР не пропускала нагоди апелювати до народу.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Можливо, в такій політиці був значний популізм, та оскільки йшлося не про конкретні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соц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іально-економічні рішення, а про мобілізацію й орієнтацію національної свідомості, така політика мала добрі наслідки» [3, с.10]. Так, звернемося до відозв, резолюцій, наказів, універсалі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директив ЦР, де проголошувалося: “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Народе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Український!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Народе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селян, робітників, трудящого люду! Волею своє ти поставив нас, Українську Центральну Раду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сторожі її прав і вольностей української землі” (І Універсал); “Громадяне української землі! …Сповіщаємо всіх громадян України, що обрана українським народом через його революційні організації УЦР незабаром буде доповнена на справедливих основах представництва (ІІ Універсал); Громадяни України! Виявіть себе вірними оборонцями волі і ворогами анархії, яка може віддалити Всеросійські та Українські Установчі збори і привести до загину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ідний край (Звернення ГС від 27 жовтня 1917 р.); Народе України і всі народи України! …Наш край так само в небезпеці. Без власти, дужої, єдиної, народньої Україна також може впасти в безодню, усобиці,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ізні, занепаду.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Народе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Український! Ти разом з братніми народами України постановив нас берегти права, здобуті боротьбою, творити лад і будувати все життя на нашій землі. І ми Українська Центральна Рада,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твоєю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волею в ім’я творення ладу в наші1й країні, в ім’я творення ладу в нашій країні… постановляємо” (ІІІ Універсал);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Народе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України! Твоєю силою, волею, словом утворилась на Українській землі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ільна Українська Народна Республіка. Здійснилася давня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мрія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Твоїх батьків, борців за волю й право робочого люду! [19, с.295, 298, 307, 322]. Такі дії УЦР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ідтверджують її відношення до власного народу як до носія влади і викликають схвалення.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Вони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слугують зразком справжнього «захисту демократичних, всенародних інтересів, а не одного класу чи прошарку суспільства» [9; с.221]. УЦР «в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ідомості українських селян постала як «свій», «народний» уряд, котрий вирішуватиме найвагоміші проблеми – проведе земельну реформу, українізує школу та церкву, братиме участь в переговорах щодо закінчення світової війни і тому визнавалася і підтримувалася найширшими колами українців» [17; с.57].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«Центральна Рада була завалена вітальними телеграмами, резолюціями в її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ідтримку, на вірність їй присягали сільські сходи, з’їзди військові частини».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Вона стала центром об’єднання і консолідації нації [4;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с.19]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І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авпаки, сучасні політики, на відміну від попередників прагнуть розділити українців, особливо перед виборами, за мовними, територіальними й іншими критеріями на “західняків” і “східняків”, і на цій основі створити між ними протиріччя для здобуття власних політичних преференцій.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Урок УЦР полягає ще й в тому, що вона,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ісля політичного сну українців, виголосила і внесла в практичну площину стратегічну мету побудови Української держави, яка закріпилася як дороговказ українського державотворення на століття. За твердженням Я. Яцківа «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івтора рядка друкованого тексту: “Однині Українська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Народна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Республіка стає самостійною, ні від кого незалежною, вільною, суверенною державою Українського народу”» – вмістили констатацію факту, </w:t>
      </w: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який декільком поколінням найкращих синів України, здавався жаданою, але недосяжною мрією” [21].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Цінним є державницький досвід УЦР формування у складній воєнно-економічній ситуації, самостійної фінансової системи, відокремленої від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осії, процес створення української національної валюти, стабілізації грошового обігу, який також надто проблематичний у сучасному державному будівництві України. За твердженнями П. Гей-Нижника у період «переходу всієї господарської системи від військово-руїницької до мирно-творчої діяльності …не можуть бути поставлені… без плану, без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ідомої в державному масштабі розробленої системи заходів фінансово-економічної політики. …Для України це особливо складне і багатогранне завдання – …у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ізних відношеннях його будувати необхідно з чистого аркуша: створити власну фінансову систему, власні банки, покласти початок власній транспортній, торговельній, промисловій, експертно-імпортній політиці; потрібно напрацювати основи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соц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іального законодавства і всю цю політику узгодити відповідно до засад аграрної реформи, націоналізації надр тощо [7, с.71]. На думку В. Поліщука, УЦР «робила кроки до створення своєї фінансової системи. Була випущена власна національна валюта – гривня як один із атрибутів держави. Але в силу обставин, викликаних політикою більшовицького російського уряду та проблемою кадрі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не вдалося в Україні завершити створення самостійної валюти і нормалізувати грошовий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іг» [15, с.60].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Крім того, Українська Центральна Рада пройшла в короткий строк шлях українського політичного життя від «державницької ідеології ХІ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ст., що базувалася на українсько-визвольному русі, побудованому на автономізмі в різних формах федералізму, на політичному романтизмові, угодовстві української інтелігентської еліти ХІХ ст., яка сподівалася на демократичність, толерантність і розуміння прав українського народу щодо власного державного буття з боку нового російського уряду і безумовно, російської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соц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іалістичної демократії і довірливого очікування цього» до еволюції державної самостійності України і виокремлення в пріоритет завдання боротьби за утвердження Української незалежної держави [9;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с.212-216].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Еволюція цього політичного процесу знайшла закріплення у чотирьох універсалах, з яких «вершиною державотворення став ІV Універсал». 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При цьому УЦР,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відведений історією час, безнадійно запізнилася, до гуртування української нації навколо стратегічного завдання розбудови власної держави на засадах «національно-демократичної незалежності». Р. Іванченко зазнача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є,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що «УЦР втратила час, і не тільки через вичікування їхнього визнання, а й через те, що більше уваги приділяла не будівництву національної держави й агітації за нею, а впровадженню в життя утопічних соціалістичних ідеалів. …Це призвело до втрати можливостей для поширення національно-державницьких переконань серед широких верств українського суспільства без чого взагалі неможливо будувати власну державу» [9, с.215]. В. Верстюк зазначив: «саме В. Винниченко, як голова Генерального Секретаріату, несе персональну відповідальність за неготовність УНР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війни з більшовиками. Його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соц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іалістична ортодоксія, яку він ставив значно вище інтересів новопосталої української держави, стала причиною його конфлікту з С. Петлюрою, який змушений був подати у відставку з поста генерального секретаря військових справ» [2, с.27; 18, с.5].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Своєрідну оцінку УЦР дає Я. Дзісяк, який в розділі “Політика ЦР як визначний фактор втрати української державності та поразки в Першій російсько-українській війні” вказав, що «роль і значення соціалістичних лідерів Центрально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ї 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ади в контексті їхньої політики, спрямованої проти проголошення самостійності України та проти розбудови Української Армії, за своїми глобальними деструктивними наслідками виступають значно більш помітними та впливовими,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аніж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позитивний внесок культурного відродження. На його думку, «навіть поверхневий аналіз недолугої і цілком не державницької політики, стосовно України і головною мірою відносно розбудови її війська вказу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є,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що російсько-комуністична окупація України, Крутянська трагедія, червоний терор у Києві були неминучими» [8, с.5]. 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З вищевказаним можна погодитись, адже досвід військового будівництва є важливим, оскільки захист суверенітету і територіальної цілісності країни збройними силами слугує фундаментом держави. І хоча декларована автономія України у єдності з російською федерацією не передбачала територіальне виокремлення українських земель, питання розбудови армії і визначення кордонів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період Центральної Ради була складовою державотворення і змістом багатьох державних актів України [1; с.5-31]. На думку науковців, «українські соціалісти – головна політична сила УЦР – по суті провалила багато в чому стихійний процес українізації армії, гальмувала створення добровільних озброєних формувань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ільного козацтва». За невтішним висновком Голови ГС В. Винниченка: «Це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була 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ійна впливом. Ні більшовики, ні ми не мали регулярного дисциплінованого війська. Наш вплив був менший. Він уже був настільки малий, що ми з великими труднощами могли складати якісь невеличкі більш-менш дисципліновані частини й висилати їх проти більшовиків» [5]. Р. Іванченко у цьому плані зазнача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є: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«УЦР відкинула досить </w:t>
      </w: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сильні спроби творення Української Армії, хоча на всіх фронтах відбувався процес стихійної організації українських військ. Були відкинуті і пропозиції видатних українських політичних і військових діячів М. Міхновського та П. Скоропадського щодо організації українських військових формувань. …Центральній Раді не вистачало ні мудрості, ні твердого розрахунку, ані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ітоглядного переконання чи просто почуття самозахисту для створення власного війська. Адже національна Армія – це щит і меч національної держави, єдиний гарант її існування» [9, с.222].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огляду на чітко визначену пацифістську політику соціалістично налаштованого державного проводу УНР в особах М. Грушевського, В. Винниченка, М. Порша та інших державників, які заперечували розбудову Армії України, необхідно констатувати її як великий політичний прорахунок із трагічними наслідками. У період після Ультиматуму Раднаркому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осії, коли над Україною нависла загроза інтервенції, на засіданні Малої Ради УЦР з січня 1918 р. ухвалено Закон “Про створення народного війська”, відповідно до якого Генеральне секретарство з військових справ повинне було регулярну армію демобілізувати і приступити до набору кадру інструкторів на принципі народної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іліції на умовах вільного найму. До п’яти тисяч житів впродовж доби заплатила Україна за нехтування обороною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ідного краю після захоплення Києва Муравйовим [12; с.208]. Таким чином керівництво УЦР не зуміло залучити мілітарну потугу масового військово-патріотичного руху українців, яких внаслідок українізації російської армії нараховував більше 1,5 млн. чол., на захист національного суверенітету [13, с.75]. На завершальному етапі своєї державницької діяльності УЦР повертається до активного формування Української Армії. Жаль, що і сьогодні серед українських урядовців є прихильники військової політики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ідників УНР початкового етапу, які бюджетом України виділяють кошти на Армію – третину від потреби. Взамін бюджету “розвитку” частіше затверджують бюджет “розвалу” власної Армії [12, с.210].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ідсумовуючи, необхідно підкреслити, що незважаючи на «великий вклад УЦР у державотворчу працю; прийняття величезної кількості найдемократичніших законів і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ішень, створення велетенської кількості міністерств, комітетів та інших адміністративних органів для відродження промисловості, торгівлі, банків, навчальних закладів, театрів, музеїв, виявляючи піклування про національні меншини», вона втратила довіру народу [9, с.223;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15, с.81-86].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 цього приводу ГС В. Винниченко писав, що «я під той час уже не вірив у особливу прихильність народу до Центрально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ї 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ади. Але я ніколи не думав, що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могла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бути в йому така ненависть. Особливо серед солдаті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І особливо серед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тих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які не могли навіть говорити по-російськи, а тільки по-українськи, які, значить, були не латишами, й не росіянами, а своїми, українцями, з якою зневагою, люттю говорили про Центральну Раду, Генеральних секретарів, про їхню політику» [5]. Негативне ставлення до УЦР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перекликається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 втратою довіри і до сучасної державної влади і мало б слугувати повчальним уроком національного державотворення.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  <w:r w:rsidRPr="00B1285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Список використаних джерел: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1. Бойко О.Д. Проблема визначення кордонів України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період Центральної Ради (1917-1918 рр.) / О.Д. Бойко // Український історичний журнал. – 2008. – №1. – січень-лютий. – С.5-31.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2. Верстюк В.Ф. Політична боротьба за владу в Українській Народній Республіці в перші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ісяці її проголошення / В.Ф. Верстюк // Український історичний журнал. – 2008. – №1. – січень-лютий. – С. 31-45.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3. Верстюк В. Проголошення незалежності УНР: історичне значення // Українська революція 1917-1921 рр.: Подвиг герої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Крут. Матеріали наукових читань (24 січня 2008 р.) / Відпов. ред. В.Ф. Верстюк. – К.: Видавництво імені Олени Теліги, 2008. – С.8-20.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4. Верстюк В.Ф. Роль і місце Центральної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Ради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модерній історії України / В.Ф. Верстюк // Український історичний журнал. – 1997. – №5. – вересень-жовтень. – С.17-25.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5. Військово-політична діяльність Центрально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ї 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ади та причини її поразки // Армія України. – 2002. Квітень. – С.5,6.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6. Винниченко В. Відродження нації: в 3-х частинах / В. Винниченко. – Київ-Відень, 1920. – Ч.1. – 314с.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7. Гай-Нижник П.П. Народне міністерство фінансів УНР: проблеми становлення (січень-квітень 1918 р.) / П.П. Гай-Нижник //Український історичний журнал. – 2008.– №1. – січень-лютий. – С. 59-75.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8. Дзісяк Я. Історичний аналіз окремих спроб українського державотворення / Я. Дзісяк. – Тернопіль: "Терно-граф", 2010. – 188 с.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9. Іванченко Р. Центральна Рада: апофеоз і драма теорії і практики / Р. Іванченко // Я повертаю Україні те, що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неї вкрадено: статті. Нариси. Роздуми. – К.: Укр. письменник, 2005.– С. 212-224.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10. Копиленко О.Л. Держава і право України. 1917-1920: навч.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ібник / О.Л. Копиленко, М.Л. Копиленко. – К.: Либідь, 1997. – 208 с. 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ab/>
        <w:t>11. Копиленко О.Л. «Сто днів» Центральної Ради / О.Л. Копиленко. – К.: “Україна”, 1992. – 204 с.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12. Кравчук М.В. Військове будівництво Української Центральної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Ради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та його законодавче закріплення / М.В.Кравчук // Правове життя сучасної України: Тези доповідей Міжнародної наукової конференції професорсько-викладацького та аспірантського складу (м. Одеса, 21-22 травня 2010 р.) / Відп. ред. д-р юрид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.н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аук. проф. Ю. М. Оборотов // Одеська національна юридична академія. – О.:Фенікс, 2010.– С.208-210.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13. Кравчук М.В. Держава та армія УНР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пері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од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Тимчасового уряду та їх правове закріплення / М.В. Кравчук // Держава і право: Збірник наукових праць. Юридичні і політичні науки. Випуск 48. – К.: Ін-т держави і права ім. В. Корецького НАН України, 2010. – С.69-76.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14. Кришина Н. Формування органі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державної влади в добу Центральної Ради / Н.Кришина // Вісник державної служби України. –2007– №2. – С.81-86.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15. Поліщук В. Фінансова політика Української Центральної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Ради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і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Директор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ії / В. Поліщук // Розбудова держави. – 1995.– №9. – вересень. – С. 57-60.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16. Рубльов О.С.,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Реєнт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О.П. Українська Центральна Рада / О.С. Рубльов, О.П. Реєнт // Українські визвольні змагання 1917-1921 рр.. – 1999. – С.17-101.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17. Скальський В.В. Образ Центральної Ради у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ідомості селян на початковому етапі Української революції / В.В. Скальський //Український історичний журнал. – 2008.– №1. – січень-лютий. – С.46-58.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18. Тинченко Я. Перша українсько-більшовицька війна (грудень 1917-березень 1918) / Я.Тинченко. – Київ-Львів,1996. – 372 с.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19. Хрестоматія з історії держави і права України: навч.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іб. / упоряд.: А.С.Чайковський (кер.), О.Л.Копиленко, В.М.Кривоніс, В.В. Свистунов, Г.І. Трофимчук. – К.: Юрінком: Інтер, 2003, 636 с.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 xml:space="preserve">20. Шевченко В. Хазяїн на 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своїй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землі Центральна Рада: початок українізації / В.Шевченко // День. –2007. – №51.</w:t>
      </w:r>
    </w:p>
    <w:p w:rsidR="00B1285D" w:rsidRPr="00B1285D" w:rsidRDefault="00B1285D" w:rsidP="00B1285D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  <w:t>21. Яцків Я. Українська Центральна Рада: історичне значення та уроки / Я. Яцків // Ві</w:t>
      </w:r>
      <w:proofErr w:type="gramStart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</w:t>
      </w:r>
      <w:proofErr w:type="gramEnd"/>
      <w:r w:rsidRPr="00B128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 з України. – 1998. – 5 лютого. </w:t>
      </w:r>
    </w:p>
    <w:p w:rsidR="00640372" w:rsidRDefault="00640372">
      <w:bookmarkStart w:id="0" w:name="_GoBack"/>
      <w:bookmarkEnd w:id="0"/>
    </w:p>
    <w:sectPr w:rsidR="0064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5D"/>
    <w:rsid w:val="00043287"/>
    <w:rsid w:val="00050566"/>
    <w:rsid w:val="00054DB4"/>
    <w:rsid w:val="00061094"/>
    <w:rsid w:val="00073980"/>
    <w:rsid w:val="0007552B"/>
    <w:rsid w:val="000A16C9"/>
    <w:rsid w:val="000A310C"/>
    <w:rsid w:val="000B1ED1"/>
    <w:rsid w:val="000C45C4"/>
    <w:rsid w:val="000C4EAA"/>
    <w:rsid w:val="000C5294"/>
    <w:rsid w:val="000E2DEF"/>
    <w:rsid w:val="000E5207"/>
    <w:rsid w:val="000F143D"/>
    <w:rsid w:val="00100B0F"/>
    <w:rsid w:val="0016414C"/>
    <w:rsid w:val="001977EB"/>
    <w:rsid w:val="001B5647"/>
    <w:rsid w:val="001C0395"/>
    <w:rsid w:val="001C3B73"/>
    <w:rsid w:val="001C4D3E"/>
    <w:rsid w:val="001D4884"/>
    <w:rsid w:val="00243B37"/>
    <w:rsid w:val="00243F5A"/>
    <w:rsid w:val="00256C55"/>
    <w:rsid w:val="00276510"/>
    <w:rsid w:val="002D73B1"/>
    <w:rsid w:val="002F4F8D"/>
    <w:rsid w:val="003403C4"/>
    <w:rsid w:val="00343B35"/>
    <w:rsid w:val="00381B0A"/>
    <w:rsid w:val="003B5A75"/>
    <w:rsid w:val="003C281C"/>
    <w:rsid w:val="003D1055"/>
    <w:rsid w:val="003D713F"/>
    <w:rsid w:val="003D739D"/>
    <w:rsid w:val="003E1284"/>
    <w:rsid w:val="00410149"/>
    <w:rsid w:val="00445AD5"/>
    <w:rsid w:val="00475CE0"/>
    <w:rsid w:val="00490BFB"/>
    <w:rsid w:val="004A7CC8"/>
    <w:rsid w:val="004B2881"/>
    <w:rsid w:val="004B446F"/>
    <w:rsid w:val="004E0465"/>
    <w:rsid w:val="0051350D"/>
    <w:rsid w:val="0057518D"/>
    <w:rsid w:val="00577D9F"/>
    <w:rsid w:val="005819E8"/>
    <w:rsid w:val="00584A36"/>
    <w:rsid w:val="00585702"/>
    <w:rsid w:val="005858B1"/>
    <w:rsid w:val="00590E6D"/>
    <w:rsid w:val="00593FB8"/>
    <w:rsid w:val="005B5768"/>
    <w:rsid w:val="005D6707"/>
    <w:rsid w:val="005E5907"/>
    <w:rsid w:val="00640372"/>
    <w:rsid w:val="0064327A"/>
    <w:rsid w:val="00664581"/>
    <w:rsid w:val="006707A1"/>
    <w:rsid w:val="006C55CF"/>
    <w:rsid w:val="006C6B9C"/>
    <w:rsid w:val="00704E32"/>
    <w:rsid w:val="00731E19"/>
    <w:rsid w:val="00745FBD"/>
    <w:rsid w:val="00753310"/>
    <w:rsid w:val="0076022B"/>
    <w:rsid w:val="007822B5"/>
    <w:rsid w:val="007A3DF2"/>
    <w:rsid w:val="007C0411"/>
    <w:rsid w:val="007C212F"/>
    <w:rsid w:val="007C5A81"/>
    <w:rsid w:val="007C77AC"/>
    <w:rsid w:val="007E692D"/>
    <w:rsid w:val="007F3F8F"/>
    <w:rsid w:val="008027E2"/>
    <w:rsid w:val="008242D1"/>
    <w:rsid w:val="00854560"/>
    <w:rsid w:val="00893BC8"/>
    <w:rsid w:val="008A01BD"/>
    <w:rsid w:val="008A29B9"/>
    <w:rsid w:val="008A46F5"/>
    <w:rsid w:val="008C7F18"/>
    <w:rsid w:val="008D069D"/>
    <w:rsid w:val="008E4BC5"/>
    <w:rsid w:val="008E77EF"/>
    <w:rsid w:val="00923B8F"/>
    <w:rsid w:val="009363E7"/>
    <w:rsid w:val="009556E3"/>
    <w:rsid w:val="0098685F"/>
    <w:rsid w:val="009B606F"/>
    <w:rsid w:val="009C7427"/>
    <w:rsid w:val="009F7446"/>
    <w:rsid w:val="00A05993"/>
    <w:rsid w:val="00A31FF4"/>
    <w:rsid w:val="00A43907"/>
    <w:rsid w:val="00A536C3"/>
    <w:rsid w:val="00A77C0C"/>
    <w:rsid w:val="00A93172"/>
    <w:rsid w:val="00AA44F0"/>
    <w:rsid w:val="00AC7874"/>
    <w:rsid w:val="00AD41EB"/>
    <w:rsid w:val="00AD584B"/>
    <w:rsid w:val="00AD7ADD"/>
    <w:rsid w:val="00B04EF5"/>
    <w:rsid w:val="00B064C9"/>
    <w:rsid w:val="00B1285D"/>
    <w:rsid w:val="00B404F2"/>
    <w:rsid w:val="00B61D4D"/>
    <w:rsid w:val="00B717B7"/>
    <w:rsid w:val="00BB4139"/>
    <w:rsid w:val="00BE40E9"/>
    <w:rsid w:val="00C0642E"/>
    <w:rsid w:val="00C07E58"/>
    <w:rsid w:val="00C155F2"/>
    <w:rsid w:val="00C37892"/>
    <w:rsid w:val="00C44D45"/>
    <w:rsid w:val="00C86F81"/>
    <w:rsid w:val="00C9126F"/>
    <w:rsid w:val="00C92780"/>
    <w:rsid w:val="00CE1CFB"/>
    <w:rsid w:val="00CE3C94"/>
    <w:rsid w:val="00CE4660"/>
    <w:rsid w:val="00CE607A"/>
    <w:rsid w:val="00CF377C"/>
    <w:rsid w:val="00CF3A73"/>
    <w:rsid w:val="00CF47D1"/>
    <w:rsid w:val="00D11F1C"/>
    <w:rsid w:val="00D24D76"/>
    <w:rsid w:val="00D7668A"/>
    <w:rsid w:val="00D8309C"/>
    <w:rsid w:val="00D93784"/>
    <w:rsid w:val="00D967A8"/>
    <w:rsid w:val="00DA6B1C"/>
    <w:rsid w:val="00DB5C7D"/>
    <w:rsid w:val="00DB72A6"/>
    <w:rsid w:val="00DC6875"/>
    <w:rsid w:val="00DC7DD1"/>
    <w:rsid w:val="00DD351A"/>
    <w:rsid w:val="00E10691"/>
    <w:rsid w:val="00E355C6"/>
    <w:rsid w:val="00E67231"/>
    <w:rsid w:val="00E92101"/>
    <w:rsid w:val="00E96559"/>
    <w:rsid w:val="00EA46AA"/>
    <w:rsid w:val="00EA516E"/>
    <w:rsid w:val="00EB0FF9"/>
    <w:rsid w:val="00EC4A3C"/>
    <w:rsid w:val="00EC5149"/>
    <w:rsid w:val="00F4153D"/>
    <w:rsid w:val="00F657D8"/>
    <w:rsid w:val="00F70E7D"/>
    <w:rsid w:val="00FA571E"/>
    <w:rsid w:val="00FB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7532">
          <w:marLeft w:val="0"/>
          <w:marRight w:val="0"/>
          <w:marTop w:val="0"/>
          <w:marBottom w:val="0"/>
          <w:divBdr>
            <w:top w:val="single" w:sz="2" w:space="1" w:color="CBD5E0"/>
            <w:left w:val="single" w:sz="2" w:space="1" w:color="CBD5E0"/>
            <w:bottom w:val="single" w:sz="2" w:space="1" w:color="CBD5E0"/>
            <w:right w:val="single" w:sz="2" w:space="1" w:color="CBD5E0"/>
          </w:divBdr>
          <w:divsChild>
            <w:div w:id="21202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legalactivity.com.ua/index.php?option=com_mailto&amp;tmpl=component&amp;link=aHR0cDovL3d3dy5sZWdhbGFjdGl2aXR5LmNvbS51YS9pbmRleC5waHA/b3B0aW9uPWNvbV9jb250ZW50JnZpZXc9YXJ0aWNsZSZpZD0yNTAlM0ExMjAzMTctMDEmY2F0aWQ9MzUlM0EtMSZJdGVtaWQ9NTImbGFuZz1ydQ%3D%3D&amp;lang=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legalactivity.com.ua/index.php?view=article&amp;catid=35:-1&amp;id=250:120317-01&amp;tmpl=component&amp;print=1&amp;layout=default&amp;page=&amp;option=com_content&amp;Itemid=52&amp;lang=ru" TargetMode="External"/><Relationship Id="rId10" Type="http://schemas.openxmlformats.org/officeDocument/2006/relationships/hyperlink" Target="http://www.legalactivity.com.ua/index.php?option=com_content&amp;view=category&amp;id=35%3A-1&amp;Itemid=52&amp;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alactivity.com.ua/index.php?option=com_content&amp;view=section&amp;id=13&amp;Itemid=51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vmk</dc:creator>
  <cp:lastModifiedBy>vmk</cp:lastModifiedBy>
  <cp:revision>1</cp:revision>
  <dcterms:created xsi:type="dcterms:W3CDTF">2017-01-12T01:36:00Z</dcterms:created>
  <dcterms:modified xsi:type="dcterms:W3CDTF">2017-01-12T01:39:00Z</dcterms:modified>
</cp:coreProperties>
</file>