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7249" w:rsidRDefault="002E7249" w:rsidP="002E7249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ru-UA" w:eastAsia="ru-UA"/>
        </w:rPr>
      </w:pPr>
      <w:r w:rsidRPr="002E7249">
        <w:rPr>
          <w:rFonts w:ascii="Times New Roman" w:eastAsia="Times New Roman" w:hAnsi="Times New Roman" w:cs="Times New Roman"/>
          <w:b/>
          <w:bCs/>
          <w:sz w:val="27"/>
          <w:szCs w:val="27"/>
          <w:lang w:val="ru-UA" w:eastAsia="ru-UA"/>
        </w:rPr>
        <w:t>ПОДАТКОВЕ ПЛАНУВАННЯ: КЛЮЧ ДО ЕФЕКТИВНОГО УПРАВЛІННЯ ФІНАНСАМИ ПІДПРИЄМСТВА</w:t>
      </w:r>
    </w:p>
    <w:p w:rsidR="00521832" w:rsidRDefault="00521832" w:rsidP="002E7249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ru-UA" w:eastAsia="ru-UA"/>
        </w:rPr>
      </w:pPr>
    </w:p>
    <w:p w:rsidR="002E7249" w:rsidRPr="002E7249" w:rsidRDefault="002E7249" w:rsidP="00A62914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UA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Заїка Євгеній</w:t>
      </w:r>
      <w:r w:rsidRPr="002E7249">
        <w:rPr>
          <w:rFonts w:ascii="Times New Roman" w:hAnsi="Times New Roman" w:cs="Times New Roman"/>
          <w:b/>
          <w:bCs/>
          <w:sz w:val="28"/>
          <w:szCs w:val="28"/>
          <w:lang w:val="ru-UA"/>
        </w:rPr>
        <w:t xml:space="preserve">, </w:t>
      </w:r>
      <w:bookmarkStart w:id="0" w:name="_Hlk163504524"/>
      <w:r w:rsidRPr="002E7249">
        <w:rPr>
          <w:rFonts w:ascii="Times New Roman" w:hAnsi="Times New Roman" w:cs="Times New Roman"/>
          <w:sz w:val="28"/>
          <w:szCs w:val="28"/>
          <w:lang w:val="ru-UA"/>
        </w:rPr>
        <w:t>здобувач вищої освіти</w:t>
      </w:r>
    </w:p>
    <w:p w:rsidR="002E7249" w:rsidRPr="002E7249" w:rsidRDefault="002E7249" w:rsidP="00A62914">
      <w:pPr>
        <w:spacing w:after="0"/>
        <w:jc w:val="right"/>
        <w:rPr>
          <w:rFonts w:ascii="Times New Roman" w:hAnsi="Times New Roman" w:cs="Times New Roman"/>
          <w:i/>
          <w:iCs/>
          <w:sz w:val="28"/>
          <w:szCs w:val="28"/>
          <w:lang w:val="ru-UA"/>
        </w:rPr>
      </w:pPr>
      <w:r w:rsidRPr="002E7249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2E7249">
        <w:rPr>
          <w:rFonts w:ascii="Times New Roman" w:hAnsi="Times New Roman" w:cs="Times New Roman"/>
          <w:i/>
          <w:iCs/>
          <w:sz w:val="28"/>
          <w:szCs w:val="28"/>
          <w:lang w:val="ru-UA"/>
        </w:rPr>
        <w:t>Вінницький навчально-науковий інститут економіки ЗУНУ, Україна</w:t>
      </w:r>
    </w:p>
    <w:bookmarkEnd w:id="0"/>
    <w:p w:rsidR="002E7249" w:rsidRPr="002E7249" w:rsidRDefault="002E7249" w:rsidP="00A62914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UA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Вікарій Андрій</w:t>
      </w:r>
      <w:r w:rsidR="00A62914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Pr="002E7249">
        <w:rPr>
          <w:rFonts w:ascii="Times New Roman" w:hAnsi="Times New Roman" w:cs="Times New Roman"/>
          <w:sz w:val="28"/>
          <w:szCs w:val="28"/>
          <w:lang w:val="ru-UA"/>
        </w:rPr>
        <w:t xml:space="preserve"> здобувач вищої освіти</w:t>
      </w:r>
    </w:p>
    <w:p w:rsidR="002E7249" w:rsidRDefault="002E7249" w:rsidP="00A62914">
      <w:pPr>
        <w:spacing w:after="0"/>
        <w:jc w:val="right"/>
        <w:rPr>
          <w:rFonts w:ascii="Times New Roman" w:hAnsi="Times New Roman" w:cs="Times New Roman"/>
          <w:i/>
          <w:iCs/>
          <w:sz w:val="28"/>
          <w:szCs w:val="28"/>
          <w:lang w:val="ru-UA"/>
        </w:rPr>
      </w:pPr>
      <w:r w:rsidRPr="002E7249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2E7249">
        <w:rPr>
          <w:rFonts w:ascii="Times New Roman" w:hAnsi="Times New Roman" w:cs="Times New Roman"/>
          <w:i/>
          <w:iCs/>
          <w:sz w:val="28"/>
          <w:szCs w:val="28"/>
          <w:lang w:val="ru-UA"/>
        </w:rPr>
        <w:t>Вінницький навчально-науковий інститут економіки ЗУНУ, Україна</w:t>
      </w:r>
    </w:p>
    <w:p w:rsidR="00A62914" w:rsidRPr="002E7249" w:rsidRDefault="00A62914" w:rsidP="00A62914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UA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Сулько Євгеній</w:t>
      </w:r>
      <w:r w:rsidRPr="002E7249">
        <w:rPr>
          <w:rFonts w:ascii="Times New Roman" w:hAnsi="Times New Roman" w:cs="Times New Roman"/>
          <w:sz w:val="28"/>
          <w:szCs w:val="28"/>
          <w:lang w:val="ru-UA"/>
        </w:rPr>
        <w:t xml:space="preserve"> здобувач вищої освіти</w:t>
      </w:r>
    </w:p>
    <w:p w:rsidR="00A62914" w:rsidRDefault="00A62914" w:rsidP="00A62914">
      <w:pPr>
        <w:spacing w:after="0"/>
        <w:jc w:val="right"/>
        <w:rPr>
          <w:rFonts w:ascii="Times New Roman" w:hAnsi="Times New Roman" w:cs="Times New Roman"/>
          <w:i/>
          <w:iCs/>
          <w:sz w:val="28"/>
          <w:szCs w:val="28"/>
          <w:lang w:val="ru-UA"/>
        </w:rPr>
      </w:pPr>
      <w:r w:rsidRPr="002E7249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2E7249">
        <w:rPr>
          <w:rFonts w:ascii="Times New Roman" w:hAnsi="Times New Roman" w:cs="Times New Roman"/>
          <w:i/>
          <w:iCs/>
          <w:sz w:val="28"/>
          <w:szCs w:val="28"/>
          <w:lang w:val="ru-UA"/>
        </w:rPr>
        <w:t>Вінницький навчально-науковий інститут економіки ЗУНУ, Україна</w:t>
      </w:r>
    </w:p>
    <w:p w:rsidR="002E7249" w:rsidRPr="00B66C5B" w:rsidRDefault="002E7249" w:rsidP="00A62914">
      <w:pPr>
        <w:spacing w:after="0"/>
        <w:jc w:val="right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B66C5B">
        <w:rPr>
          <w:rFonts w:ascii="Times New Roman" w:hAnsi="Times New Roman" w:cs="Times New Roman"/>
          <w:b/>
          <w:bCs/>
          <w:sz w:val="28"/>
          <w:szCs w:val="28"/>
          <w:lang w:val="ru-RU"/>
        </w:rPr>
        <w:t>Науковий керівник: Сисоєва Інна Миколаївна,</w:t>
      </w:r>
    </w:p>
    <w:p w:rsidR="002E7249" w:rsidRPr="00B66C5B" w:rsidRDefault="002E7249" w:rsidP="00A62914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B66C5B">
        <w:rPr>
          <w:rFonts w:ascii="Times New Roman" w:hAnsi="Times New Roman" w:cs="Times New Roman"/>
          <w:sz w:val="28"/>
          <w:szCs w:val="28"/>
          <w:lang w:val="ru-RU"/>
        </w:rPr>
        <w:t xml:space="preserve"> д-р. екон. наук, професорка, професорка кафедри економіки, обліку та оподаткування </w:t>
      </w:r>
    </w:p>
    <w:p w:rsidR="002E7249" w:rsidRDefault="002E7249" w:rsidP="00A62914">
      <w:pPr>
        <w:spacing w:after="0"/>
        <w:jc w:val="right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B66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Вінницький навчально-науковий інститут економіки ЗУНУ, Україна</w:t>
      </w:r>
    </w:p>
    <w:p w:rsidR="00521832" w:rsidRDefault="00521832" w:rsidP="00A62914">
      <w:pPr>
        <w:spacing w:after="0"/>
        <w:jc w:val="right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</w:p>
    <w:p w:rsidR="002E7249" w:rsidRPr="002E7249" w:rsidRDefault="002E7249" w:rsidP="00A62914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ru-UA" w:eastAsia="ru-UA"/>
        </w:rPr>
      </w:pPr>
    </w:p>
    <w:p w:rsidR="00F04360" w:rsidRPr="00332F89" w:rsidRDefault="00F04360" w:rsidP="00F04360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 w:rsidRPr="00332F89">
        <w:rPr>
          <w:rFonts w:ascii="Times New Roman" w:hAnsi="Times New Roman" w:cs="Times New Roman"/>
          <w:sz w:val="28"/>
          <w:szCs w:val="28"/>
        </w:rPr>
        <w:t>Податкове планування є актуальним інструментом для сучасних підприємств, оскільки воно дозволяє ефективно управляти податковими зобов’язаннями в умовах постійних змін законодавства та зростаючих вимог до прозорості фінансової діяльності. У сучасному бізнес-середовищі підприємства стикаються з викликами глобалізації, конкуренції та цифровізації, які потребують гнучкого підходу до оптимізації витрат. Податкове планування сприяє зниженню ризиків податкових перевірок, дозволяє уникати штрафів та підвищує фінансову стабільність, забезпечуючи дотримання законодавства</w:t>
      </w:r>
      <w:r w:rsidR="006E26FC">
        <w:rPr>
          <w:rFonts w:ascii="Times New Roman" w:hAnsi="Times New Roman" w:cs="Times New Roman"/>
          <w:sz w:val="28"/>
          <w:szCs w:val="28"/>
        </w:rPr>
        <w:t xml:space="preserve"> [1]</w:t>
      </w:r>
      <w:r w:rsidRPr="00332F89">
        <w:rPr>
          <w:rFonts w:ascii="Times New Roman" w:hAnsi="Times New Roman" w:cs="Times New Roman"/>
          <w:sz w:val="28"/>
          <w:szCs w:val="28"/>
        </w:rPr>
        <w:t>. Завдяки використанню законних інструментів, таких як пільгові режими оподаткування чи міжнародні угоди про уникнення подвійного оподаткування, податкове планування стає ключовим фактором для підвищення конкурентоспроможності підприємств та їх сталого розвитку</w:t>
      </w:r>
      <w:r w:rsidR="006E26FC">
        <w:rPr>
          <w:rFonts w:ascii="Times New Roman" w:hAnsi="Times New Roman" w:cs="Times New Roman"/>
          <w:sz w:val="28"/>
          <w:szCs w:val="28"/>
        </w:rPr>
        <w:t xml:space="preserve"> [2]</w:t>
      </w:r>
      <w:r w:rsidRPr="00332F89">
        <w:rPr>
          <w:rFonts w:ascii="Times New Roman" w:hAnsi="Times New Roman" w:cs="Times New Roman"/>
          <w:sz w:val="28"/>
          <w:szCs w:val="28"/>
        </w:rPr>
        <w:t>.</w:t>
      </w:r>
    </w:p>
    <w:p w:rsidR="002E7249" w:rsidRPr="002E7249" w:rsidRDefault="002E7249" w:rsidP="00F04360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Податкове планування — це комплексний процес управління податковими зобов’язаннями підприємства, спрямований на мінімізацію витрат у межах чинного законодавства. Цей інструмент дозволяє не лише оптимізувати податкове навантаження, але й сприяє підвищенню фінансової стійкості та конкурентоспроможності організації.</w:t>
      </w:r>
    </w:p>
    <w:p w:rsidR="002E7249" w:rsidRPr="00332F89" w:rsidRDefault="002E7249" w:rsidP="00F04360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Податкове планування відіграє важливу роль у фінансовій стратегії будь-якого підприємства. Основними його цілями є:</w:t>
      </w:r>
      <w:r w:rsidR="008E7046" w:rsidRPr="00332F8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 xml:space="preserve"> </w:t>
      </w:r>
      <w:r w:rsidR="008E7046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о</w:t>
      </w:r>
      <w:r w:rsidR="008E7046"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птимізація податкового навантаження</w:t>
      </w:r>
      <w:r w:rsidR="008E7046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, п</w:t>
      </w:r>
      <w:r w:rsidR="008E7046"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рогнозування податкових витрат</w:t>
      </w:r>
      <w:r w:rsidR="008E7046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, з</w:t>
      </w:r>
      <w:r w:rsidR="008E7046"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абезпечення законності податкових операцій</w:t>
      </w:r>
      <w:r w:rsidR="008E7046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,</w:t>
      </w:r>
      <w:r w:rsidR="008E7046" w:rsidRPr="00332F8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 xml:space="preserve"> </w:t>
      </w:r>
      <w:r w:rsidR="008E7046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з</w:t>
      </w:r>
      <w:r w:rsidR="008E7046"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абезпечення прозорості фінансових процесів</w:t>
      </w:r>
      <w:r w:rsidR="005A77EE">
        <w:rPr>
          <w:rFonts w:ascii="Times New Roman" w:eastAsia="Times New Roman" w:hAnsi="Times New Roman" w:cs="Times New Roman"/>
          <w:sz w:val="28"/>
          <w:szCs w:val="28"/>
          <w:lang w:eastAsia="ru-UA"/>
        </w:rPr>
        <w:t xml:space="preserve"> (Табл.1)</w:t>
      </w:r>
      <w:r w:rsidR="006E26FC">
        <w:rPr>
          <w:rFonts w:ascii="Times New Roman" w:eastAsia="Times New Roman" w:hAnsi="Times New Roman" w:cs="Times New Roman"/>
          <w:sz w:val="28"/>
          <w:szCs w:val="28"/>
          <w:lang w:eastAsia="ru-UA"/>
        </w:rPr>
        <w:t xml:space="preserve"> [3-7]</w:t>
      </w:r>
      <w:r w:rsidR="008E7046"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.</w:t>
      </w:r>
    </w:p>
    <w:p w:rsidR="008E7046" w:rsidRPr="00332F89" w:rsidRDefault="008E7046" w:rsidP="008E704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UA"/>
        </w:rPr>
      </w:pPr>
      <w:r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 xml:space="preserve">                                                                                                                Таблиця 1</w:t>
      </w:r>
    </w:p>
    <w:p w:rsidR="008E7046" w:rsidRPr="008E7046" w:rsidRDefault="008E7046" w:rsidP="008E7046">
      <w:pPr>
        <w:pStyle w:val="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332F89">
        <w:rPr>
          <w:rFonts w:ascii="Times New Roman" w:hAnsi="Times New Roman" w:cs="Times New Roman"/>
          <w:color w:val="auto"/>
          <w:sz w:val="28"/>
          <w:szCs w:val="28"/>
        </w:rPr>
        <w:t>Основні цілі</w:t>
      </w:r>
      <w:r w:rsidRPr="00332F89">
        <w:rPr>
          <w:rFonts w:ascii="Times New Roman" w:hAnsi="Times New Roman" w:cs="Times New Roman"/>
          <w:color w:val="auto"/>
          <w:sz w:val="28"/>
          <w:szCs w:val="28"/>
        </w:rPr>
        <w:t xml:space="preserve"> податкового планування</w:t>
      </w:r>
    </w:p>
    <w:tbl>
      <w:tblPr>
        <w:tblStyle w:val="a7"/>
        <w:tblW w:w="9351" w:type="dxa"/>
        <w:tblLook w:val="04A0" w:firstRow="1" w:lastRow="0" w:firstColumn="1" w:lastColumn="0" w:noHBand="0" w:noVBand="1"/>
      </w:tblPr>
      <w:tblGrid>
        <w:gridCol w:w="4320"/>
        <w:gridCol w:w="5031"/>
      </w:tblGrid>
      <w:tr w:rsidR="008E7046" w:rsidRPr="008E7046" w:rsidTr="00332F89">
        <w:tc>
          <w:tcPr>
            <w:tcW w:w="4320" w:type="dxa"/>
          </w:tcPr>
          <w:p w:rsidR="008E7046" w:rsidRPr="008E7046" w:rsidRDefault="008E7046" w:rsidP="008E70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</w:rPr>
              <w:t>Ціль</w:t>
            </w:r>
          </w:p>
        </w:tc>
        <w:tc>
          <w:tcPr>
            <w:tcW w:w="5031" w:type="dxa"/>
          </w:tcPr>
          <w:p w:rsidR="008E7046" w:rsidRPr="008E7046" w:rsidRDefault="008E7046" w:rsidP="008E70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</w:rPr>
              <w:t>Опис</w:t>
            </w:r>
          </w:p>
        </w:tc>
      </w:tr>
      <w:tr w:rsidR="008E7046" w:rsidRPr="008E7046" w:rsidTr="00332F89">
        <w:tc>
          <w:tcPr>
            <w:tcW w:w="4320" w:type="dxa"/>
          </w:tcPr>
          <w:p w:rsidR="008E7046" w:rsidRPr="008E7046" w:rsidRDefault="008E7046" w:rsidP="00C36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</w:rPr>
              <w:t>Оптимізація податкового навантаження</w:t>
            </w:r>
          </w:p>
        </w:tc>
        <w:tc>
          <w:tcPr>
            <w:tcW w:w="5031" w:type="dxa"/>
          </w:tcPr>
          <w:p w:rsidR="008E7046" w:rsidRPr="008E7046" w:rsidRDefault="008E704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</w:rPr>
              <w:t xml:space="preserve">Завдяки грамотному використанню пільг, спеціальних режимів оподаткування та інших </w:t>
            </w:r>
            <w:r w:rsidRPr="008E704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законних інструментів підприємства можуть зменшити розмір своїх податкових зобов’язань.</w:t>
            </w:r>
          </w:p>
        </w:tc>
      </w:tr>
      <w:tr w:rsidR="008E7046" w:rsidRPr="008E7046" w:rsidTr="00332F89">
        <w:tc>
          <w:tcPr>
            <w:tcW w:w="4320" w:type="dxa"/>
          </w:tcPr>
          <w:p w:rsidR="008E7046" w:rsidRPr="008E7046" w:rsidRDefault="008E7046" w:rsidP="00C36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Прогнозування податкових витрат</w:t>
            </w:r>
          </w:p>
        </w:tc>
        <w:tc>
          <w:tcPr>
            <w:tcW w:w="5031" w:type="dxa"/>
          </w:tcPr>
          <w:p w:rsidR="008E7046" w:rsidRPr="008E7046" w:rsidRDefault="008E704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Це дозволяє підприємствам уникати несподіваних витрат, які можуть негативно вплинути на їхню фінансову стабільність.</w:t>
            </w:r>
          </w:p>
        </w:tc>
      </w:tr>
      <w:tr w:rsidR="008E7046" w:rsidRPr="008E7046" w:rsidTr="00332F89">
        <w:tc>
          <w:tcPr>
            <w:tcW w:w="4320" w:type="dxa"/>
          </w:tcPr>
          <w:p w:rsidR="008E7046" w:rsidRPr="008E7046" w:rsidRDefault="008E7046" w:rsidP="00C36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</w:rPr>
              <w:t>Забезпечення законності податкових операцій</w:t>
            </w:r>
          </w:p>
        </w:tc>
        <w:tc>
          <w:tcPr>
            <w:tcW w:w="5031" w:type="dxa"/>
          </w:tcPr>
          <w:p w:rsidR="008E7046" w:rsidRPr="008E7046" w:rsidRDefault="008E704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Ефективне податкове планування базується на ретельному аналізі чинного законодавства та його змін, що дозволяє мінімізувати ризики податкових перевірок і штрафів.</w:t>
            </w:r>
          </w:p>
        </w:tc>
      </w:tr>
      <w:tr w:rsidR="008E7046" w:rsidRPr="008E7046" w:rsidTr="00332F89">
        <w:tc>
          <w:tcPr>
            <w:tcW w:w="4320" w:type="dxa"/>
          </w:tcPr>
          <w:p w:rsidR="008E7046" w:rsidRPr="008E7046" w:rsidRDefault="008E7046" w:rsidP="00C36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</w:rPr>
              <w:t>Забезпечення прозорості фінансових процесів</w:t>
            </w:r>
          </w:p>
        </w:tc>
        <w:tc>
          <w:tcPr>
            <w:tcW w:w="5031" w:type="dxa"/>
          </w:tcPr>
          <w:p w:rsidR="008E7046" w:rsidRPr="008E7046" w:rsidRDefault="008E704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E7046">
              <w:rPr>
                <w:rFonts w:ascii="Times New Roman" w:hAnsi="Times New Roman" w:cs="Times New Roman"/>
                <w:sz w:val="24"/>
                <w:szCs w:val="24"/>
              </w:rPr>
              <w:t>Податкове планування дозволяє створити зрозумілу та контрольовану систему звітності, яка відповідає вимогам регуляторів і зацікавлених сторін.</w:t>
            </w:r>
          </w:p>
        </w:tc>
      </w:tr>
    </w:tbl>
    <w:p w:rsidR="008E7046" w:rsidRPr="002E7249" w:rsidRDefault="00521832" w:rsidP="005218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F04360" w:rsidRPr="00332F89">
        <w:rPr>
          <w:rFonts w:ascii="Times New Roman" w:hAnsi="Times New Roman" w:cs="Times New Roman"/>
          <w:sz w:val="28"/>
          <w:szCs w:val="28"/>
        </w:rPr>
        <w:t xml:space="preserve">Етапи податкового планування складаються з чіткої послідовності дій, спрямованих на забезпечення ефективного управління податковими зобов’язаннями підприємства. Спершу здійснюється </w:t>
      </w:r>
      <w:r w:rsidR="00F04360" w:rsidRPr="00332F89">
        <w:rPr>
          <w:rStyle w:val="a3"/>
          <w:rFonts w:ascii="Times New Roman" w:hAnsi="Times New Roman" w:cs="Times New Roman"/>
          <w:b w:val="0"/>
          <w:bCs w:val="0"/>
          <w:sz w:val="28"/>
          <w:szCs w:val="28"/>
        </w:rPr>
        <w:t>аналіз податкового середовища</w:t>
      </w:r>
      <w:r w:rsidR="00F04360" w:rsidRPr="00332F89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F04360" w:rsidRPr="00332F89">
        <w:rPr>
          <w:rFonts w:ascii="Times New Roman" w:hAnsi="Times New Roman" w:cs="Times New Roman"/>
          <w:sz w:val="28"/>
          <w:szCs w:val="28"/>
        </w:rPr>
        <w:t xml:space="preserve"> який включає вивчення чинного законодавства, оцінку податкових ризиків та врахування галузевих особливостей. На основі зібраних даних формується </w:t>
      </w:r>
      <w:r w:rsidR="00F04360" w:rsidRPr="00332F89">
        <w:rPr>
          <w:rStyle w:val="a3"/>
          <w:rFonts w:ascii="Times New Roman" w:hAnsi="Times New Roman" w:cs="Times New Roman"/>
          <w:b w:val="0"/>
          <w:bCs w:val="0"/>
          <w:sz w:val="28"/>
          <w:szCs w:val="28"/>
        </w:rPr>
        <w:t>стратегія податкового планування</w:t>
      </w:r>
      <w:r w:rsidR="00F04360" w:rsidRPr="00332F89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F04360" w:rsidRPr="00332F89">
        <w:rPr>
          <w:rFonts w:ascii="Times New Roman" w:hAnsi="Times New Roman" w:cs="Times New Roman"/>
          <w:sz w:val="28"/>
          <w:szCs w:val="28"/>
        </w:rPr>
        <w:t xml:space="preserve"> що враховує специфіку діяльності підприємства, його фінансові цілі та можливі зміни у нормативній базі</w:t>
      </w:r>
      <w:r w:rsidR="006E26FC">
        <w:rPr>
          <w:rFonts w:ascii="Times New Roman" w:hAnsi="Times New Roman" w:cs="Times New Roman"/>
          <w:sz w:val="28"/>
          <w:szCs w:val="28"/>
        </w:rPr>
        <w:t xml:space="preserve"> [8]</w:t>
      </w:r>
      <w:r w:rsidR="00F04360" w:rsidRPr="00332F89">
        <w:rPr>
          <w:rFonts w:ascii="Times New Roman" w:hAnsi="Times New Roman" w:cs="Times New Roman"/>
          <w:sz w:val="28"/>
          <w:szCs w:val="28"/>
        </w:rPr>
        <w:t>. Далі реалізується ця стратегія шляхом впровадження заходів з оптимізації, таких як використання пільгових режимів оподаткування чи зміна структури операцій</w:t>
      </w:r>
      <w:r w:rsidR="005A77EE">
        <w:rPr>
          <w:rFonts w:ascii="Times New Roman" w:hAnsi="Times New Roman" w:cs="Times New Roman"/>
          <w:sz w:val="28"/>
          <w:szCs w:val="28"/>
        </w:rPr>
        <w:t xml:space="preserve"> (Табл. 2)</w:t>
      </w:r>
      <w:r w:rsidR="00F04360" w:rsidRPr="00332F89">
        <w:rPr>
          <w:rFonts w:ascii="Times New Roman" w:hAnsi="Times New Roman" w:cs="Times New Roman"/>
          <w:sz w:val="28"/>
          <w:szCs w:val="28"/>
        </w:rPr>
        <w:t xml:space="preserve">. Завершальним етапом є </w:t>
      </w:r>
      <w:r w:rsidR="00F04360" w:rsidRPr="00332F89">
        <w:rPr>
          <w:rStyle w:val="a3"/>
          <w:rFonts w:ascii="Times New Roman" w:hAnsi="Times New Roman" w:cs="Times New Roman"/>
          <w:b w:val="0"/>
          <w:bCs w:val="0"/>
          <w:sz w:val="28"/>
          <w:szCs w:val="28"/>
        </w:rPr>
        <w:t>моніторинг і коригування</w:t>
      </w:r>
      <w:r w:rsidR="00F04360" w:rsidRPr="00332F89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F04360" w:rsidRPr="00332F89">
        <w:rPr>
          <w:rFonts w:ascii="Times New Roman" w:hAnsi="Times New Roman" w:cs="Times New Roman"/>
          <w:sz w:val="28"/>
          <w:szCs w:val="28"/>
        </w:rPr>
        <w:t xml:space="preserve"> що включає постійний контроль за дотриманням законодавства та адаптацію стратегії до внутрішніх змін або зовнішніх викликів. Такий підхід дозволяє підприємствам зберігати фінансову стабільність та мінімізувати ризики.</w:t>
      </w:r>
    </w:p>
    <w:p w:rsidR="00F04360" w:rsidRPr="00332F89" w:rsidRDefault="00F04360" w:rsidP="00332F89">
      <w:pPr>
        <w:pStyle w:val="1"/>
        <w:spacing w:before="0"/>
        <w:rPr>
          <w:rFonts w:ascii="Times New Roman" w:hAnsi="Times New Roman" w:cs="Times New Roman"/>
          <w:color w:val="auto"/>
          <w:sz w:val="28"/>
          <w:szCs w:val="28"/>
        </w:rPr>
      </w:pPr>
      <w:r>
        <w:t xml:space="preserve">                                                                                          </w:t>
      </w:r>
      <w:r w:rsidR="00332F89">
        <w:t xml:space="preserve">                </w:t>
      </w:r>
      <w:r w:rsidR="00521832">
        <w:t xml:space="preserve">    </w:t>
      </w:r>
      <w:r w:rsidR="00332F89">
        <w:t xml:space="preserve"> </w:t>
      </w:r>
      <w:r w:rsidRPr="00332F89">
        <w:rPr>
          <w:rFonts w:ascii="Times New Roman" w:hAnsi="Times New Roman" w:cs="Times New Roman"/>
          <w:color w:val="auto"/>
          <w:sz w:val="28"/>
          <w:szCs w:val="28"/>
        </w:rPr>
        <w:t>Таблиця 2</w:t>
      </w:r>
    </w:p>
    <w:p w:rsidR="000F0166" w:rsidRPr="00332F89" w:rsidRDefault="00332F89" w:rsidP="00332F89">
      <w:pPr>
        <w:pStyle w:val="1"/>
        <w:spacing w:before="0"/>
        <w:rPr>
          <w:rFonts w:ascii="Times New Roman" w:hAnsi="Times New Roman" w:cs="Times New Roman"/>
          <w:color w:val="auto"/>
          <w:sz w:val="28"/>
          <w:szCs w:val="28"/>
        </w:rPr>
      </w:pPr>
      <w:r w:rsidRPr="00332F89">
        <w:rPr>
          <w:rFonts w:ascii="Times New Roman" w:hAnsi="Times New Roman" w:cs="Times New Roman"/>
          <w:color w:val="auto"/>
          <w:sz w:val="28"/>
          <w:szCs w:val="28"/>
        </w:rPr>
        <w:t xml:space="preserve">                                         </w:t>
      </w:r>
      <w:r w:rsidR="000F0166" w:rsidRPr="00332F89">
        <w:rPr>
          <w:rFonts w:ascii="Times New Roman" w:hAnsi="Times New Roman" w:cs="Times New Roman"/>
          <w:color w:val="auto"/>
          <w:sz w:val="28"/>
          <w:szCs w:val="28"/>
        </w:rPr>
        <w:t>Етапи податкового планування</w:t>
      </w:r>
    </w:p>
    <w:tbl>
      <w:tblPr>
        <w:tblStyle w:val="a7"/>
        <w:tblW w:w="9493" w:type="dxa"/>
        <w:tblLook w:val="04A0" w:firstRow="1" w:lastRow="0" w:firstColumn="1" w:lastColumn="0" w:noHBand="0" w:noVBand="1"/>
      </w:tblPr>
      <w:tblGrid>
        <w:gridCol w:w="4320"/>
        <w:gridCol w:w="5173"/>
      </w:tblGrid>
      <w:tr w:rsidR="000F0166" w:rsidTr="00332F89">
        <w:tc>
          <w:tcPr>
            <w:tcW w:w="4320" w:type="dxa"/>
          </w:tcPr>
          <w:p w:rsidR="000F0166" w:rsidRPr="00332F89" w:rsidRDefault="000F0166" w:rsidP="00332F8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Етап</w:t>
            </w:r>
          </w:p>
        </w:tc>
        <w:tc>
          <w:tcPr>
            <w:tcW w:w="5173" w:type="dxa"/>
          </w:tcPr>
          <w:p w:rsidR="000F0166" w:rsidRPr="00332F89" w:rsidRDefault="000F0166" w:rsidP="00332F8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Опис</w:t>
            </w:r>
          </w:p>
        </w:tc>
      </w:tr>
      <w:tr w:rsidR="000F0166" w:rsidTr="00332F89">
        <w:tc>
          <w:tcPr>
            <w:tcW w:w="4320" w:type="dxa"/>
          </w:tcPr>
          <w:p w:rsidR="000F0166" w:rsidRPr="00332F89" w:rsidRDefault="000F016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Аналіз податкового середовища</w:t>
            </w:r>
          </w:p>
        </w:tc>
        <w:tc>
          <w:tcPr>
            <w:tcW w:w="5173" w:type="dxa"/>
          </w:tcPr>
          <w:p w:rsidR="000F0166" w:rsidRPr="00332F89" w:rsidRDefault="000F016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Цей етап включає вивчення чинного податкового законодавства, врахування особливостей оподаткування в галузі діяльності підприємства та виявлення потенційних ризиків.</w:t>
            </w:r>
          </w:p>
        </w:tc>
      </w:tr>
      <w:tr w:rsidR="000F0166" w:rsidTr="00332F89">
        <w:tc>
          <w:tcPr>
            <w:tcW w:w="4320" w:type="dxa"/>
          </w:tcPr>
          <w:p w:rsidR="000F0166" w:rsidRPr="00332F89" w:rsidRDefault="000F016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Розробка стратегії податкового планування</w:t>
            </w:r>
          </w:p>
        </w:tc>
        <w:tc>
          <w:tcPr>
            <w:tcW w:w="5173" w:type="dxa"/>
          </w:tcPr>
          <w:p w:rsidR="000F0166" w:rsidRPr="00332F89" w:rsidRDefault="000F016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На основі отриманих даних формується стратегія, яка враховує специфіку бізнесу, фінансові цілі та можливі зміни в законодавстві.</w:t>
            </w:r>
          </w:p>
        </w:tc>
      </w:tr>
      <w:tr w:rsidR="000F0166" w:rsidTr="00332F89">
        <w:tc>
          <w:tcPr>
            <w:tcW w:w="4320" w:type="dxa"/>
          </w:tcPr>
          <w:p w:rsidR="000F0166" w:rsidRPr="00332F89" w:rsidRDefault="000F016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Реалізація стратегії</w:t>
            </w:r>
          </w:p>
        </w:tc>
        <w:tc>
          <w:tcPr>
            <w:tcW w:w="5173" w:type="dxa"/>
          </w:tcPr>
          <w:p w:rsidR="000F0166" w:rsidRPr="00332F89" w:rsidRDefault="000F016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Підприємство впроваджує заходи, спрямовані на оптимізацію податкових зобов’язань, такі як зміна структури операцій, використання податкових пільг або спеціальних режимів оподаткування.</w:t>
            </w:r>
          </w:p>
        </w:tc>
      </w:tr>
      <w:tr w:rsidR="000F0166" w:rsidTr="00332F89">
        <w:tc>
          <w:tcPr>
            <w:tcW w:w="4320" w:type="dxa"/>
          </w:tcPr>
          <w:p w:rsidR="000F0166" w:rsidRPr="00332F89" w:rsidRDefault="000F016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Моніторинг і коригування</w:t>
            </w:r>
          </w:p>
        </w:tc>
        <w:tc>
          <w:tcPr>
            <w:tcW w:w="5173" w:type="dxa"/>
          </w:tcPr>
          <w:p w:rsidR="000F0166" w:rsidRPr="00332F89" w:rsidRDefault="000F0166" w:rsidP="00332F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F89">
              <w:rPr>
                <w:rFonts w:ascii="Times New Roman" w:hAnsi="Times New Roman" w:cs="Times New Roman"/>
                <w:sz w:val="24"/>
                <w:szCs w:val="24"/>
              </w:rPr>
              <w:t>Постійний контроль за виконанням стратегії дозволяє своєчасно реагувати на зміни в законодавстві або внутрішніх процесах підприємства.</w:t>
            </w:r>
          </w:p>
        </w:tc>
      </w:tr>
    </w:tbl>
    <w:p w:rsidR="002E7249" w:rsidRPr="002E7249" w:rsidRDefault="00332F89" w:rsidP="0033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UA"/>
        </w:rPr>
        <w:lastRenderedPageBreak/>
        <w:t xml:space="preserve">       </w:t>
      </w:r>
      <w:r w:rsidR="002E7249"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Податкове планування може здійснюватися за допомогою різних методів, залежно від специфіки діяльності підприємства та його фінансових цілей. Найбільш поширеними методами є:</w:t>
      </w:r>
    </w:p>
    <w:p w:rsidR="002E7249" w:rsidRPr="002E7249" w:rsidRDefault="002E7249" w:rsidP="00332F89">
      <w:pPr>
        <w:numPr>
          <w:ilvl w:val="0"/>
          <w:numId w:val="3"/>
        </w:numPr>
        <w:spacing w:after="0" w:line="24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Оптимізація структури підприємства</w:t>
      </w:r>
      <w:r w:rsidR="00332F89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:</w:t>
      </w: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 xml:space="preserve"> </w:t>
      </w:r>
      <w:r w:rsidR="00332F89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п</w:t>
      </w: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ідприємства можуть використовувати холдингові структури, філії або дочірні компанії для розподілу податкових зобов’язань між різними юрисдикціями.</w:t>
      </w:r>
    </w:p>
    <w:p w:rsidR="002E7249" w:rsidRPr="002E7249" w:rsidRDefault="002E7249" w:rsidP="00332F89">
      <w:pPr>
        <w:numPr>
          <w:ilvl w:val="0"/>
          <w:numId w:val="3"/>
        </w:numPr>
        <w:spacing w:after="0" w:line="24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Використання податкових пільг</w:t>
      </w:r>
      <w:r w:rsid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:</w:t>
      </w:r>
      <w:r w:rsidR="00332F89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 xml:space="preserve"> </w:t>
      </w: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включає зниження податків за рахунок участі у спеціальних економічних зонах, використання інвестиційних стимулів або пільгових ставок.</w:t>
      </w:r>
    </w:p>
    <w:p w:rsidR="002E7249" w:rsidRPr="002E7249" w:rsidRDefault="002E7249" w:rsidP="00332F89">
      <w:pPr>
        <w:numPr>
          <w:ilvl w:val="0"/>
          <w:numId w:val="3"/>
        </w:numPr>
        <w:spacing w:after="0" w:line="24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Міжнародне податкове планування</w:t>
      </w:r>
      <w:r w:rsidR="00332F89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:</w:t>
      </w: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 xml:space="preserve"> </w:t>
      </w:r>
      <w:r w:rsidR="00332F89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>п</w:t>
      </w: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ідприємства, що працюють на міжнародних ринках, можуть використовувати угоди про уникнення подвійного оподаткування, трансфертне ціноутворення або офшорні юрисдикції</w:t>
      </w:r>
      <w:r w:rsidR="006E26FC">
        <w:rPr>
          <w:rFonts w:ascii="Times New Roman" w:eastAsia="Times New Roman" w:hAnsi="Times New Roman" w:cs="Times New Roman"/>
          <w:sz w:val="28"/>
          <w:szCs w:val="28"/>
          <w:lang w:eastAsia="ru-UA"/>
        </w:rPr>
        <w:t xml:space="preserve"> [</w:t>
      </w:r>
      <w:r w:rsidR="00523FD7">
        <w:rPr>
          <w:rFonts w:ascii="Times New Roman" w:eastAsia="Times New Roman" w:hAnsi="Times New Roman" w:cs="Times New Roman"/>
          <w:sz w:val="28"/>
          <w:szCs w:val="28"/>
          <w:lang w:eastAsia="ru-UA"/>
        </w:rPr>
        <w:t>8-9</w:t>
      </w:r>
      <w:r w:rsidR="006E26FC">
        <w:rPr>
          <w:rFonts w:ascii="Times New Roman" w:eastAsia="Times New Roman" w:hAnsi="Times New Roman" w:cs="Times New Roman"/>
          <w:sz w:val="28"/>
          <w:szCs w:val="28"/>
          <w:lang w:eastAsia="ru-UA"/>
        </w:rPr>
        <w:t>]</w:t>
      </w: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.</w:t>
      </w:r>
    </w:p>
    <w:p w:rsidR="002E7249" w:rsidRDefault="002E7249" w:rsidP="00332F89">
      <w:pPr>
        <w:numPr>
          <w:ilvl w:val="0"/>
          <w:numId w:val="3"/>
        </w:numPr>
        <w:spacing w:after="0" w:line="24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Аналіз податкових витрат</w:t>
      </w:r>
      <w:r w:rsidR="00332F89" w:rsidRPr="00332F89">
        <w:rPr>
          <w:rFonts w:ascii="Times New Roman" w:eastAsia="Times New Roman" w:hAnsi="Times New Roman" w:cs="Times New Roman"/>
          <w:sz w:val="28"/>
          <w:szCs w:val="28"/>
          <w:lang w:eastAsia="ru-UA"/>
        </w:rPr>
        <w:t xml:space="preserve">: </w:t>
      </w:r>
      <w:r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передбачає детальне вивчення структури витрат підприємства для пошуку можливостей їх оптимізації.</w:t>
      </w:r>
    </w:p>
    <w:p w:rsidR="00332F89" w:rsidRPr="002E7249" w:rsidRDefault="00332F89" w:rsidP="0052183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 w:rsidRPr="00521832">
        <w:rPr>
          <w:rFonts w:ascii="Times New Roman" w:hAnsi="Times New Roman" w:cs="Times New Roman"/>
          <w:sz w:val="28"/>
          <w:szCs w:val="28"/>
        </w:rPr>
        <w:t>Податкове планування, незважаючи на свої численні переваги, супроводжується певними викликами, які вимагають адаптивності та ретельного підходу з боку підприємств. Часті зміни податкового законодавства створюють необхідність постійного моніторингу нормативно-правової бази та оперативного реагування на нововведення, що стає значним організаційним навантаженням</w:t>
      </w:r>
      <w:r w:rsidR="00523FD7">
        <w:rPr>
          <w:rFonts w:ascii="Times New Roman" w:hAnsi="Times New Roman" w:cs="Times New Roman"/>
          <w:sz w:val="28"/>
          <w:szCs w:val="28"/>
        </w:rPr>
        <w:t xml:space="preserve"> [12-14]</w:t>
      </w:r>
      <w:r w:rsidRPr="00521832">
        <w:rPr>
          <w:rFonts w:ascii="Times New Roman" w:hAnsi="Times New Roman" w:cs="Times New Roman"/>
          <w:sz w:val="28"/>
          <w:szCs w:val="28"/>
        </w:rPr>
        <w:t>. Додатковим ризиком є податкові</w:t>
      </w:r>
      <w:r w:rsidR="006E26FC">
        <w:rPr>
          <w:rFonts w:ascii="Times New Roman" w:hAnsi="Times New Roman" w:cs="Times New Roman"/>
          <w:sz w:val="28"/>
          <w:szCs w:val="28"/>
        </w:rPr>
        <w:t xml:space="preserve"> та аудиторські</w:t>
      </w:r>
      <w:r w:rsidRPr="00521832">
        <w:rPr>
          <w:rFonts w:ascii="Times New Roman" w:hAnsi="Times New Roman" w:cs="Times New Roman"/>
          <w:sz w:val="28"/>
          <w:szCs w:val="28"/>
        </w:rPr>
        <w:t xml:space="preserve"> перевірки, наслідки яких, у разі недотримання вимог законодавства або неточностей у звітності, можуть включати штрафи та репутаційні втрати. Крім того, використання певних методів податкового планування може сприйматися неоднозначно, викликаючи етичні питання з боку суспільства чи партнерів. У той же час перспективи цього напряму є значними: автоматизація процесів завдяки сучасному програмному забезпеченню підвищує точність і прозорість звітності, інтеграція податкового планування з іншими фінансовими системами посилює стратегічне управління, а врахування екологічних аспектів сприяє сталому розвитку підприємств, формуючи їхню відповідальність перед суспільством та природою.</w:t>
      </w:r>
    </w:p>
    <w:p w:rsidR="002E7249" w:rsidRPr="002E7249" w:rsidRDefault="00521832" w:rsidP="0052183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UA"/>
        </w:rPr>
        <w:t xml:space="preserve"> </w:t>
      </w:r>
      <w:r w:rsidRPr="00521832">
        <w:rPr>
          <w:rFonts w:ascii="Times New Roman" w:eastAsia="Times New Roman" w:hAnsi="Times New Roman" w:cs="Times New Roman"/>
          <w:sz w:val="28"/>
          <w:szCs w:val="28"/>
          <w:lang w:eastAsia="ru-UA"/>
        </w:rPr>
        <w:t>Отже, п</w:t>
      </w:r>
      <w:r w:rsidR="002E7249" w:rsidRPr="002E7249">
        <w:rPr>
          <w:rFonts w:ascii="Times New Roman" w:eastAsia="Times New Roman" w:hAnsi="Times New Roman" w:cs="Times New Roman"/>
          <w:sz w:val="28"/>
          <w:szCs w:val="28"/>
          <w:lang w:val="ru-UA" w:eastAsia="ru-UA"/>
        </w:rPr>
        <w:t>одаткове планування є ключовим інструментом, що забезпечує фінансову стійкість підприємства та його здатність адаптуватися до змін зовнішнього середовища. Завдяки ефективному плануванню підприємства можуть мінімізувати витрати, підвищити прозорість звітності та забезпечити відповідність законодавчим вимогам. У перспективі розвиток цифрових технологій та інтеграція податкового планування із загальною стратегією управління сприятимуть підвищенню ефективності цього процесу та його ролі у забезпеченні сталого розвитку бізнесу.</w:t>
      </w:r>
    </w:p>
    <w:p w:rsidR="00C50EEB" w:rsidRDefault="00C50EEB" w:rsidP="007360B1">
      <w:pPr>
        <w:pStyle w:val="2"/>
        <w:spacing w:before="0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  <w:lang w:val="ru-RU"/>
        </w:rPr>
      </w:pPr>
      <w:r w:rsidRPr="00B66C5B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   </w:t>
      </w:r>
      <w:r w:rsidRPr="007B6C37">
        <w:rPr>
          <w:rFonts w:ascii="Times New Roman" w:hAnsi="Times New Roman" w:cs="Times New Roman"/>
          <w:color w:val="auto"/>
          <w:sz w:val="28"/>
          <w:szCs w:val="28"/>
          <w:lang w:val="ru-RU"/>
        </w:rPr>
        <w:t>Список використаних джерел:</w:t>
      </w:r>
    </w:p>
    <w:p w:rsidR="00E20F89" w:rsidRPr="006E26FC" w:rsidRDefault="00E20F89" w:rsidP="007360B1">
      <w:pPr>
        <w:pStyle w:val="a6"/>
        <w:numPr>
          <w:ilvl w:val="0"/>
          <w:numId w:val="7"/>
        </w:numPr>
        <w:spacing w:after="0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360B1">
        <w:rPr>
          <w:rFonts w:ascii="Times New Roman" w:hAnsi="Times New Roman" w:cs="Times New Roman"/>
          <w:sz w:val="24"/>
          <w:szCs w:val="24"/>
        </w:rPr>
        <w:t>Баранов С. О. Ухилення від сплати податків як основний чинник тіньової економіки</w:t>
      </w:r>
      <w:r w:rsidR="00CD06B2" w:rsidRPr="007360B1">
        <w:rPr>
          <w:rFonts w:ascii="Times New Roman" w:hAnsi="Times New Roman" w:cs="Times New Roman"/>
          <w:sz w:val="24"/>
          <w:szCs w:val="24"/>
        </w:rPr>
        <w:t>.</w:t>
      </w:r>
      <w:r w:rsidRPr="007360B1">
        <w:rPr>
          <w:rFonts w:ascii="Times New Roman" w:hAnsi="Times New Roman" w:cs="Times New Roman"/>
          <w:sz w:val="24"/>
          <w:szCs w:val="24"/>
        </w:rPr>
        <w:t xml:space="preserve"> Інвестиції: практика та досвід. – 2016. – № 12. – С. 102-106.</w:t>
      </w:r>
    </w:p>
    <w:p w:rsidR="007360B1" w:rsidRPr="006E26FC" w:rsidRDefault="007360B1" w:rsidP="007360B1">
      <w:pPr>
        <w:pStyle w:val="a6"/>
        <w:numPr>
          <w:ilvl w:val="0"/>
          <w:numId w:val="7"/>
        </w:numPr>
        <w:tabs>
          <w:tab w:val="left" w:pos="284"/>
          <w:tab w:val="left" w:pos="851"/>
        </w:tabs>
        <w:spacing w:after="0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E26FC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Basiurkina, N., Sysoieva, I., Ratushna, J., Kotenko, T., Baistriuchenko, N., &amp; Sukhanova, A. (2020). Substantiation of the innovation and investment project using the method </w:t>
      </w:r>
      <w:r w:rsidRPr="006E26FC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lastRenderedPageBreak/>
        <w:t>of real options. International Journal of Management, Vol. 11, 5, 497—510. </w:t>
      </w:r>
      <w:hyperlink r:id="rId5" w:history="1">
        <w:r w:rsidRPr="006E26FC">
          <w:rPr>
            <w:rFonts w:ascii="Times New Roman" w:hAnsi="Times New Roman" w:cs="Times New Roman"/>
            <w:spacing w:val="2"/>
            <w:sz w:val="24"/>
            <w:szCs w:val="24"/>
            <w:u w:val="single"/>
            <w:shd w:val="clear" w:color="auto" w:fill="FFFFFF"/>
          </w:rPr>
          <w:t>https://doi.org/10.34218/IJM.11.5.2020.047</w:t>
        </w:r>
      </w:hyperlink>
    </w:p>
    <w:p w:rsidR="009F3EDF" w:rsidRDefault="006E26FC" w:rsidP="007360B1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CD06B2" w:rsidRPr="00CD06B2"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="00CD06B2"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9F3EDF" w:rsidRPr="00CD06B2"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  <w:t>Економічна правда</w:t>
      </w:r>
      <w:r w:rsidR="009F3EDF" w:rsidRPr="00CD06B2">
        <w:rPr>
          <w:rFonts w:ascii="Times New Roman" w:hAnsi="Times New Roman" w:cs="Times New Roman"/>
          <w:sz w:val="24"/>
          <w:szCs w:val="24"/>
        </w:rPr>
        <w:t>. Підвищення податків в Україні: коли запрацюють нові зміни // Економічна правда. — 2024. — [Електронний ресурс]. — Режим доступу:</w:t>
      </w:r>
      <w:r w:rsidR="0002005B" w:rsidRPr="00CD06B2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02005B" w:rsidRPr="00CD06B2">
          <w:rPr>
            <w:rStyle w:val="a4"/>
            <w:rFonts w:ascii="Times New Roman" w:hAnsi="Times New Roman" w:cs="Times New Roman"/>
            <w:sz w:val="24"/>
            <w:szCs w:val="24"/>
          </w:rPr>
          <w:t>https://epravda.com.ua/publications/2024/10/15/720572/</w:t>
        </w:r>
      </w:hyperlink>
    </w:p>
    <w:p w:rsidR="0002005B" w:rsidRPr="00CD06B2" w:rsidRDefault="007360B1" w:rsidP="006E26FC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6E26FC">
        <w:rPr>
          <w:rFonts w:ascii="Times New Roman" w:hAnsi="Times New Roman" w:cs="Times New Roman"/>
          <w:sz w:val="24"/>
          <w:szCs w:val="24"/>
        </w:rPr>
        <w:t xml:space="preserve">     4</w:t>
      </w:r>
      <w:r w:rsidR="00CD06B2" w:rsidRPr="00CD06B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CD06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82EDA" w:rsidRPr="00CD06B2">
        <w:rPr>
          <w:rFonts w:ascii="Times New Roman" w:hAnsi="Times New Roman" w:cs="Times New Roman"/>
          <w:sz w:val="24"/>
          <w:szCs w:val="24"/>
          <w:shd w:val="clear" w:color="auto" w:fill="FFFFFF"/>
        </w:rPr>
        <w:t>Сисоєва І.М</w:t>
      </w:r>
      <w:r w:rsidR="00E82EDA" w:rsidRPr="00CD06B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E82EDA" w:rsidRPr="00CD06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Зарубіжний досвід податкового консльтування.</w:t>
      </w:r>
      <w:r w:rsidR="00E82EDA" w:rsidRPr="00CD06B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E82EDA" w:rsidRPr="00CD06B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Глобальні та національні проблеми економіки</w:t>
      </w:r>
      <w:r w:rsidR="00E82EDA" w:rsidRPr="00CD06B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 Випуск</w:t>
      </w:r>
      <w:r w:rsidR="00E82EDA" w:rsidRPr="00CD06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№ 16, 923–926. URL: </w:t>
      </w:r>
      <w:hyperlink r:id="rId7" w:history="1">
        <w:r w:rsidR="00E82EDA" w:rsidRPr="00CD06B2">
          <w:rPr>
            <w:rFonts w:ascii="Times New Roman" w:hAnsi="Times New Roman" w:cs="Times New Roman"/>
            <w:color w:val="006798"/>
            <w:sz w:val="24"/>
            <w:szCs w:val="24"/>
            <w:u w:val="single"/>
            <w:shd w:val="clear" w:color="auto" w:fill="FFFFFF"/>
          </w:rPr>
          <w:t>http://global-national.in.ua/archive/16-2017/183.pdf)</w:t>
        </w:r>
      </w:hyperlink>
      <w:r w:rsidR="00E82EDA" w:rsidRPr="00CD06B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CD06B2" w:rsidRPr="00EF15F7" w:rsidRDefault="00CD06B2" w:rsidP="00CD06B2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15F7">
        <w:rPr>
          <w:rFonts w:ascii="Times New Roman" w:eastAsia="Times New Roman" w:hAnsi="Times New Roman" w:cs="Times New Roman"/>
          <w:sz w:val="24"/>
          <w:szCs w:val="24"/>
          <w:lang w:eastAsia="ru-UA"/>
        </w:rPr>
        <w:t xml:space="preserve">      </w:t>
      </w:r>
      <w:r w:rsidR="006E26FC">
        <w:rPr>
          <w:rFonts w:ascii="Times New Roman" w:eastAsia="Times New Roman" w:hAnsi="Times New Roman" w:cs="Times New Roman"/>
          <w:sz w:val="24"/>
          <w:szCs w:val="24"/>
          <w:lang w:eastAsia="ru-UA"/>
        </w:rPr>
        <w:t xml:space="preserve">     5</w:t>
      </w:r>
      <w:r w:rsidRPr="00EF15F7">
        <w:rPr>
          <w:rFonts w:ascii="Times New Roman" w:eastAsia="Times New Roman" w:hAnsi="Times New Roman" w:cs="Times New Roman"/>
          <w:sz w:val="24"/>
          <w:szCs w:val="24"/>
          <w:lang w:eastAsia="ru-UA"/>
        </w:rPr>
        <w:t>.</w:t>
      </w:r>
      <w:r w:rsidR="006E26FC">
        <w:rPr>
          <w:rFonts w:ascii="Times New Roman" w:eastAsia="Times New Roman" w:hAnsi="Times New Roman" w:cs="Times New Roman"/>
          <w:sz w:val="24"/>
          <w:szCs w:val="24"/>
          <w:lang w:eastAsia="ru-UA"/>
        </w:rPr>
        <w:t xml:space="preserve"> </w:t>
      </w:r>
      <w:r w:rsidR="00C50EEB" w:rsidRPr="00EF15F7"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  <w:t>Carroll, A. B., Shabana, K. M. The Business Case for Corporate Social Responsibility: A Review of Concepts, Research and Practice // International Journal of Management Reviews. 2010. Vol. 12, No. 1. P. 85–105.</w:t>
      </w:r>
      <w:r w:rsidR="00C50EEB" w:rsidRPr="00EF15F7">
        <w:rPr>
          <w:rFonts w:ascii="Times New Roman" w:eastAsia="Times New Roman" w:hAnsi="Times New Roman" w:cs="Times New Roman"/>
          <w:sz w:val="24"/>
          <w:szCs w:val="24"/>
          <w:lang w:eastAsia="ru-UA"/>
        </w:rPr>
        <w:t xml:space="preserve"> </w:t>
      </w:r>
      <w:bookmarkStart w:id="1" w:name="_Hlk188047410"/>
    </w:p>
    <w:p w:rsidR="00E74CC6" w:rsidRPr="005A77EE" w:rsidRDefault="00CD06B2" w:rsidP="007360B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15F7">
        <w:rPr>
          <w:rFonts w:ascii="Times New Roman" w:hAnsi="Times New Roman" w:cs="Times New Roman"/>
          <w:sz w:val="24"/>
          <w:szCs w:val="24"/>
        </w:rPr>
        <w:t xml:space="preserve">      </w:t>
      </w:r>
      <w:r w:rsidR="006E26FC">
        <w:rPr>
          <w:rFonts w:ascii="Times New Roman" w:hAnsi="Times New Roman" w:cs="Times New Roman"/>
          <w:sz w:val="24"/>
          <w:szCs w:val="24"/>
        </w:rPr>
        <w:t xml:space="preserve">     6.</w:t>
      </w:r>
      <w:r w:rsidR="00E74CC6" w:rsidRPr="00EF15F7">
        <w:rPr>
          <w:rFonts w:ascii="Times New Roman" w:hAnsi="Times New Roman" w:cs="Times New Roman"/>
          <w:sz w:val="24"/>
          <w:szCs w:val="24"/>
        </w:rPr>
        <w:t xml:space="preserve"> Уряд затвердив Національну стратегію доходів 2024–2030 // Міністерство фінансів України. — 2023. — [Електронний ресурс]. — Режим доступу:</w:t>
      </w:r>
      <w:r w:rsidR="00E74CC6" w:rsidRPr="00EF15F7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E74CC6" w:rsidRPr="005A77EE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https://mof.gov.ua/uk/news/government_approved_national_revenue_strategy_2024-2030-4364</w:t>
        </w:r>
      </w:hyperlink>
    </w:p>
    <w:p w:rsidR="00C50EEB" w:rsidRPr="005A77EE" w:rsidRDefault="00C50EEB" w:rsidP="006E26FC">
      <w:pPr>
        <w:pStyle w:val="a6"/>
        <w:numPr>
          <w:ilvl w:val="0"/>
          <w:numId w:val="8"/>
        </w:numPr>
        <w:tabs>
          <w:tab w:val="left" w:pos="709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77EE">
        <w:rPr>
          <w:rFonts w:ascii="Times New Roman" w:hAnsi="Times New Roman" w:cs="Times New Roman"/>
          <w:sz w:val="24"/>
          <w:szCs w:val="24"/>
        </w:rPr>
        <w:t>Сисоєва І.М. Облікова політика як складова інформаційних ресурсів підприємства: матеріали міжнародної науково-практичної конференції «Створення інтелектуальної системи обліку для економіки України» (Тернопіль, 21-22 листопада 2007 року). Тернопіль, 2007. С. 368-372.</w:t>
      </w:r>
    </w:p>
    <w:p w:rsidR="0004569E" w:rsidRPr="005A77EE" w:rsidRDefault="0004569E" w:rsidP="0004569E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77EE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6E26FC" w:rsidRPr="005A77EE">
        <w:rPr>
          <w:rFonts w:ascii="Times New Roman" w:hAnsi="Times New Roman" w:cs="Times New Roman"/>
          <w:sz w:val="24"/>
          <w:szCs w:val="24"/>
        </w:rPr>
        <w:t>8</w:t>
      </w:r>
      <w:r w:rsidRPr="005A77EE">
        <w:rPr>
          <w:rFonts w:ascii="Times New Roman" w:hAnsi="Times New Roman" w:cs="Times New Roman"/>
          <w:sz w:val="24"/>
          <w:szCs w:val="24"/>
        </w:rPr>
        <w:t>.</w:t>
      </w:r>
      <w:r w:rsidRPr="005A77EE">
        <w:rPr>
          <w:rFonts w:ascii="Times New Roman" w:hAnsi="Times New Roman" w:cs="Times New Roman"/>
          <w:sz w:val="24"/>
          <w:szCs w:val="24"/>
        </w:rPr>
        <w:t xml:space="preserve"> Самусевич</w:t>
      </w:r>
      <w:r w:rsidRPr="005A77EE">
        <w:rPr>
          <w:rFonts w:ascii="Times New Roman" w:hAnsi="Times New Roman" w:cs="Times New Roman"/>
          <w:sz w:val="24"/>
          <w:szCs w:val="24"/>
        </w:rPr>
        <w:t xml:space="preserve"> Я.В.</w:t>
      </w:r>
      <w:r w:rsidRPr="005A77EE">
        <w:rPr>
          <w:rFonts w:ascii="Times New Roman" w:hAnsi="Times New Roman" w:cs="Times New Roman"/>
          <w:sz w:val="24"/>
          <w:szCs w:val="24"/>
        </w:rPr>
        <w:t>,  Височина</w:t>
      </w:r>
      <w:r w:rsidRPr="005A77EE">
        <w:rPr>
          <w:rFonts w:ascii="Times New Roman" w:hAnsi="Times New Roman" w:cs="Times New Roman"/>
          <w:sz w:val="24"/>
          <w:szCs w:val="24"/>
        </w:rPr>
        <w:t xml:space="preserve"> А.В. </w:t>
      </w:r>
      <w:r w:rsidRPr="005A77EE">
        <w:rPr>
          <w:rFonts w:ascii="Times New Roman" w:hAnsi="Times New Roman" w:cs="Times New Roman"/>
          <w:sz w:val="24"/>
          <w:szCs w:val="24"/>
        </w:rPr>
        <w:t>Податкове планування та основи податкової оптимізації : навчальний посібник /. – Суми : Сумський державний університет, 2021. – 344 с</w:t>
      </w:r>
    </w:p>
    <w:bookmarkEnd w:id="1"/>
    <w:p w:rsidR="00C50EEB" w:rsidRPr="005A77EE" w:rsidRDefault="006E26FC" w:rsidP="00C50EE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</w:pPr>
      <w:r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9</w:t>
      </w:r>
      <w:r w:rsidR="00C50EEB"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.</w:t>
      </w:r>
      <w:r w:rsidR="00C50EEB" w:rsidRPr="005A77EE"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  <w:t xml:space="preserve"> Bowen, H. R. Social Responsibilities of the Businessman. New York: Harper &amp; Row, 1953. 276 с.</w:t>
      </w:r>
    </w:p>
    <w:p w:rsidR="00C50EEB" w:rsidRPr="005A77EE" w:rsidRDefault="00C50EEB" w:rsidP="00C50EE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</w:pPr>
      <w:r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1</w:t>
      </w:r>
      <w:r w:rsidR="006E26FC"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0</w:t>
      </w:r>
      <w:r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.</w:t>
      </w:r>
      <w:r w:rsidR="006E26FC"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 xml:space="preserve"> </w:t>
      </w:r>
      <w:r w:rsidRPr="005A77EE"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  <w:t>Elkington, J. Cannibals with Forks: The Triple Bottom Line of 21st Century Business. Oxford: Capstone Publishing, 1997. 402 с.</w:t>
      </w:r>
    </w:p>
    <w:p w:rsidR="007360B1" w:rsidRPr="005A77EE" w:rsidRDefault="006E26FC" w:rsidP="006E26F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77EE">
        <w:rPr>
          <w:rFonts w:ascii="Times New Roman" w:hAnsi="Times New Roman" w:cs="Times New Roman"/>
          <w:sz w:val="24"/>
          <w:szCs w:val="24"/>
        </w:rPr>
        <w:t xml:space="preserve">           11. </w:t>
      </w:r>
      <w:r w:rsidR="007360B1" w:rsidRPr="005A77EE">
        <w:rPr>
          <w:rFonts w:ascii="Times New Roman" w:hAnsi="Times New Roman" w:cs="Times New Roman"/>
          <w:sz w:val="24"/>
          <w:szCs w:val="24"/>
        </w:rPr>
        <w:t>Сисоєва І. М. Контроль якості надання аудиторських послуг. Економіка та держава. 2021. № 1. С. 104–107. DOI: 10.32702/2306-6806.2021.1.104</w:t>
      </w:r>
    </w:p>
    <w:p w:rsidR="00C50EEB" w:rsidRPr="005A77EE" w:rsidRDefault="00C50EEB" w:rsidP="00C50EE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</w:pPr>
      <w:r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1</w:t>
      </w:r>
      <w:r w:rsidR="006E26FC"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2</w:t>
      </w:r>
      <w:r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.</w:t>
      </w:r>
      <w:r w:rsidR="006E26FC"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 xml:space="preserve"> </w:t>
      </w:r>
      <w:r w:rsidRPr="005A77EE"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  <w:t>Crane, A., Matten, D., Spence, L. J. (Eds.) Corporate Social Responsibility: Readings and Cases in a Global Context. 4th ed. London: Routledge, 2019. 580 с.</w:t>
      </w:r>
    </w:p>
    <w:p w:rsidR="00C50EEB" w:rsidRPr="005A77EE" w:rsidRDefault="00C50EEB" w:rsidP="00C50EE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</w:pPr>
      <w:r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1</w:t>
      </w:r>
      <w:r w:rsidR="006E26FC"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3</w:t>
      </w:r>
      <w:r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>.</w:t>
      </w:r>
      <w:r w:rsidRPr="005A77EE">
        <w:rPr>
          <w:rFonts w:ascii="Times New Roman" w:eastAsia="Times New Roman" w:hAnsi="Times New Roman" w:cs="Times New Roman"/>
          <w:sz w:val="24"/>
          <w:szCs w:val="24"/>
          <w:lang w:val="ru-UA" w:eastAsia="ru-UA"/>
        </w:rPr>
        <w:t xml:space="preserve">  Smith, N. C. Corporate Social Responsibility: Whether or How? // California Management Review. 2003. Vol. 45, No. 4. P. 52–76.</w:t>
      </w:r>
    </w:p>
    <w:p w:rsidR="006E26FC" w:rsidRPr="005A77EE" w:rsidRDefault="006E26FC" w:rsidP="00C50EE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UA"/>
        </w:rPr>
      </w:pPr>
      <w:r w:rsidRPr="005A77EE">
        <w:rPr>
          <w:rFonts w:ascii="Times New Roman" w:eastAsia="Times New Roman" w:hAnsi="Times New Roman" w:cs="Times New Roman"/>
          <w:sz w:val="24"/>
          <w:szCs w:val="24"/>
          <w:lang w:eastAsia="ru-UA"/>
        </w:rPr>
        <w:t xml:space="preserve">14.  </w:t>
      </w:r>
      <w:r w:rsidRPr="005A77EE">
        <w:rPr>
          <w:rFonts w:ascii="Times New Roman" w:hAnsi="Times New Roman" w:cs="Times New Roman"/>
          <w:sz w:val="24"/>
          <w:szCs w:val="24"/>
        </w:rPr>
        <w:t>Сисоєва І.М. Особливості моделювання облікових процесів. Ефективна економіка.– К., 2010. – Випуск №10. – С.45-51.</w:t>
      </w:r>
    </w:p>
    <w:p w:rsidR="00C50EEB" w:rsidRDefault="00C50EEB" w:rsidP="00C50EEB">
      <w:pPr>
        <w:spacing w:before="100" w:beforeAutospacing="1" w:after="100" w:afterAutospacing="1" w:line="24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bookmarkStart w:id="2" w:name="_GoBack"/>
      <w:bookmarkEnd w:id="2"/>
    </w:p>
    <w:p w:rsidR="00A4401B" w:rsidRDefault="00A4401B" w:rsidP="00C50EEB">
      <w:pPr>
        <w:spacing w:before="100" w:beforeAutospacing="1" w:after="100" w:afterAutospacing="1" w:line="24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</w:p>
    <w:p w:rsidR="00A4401B" w:rsidRPr="00B66C5B" w:rsidRDefault="00A4401B" w:rsidP="00C50EEB">
      <w:pPr>
        <w:spacing w:before="100" w:beforeAutospacing="1" w:after="100" w:afterAutospacing="1" w:line="24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</w:p>
    <w:p w:rsidR="008C24CA" w:rsidRPr="002E7249" w:rsidRDefault="008C24CA">
      <w:pPr>
        <w:rPr>
          <w:lang w:val="ru-UA"/>
        </w:rPr>
      </w:pPr>
    </w:p>
    <w:sectPr w:rsidR="008C24CA" w:rsidRPr="002E72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C7B82"/>
    <w:multiLevelType w:val="multilevel"/>
    <w:tmpl w:val="EA4AB7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05CB7A5E"/>
    <w:multiLevelType w:val="multilevel"/>
    <w:tmpl w:val="8E223A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F60330"/>
    <w:multiLevelType w:val="hybridMultilevel"/>
    <w:tmpl w:val="8FAC22E8"/>
    <w:lvl w:ilvl="0" w:tplc="BA12BC9E">
      <w:start w:val="1"/>
      <w:numFmt w:val="decimal"/>
      <w:lvlText w:val="%1."/>
      <w:lvlJc w:val="left"/>
      <w:pPr>
        <w:ind w:left="834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554" w:hanging="360"/>
      </w:pPr>
    </w:lvl>
    <w:lvl w:ilvl="2" w:tplc="2000001B" w:tentative="1">
      <w:start w:val="1"/>
      <w:numFmt w:val="lowerRoman"/>
      <w:lvlText w:val="%3."/>
      <w:lvlJc w:val="right"/>
      <w:pPr>
        <w:ind w:left="2274" w:hanging="180"/>
      </w:pPr>
    </w:lvl>
    <w:lvl w:ilvl="3" w:tplc="2000000F" w:tentative="1">
      <w:start w:val="1"/>
      <w:numFmt w:val="decimal"/>
      <w:lvlText w:val="%4."/>
      <w:lvlJc w:val="left"/>
      <w:pPr>
        <w:ind w:left="2994" w:hanging="360"/>
      </w:pPr>
    </w:lvl>
    <w:lvl w:ilvl="4" w:tplc="20000019" w:tentative="1">
      <w:start w:val="1"/>
      <w:numFmt w:val="lowerLetter"/>
      <w:lvlText w:val="%5."/>
      <w:lvlJc w:val="left"/>
      <w:pPr>
        <w:ind w:left="3714" w:hanging="360"/>
      </w:pPr>
    </w:lvl>
    <w:lvl w:ilvl="5" w:tplc="2000001B" w:tentative="1">
      <w:start w:val="1"/>
      <w:numFmt w:val="lowerRoman"/>
      <w:lvlText w:val="%6."/>
      <w:lvlJc w:val="right"/>
      <w:pPr>
        <w:ind w:left="4434" w:hanging="180"/>
      </w:pPr>
    </w:lvl>
    <w:lvl w:ilvl="6" w:tplc="2000000F" w:tentative="1">
      <w:start w:val="1"/>
      <w:numFmt w:val="decimal"/>
      <w:lvlText w:val="%7."/>
      <w:lvlJc w:val="left"/>
      <w:pPr>
        <w:ind w:left="5154" w:hanging="360"/>
      </w:pPr>
    </w:lvl>
    <w:lvl w:ilvl="7" w:tplc="20000019" w:tentative="1">
      <w:start w:val="1"/>
      <w:numFmt w:val="lowerLetter"/>
      <w:lvlText w:val="%8."/>
      <w:lvlJc w:val="left"/>
      <w:pPr>
        <w:ind w:left="5874" w:hanging="360"/>
      </w:pPr>
    </w:lvl>
    <w:lvl w:ilvl="8" w:tplc="2000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3" w15:restartNumberingAfterBreak="0">
    <w:nsid w:val="1398699F"/>
    <w:multiLevelType w:val="multilevel"/>
    <w:tmpl w:val="97AC0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D8067AA"/>
    <w:multiLevelType w:val="multilevel"/>
    <w:tmpl w:val="7B3A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BAD7861"/>
    <w:multiLevelType w:val="hybridMultilevel"/>
    <w:tmpl w:val="9B6AC6C8"/>
    <w:lvl w:ilvl="0" w:tplc="78C6B37E">
      <w:start w:val="7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40" w:hanging="360"/>
      </w:pPr>
    </w:lvl>
    <w:lvl w:ilvl="2" w:tplc="2000001B" w:tentative="1">
      <w:start w:val="1"/>
      <w:numFmt w:val="lowerRoman"/>
      <w:lvlText w:val="%3."/>
      <w:lvlJc w:val="right"/>
      <w:pPr>
        <w:ind w:left="2460" w:hanging="180"/>
      </w:pPr>
    </w:lvl>
    <w:lvl w:ilvl="3" w:tplc="2000000F" w:tentative="1">
      <w:start w:val="1"/>
      <w:numFmt w:val="decimal"/>
      <w:lvlText w:val="%4."/>
      <w:lvlJc w:val="left"/>
      <w:pPr>
        <w:ind w:left="3180" w:hanging="360"/>
      </w:pPr>
    </w:lvl>
    <w:lvl w:ilvl="4" w:tplc="20000019" w:tentative="1">
      <w:start w:val="1"/>
      <w:numFmt w:val="lowerLetter"/>
      <w:lvlText w:val="%5."/>
      <w:lvlJc w:val="left"/>
      <w:pPr>
        <w:ind w:left="3900" w:hanging="360"/>
      </w:pPr>
    </w:lvl>
    <w:lvl w:ilvl="5" w:tplc="2000001B" w:tentative="1">
      <w:start w:val="1"/>
      <w:numFmt w:val="lowerRoman"/>
      <w:lvlText w:val="%6."/>
      <w:lvlJc w:val="right"/>
      <w:pPr>
        <w:ind w:left="4620" w:hanging="180"/>
      </w:pPr>
    </w:lvl>
    <w:lvl w:ilvl="6" w:tplc="2000000F" w:tentative="1">
      <w:start w:val="1"/>
      <w:numFmt w:val="decimal"/>
      <w:lvlText w:val="%7."/>
      <w:lvlJc w:val="left"/>
      <w:pPr>
        <w:ind w:left="5340" w:hanging="360"/>
      </w:pPr>
    </w:lvl>
    <w:lvl w:ilvl="7" w:tplc="20000019" w:tentative="1">
      <w:start w:val="1"/>
      <w:numFmt w:val="lowerLetter"/>
      <w:lvlText w:val="%8."/>
      <w:lvlJc w:val="left"/>
      <w:pPr>
        <w:ind w:left="6060" w:hanging="360"/>
      </w:pPr>
    </w:lvl>
    <w:lvl w:ilvl="8" w:tplc="2000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6" w15:restartNumberingAfterBreak="0">
    <w:nsid w:val="69D267C0"/>
    <w:multiLevelType w:val="multilevel"/>
    <w:tmpl w:val="FAB81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AB73053"/>
    <w:multiLevelType w:val="multilevel"/>
    <w:tmpl w:val="18141D00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6"/>
  </w:num>
  <w:num w:numId="5">
    <w:abstractNumId w:val="1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249"/>
    <w:rsid w:val="0002005B"/>
    <w:rsid w:val="0004569E"/>
    <w:rsid w:val="000F0166"/>
    <w:rsid w:val="002D23D6"/>
    <w:rsid w:val="002E7249"/>
    <w:rsid w:val="00332F89"/>
    <w:rsid w:val="00521832"/>
    <w:rsid w:val="00523FD7"/>
    <w:rsid w:val="005A77EE"/>
    <w:rsid w:val="006E26FC"/>
    <w:rsid w:val="007360B1"/>
    <w:rsid w:val="008C24CA"/>
    <w:rsid w:val="008E7046"/>
    <w:rsid w:val="009D5D1A"/>
    <w:rsid w:val="009F3EDF"/>
    <w:rsid w:val="00A4401B"/>
    <w:rsid w:val="00A62914"/>
    <w:rsid w:val="00C34558"/>
    <w:rsid w:val="00C50EEB"/>
    <w:rsid w:val="00CD06B2"/>
    <w:rsid w:val="00E20F89"/>
    <w:rsid w:val="00E74CC6"/>
    <w:rsid w:val="00E82EDA"/>
    <w:rsid w:val="00EF15F7"/>
    <w:rsid w:val="00F04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B5785"/>
  <w15:chartTrackingRefBased/>
  <w15:docId w15:val="{DECDE93D-A228-425E-A8C0-B01C60BCC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8E70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C50EEB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50EEB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en-US"/>
    </w:rPr>
  </w:style>
  <w:style w:type="character" w:styleId="a3">
    <w:name w:val="Strong"/>
    <w:basedOn w:val="a0"/>
    <w:uiPriority w:val="22"/>
    <w:qFormat/>
    <w:rsid w:val="009F3EDF"/>
    <w:rPr>
      <w:b/>
      <w:bCs/>
    </w:rPr>
  </w:style>
  <w:style w:type="character" w:styleId="a4">
    <w:name w:val="Hyperlink"/>
    <w:basedOn w:val="a0"/>
    <w:uiPriority w:val="99"/>
    <w:unhideWhenUsed/>
    <w:rsid w:val="0002005B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02005B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02005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8E704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uk-UA"/>
    </w:rPr>
  </w:style>
  <w:style w:type="table" w:styleId="a7">
    <w:name w:val="Table Grid"/>
    <w:basedOn w:val="a1"/>
    <w:uiPriority w:val="59"/>
    <w:rsid w:val="008E7046"/>
    <w:pPr>
      <w:spacing w:after="0" w:line="240" w:lineRule="auto"/>
    </w:pPr>
    <w:rPr>
      <w:rFonts w:eastAsiaTheme="minorEastAsia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56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ua/uk/news/government_approved_national_revenue_strategy_2024-2030-436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global-national.in.ua/archive/16-2017/183.pdf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pravda.com.ua/publications/2024/10/15/720572/" TargetMode="External"/><Relationship Id="rId5" Type="http://schemas.openxmlformats.org/officeDocument/2006/relationships/hyperlink" Target="https://doi.org/10.34218/IJM.11.5.2020.04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4</Pages>
  <Words>1529</Words>
  <Characters>8721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komp</dc:creator>
  <cp:keywords/>
  <dc:description/>
  <cp:lastModifiedBy> </cp:lastModifiedBy>
  <cp:revision>6</cp:revision>
  <dcterms:created xsi:type="dcterms:W3CDTF">2025-01-19T10:24:00Z</dcterms:created>
  <dcterms:modified xsi:type="dcterms:W3CDTF">2025-01-19T20:05:00Z</dcterms:modified>
</cp:coreProperties>
</file>